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5246" w:rsidRDefault="00945246" w:rsidP="0098608E">
      <w:pPr>
        <w:rPr>
          <w:color w:val="808080"/>
          <w:sz w:val="24"/>
          <w:szCs w:val="24"/>
          <w:rtl/>
        </w:rPr>
      </w:pPr>
    </w:p>
    <w:p w:rsidR="0098608E" w:rsidRPr="00D93CE5" w:rsidRDefault="0098608E" w:rsidP="0098608E">
      <w:pPr>
        <w:pStyle w:val="ad"/>
      </w:pPr>
      <w:r w:rsidRPr="00D93CE5">
        <w:rPr>
          <w:rFonts w:hint="cs"/>
          <w:rtl/>
        </w:rPr>
        <w:t>ב"ה</w:t>
      </w:r>
    </w:p>
    <w:p w:rsidR="0098608E" w:rsidRPr="003D0A52" w:rsidRDefault="0098608E" w:rsidP="0098608E">
      <w:pPr>
        <w:pStyle w:val="afff1"/>
        <w:rPr>
          <w:rtl/>
        </w:rPr>
      </w:pPr>
      <w:r>
        <w:rPr>
          <w:rFonts w:hint="cs"/>
          <w:rtl/>
        </w:rPr>
        <w:t>תיק 969794/12</w:t>
      </w:r>
    </w:p>
    <w:p w:rsidR="0098608E" w:rsidRPr="003D0A52" w:rsidRDefault="0098608E" w:rsidP="0098608E">
      <w:pPr>
        <w:pStyle w:val="af8"/>
        <w:rPr>
          <w:rtl/>
        </w:rPr>
      </w:pPr>
      <w:r w:rsidRPr="003D0A52">
        <w:rPr>
          <w:rFonts w:hint="cs"/>
          <w:rtl/>
        </w:rPr>
        <w:t xml:space="preserve">בבית הדין הרבני </w:t>
      </w:r>
      <w:r>
        <w:rPr>
          <w:rFonts w:hint="cs"/>
          <w:rtl/>
        </w:rPr>
        <w:t>האזורי אשקלון</w:t>
      </w:r>
    </w:p>
    <w:p w:rsidR="0098608E" w:rsidRPr="00D93CE5" w:rsidRDefault="0098608E" w:rsidP="0098608E">
      <w:pPr>
        <w:pStyle w:val="af9"/>
        <w:rPr>
          <w:rtl/>
        </w:rPr>
      </w:pPr>
      <w:r w:rsidRPr="00D93CE5">
        <w:rPr>
          <w:rFonts w:hint="cs"/>
          <w:rtl/>
        </w:rPr>
        <w:t>לפני כבוד הדיינים:</w:t>
      </w:r>
    </w:p>
    <w:p w:rsidR="0098608E" w:rsidRPr="00D93CE5" w:rsidRDefault="0098608E" w:rsidP="0098608E">
      <w:pPr>
        <w:pStyle w:val="af2"/>
        <w:rPr>
          <w:rtl/>
        </w:rPr>
      </w:pPr>
      <w:r>
        <w:rPr>
          <w:rFonts w:hint="cs"/>
          <w:rtl/>
        </w:rPr>
        <w:t>הרב ישי בוכריס</w:t>
      </w:r>
      <w:r>
        <w:rPr>
          <w:rtl/>
        </w:rPr>
        <w:t xml:space="preserve"> – אב"ד, הרב </w:t>
      </w:r>
      <w:r>
        <w:rPr>
          <w:rFonts w:hint="cs"/>
          <w:rtl/>
        </w:rPr>
        <w:t>דניאל כ"ץ</w:t>
      </w:r>
      <w:r>
        <w:rPr>
          <w:rtl/>
        </w:rPr>
        <w:t xml:space="preserve">, הרב </w:t>
      </w:r>
      <w:r>
        <w:rPr>
          <w:rFonts w:hint="cs"/>
          <w:rtl/>
        </w:rPr>
        <w:t>עודד מכמן</w:t>
      </w:r>
    </w:p>
    <w:p w:rsidR="0098608E" w:rsidRPr="003D0A52" w:rsidRDefault="0098608E" w:rsidP="0098608E">
      <w:pPr>
        <w:pStyle w:val="af4"/>
        <w:rPr>
          <w:rtl/>
        </w:rPr>
      </w:pPr>
      <w:r>
        <w:rPr>
          <w:rFonts w:hint="cs"/>
          <w:rtl/>
        </w:rPr>
        <w:t>התובע</w:t>
      </w:r>
      <w:r w:rsidRPr="003D0A52">
        <w:rPr>
          <w:rFonts w:hint="cs"/>
          <w:rtl/>
        </w:rPr>
        <w:t>:</w:t>
      </w:r>
      <w:r w:rsidRPr="003D0A52">
        <w:rPr>
          <w:rtl/>
        </w:rPr>
        <w:tab/>
      </w:r>
      <w:r w:rsidRPr="003D0A52">
        <w:rPr>
          <w:rFonts w:hint="cs"/>
          <w:rtl/>
        </w:rPr>
        <w:t>פלוני</w:t>
      </w:r>
      <w:r w:rsidRPr="003D0A52">
        <w:rPr>
          <w:rtl/>
        </w:rPr>
        <w:tab/>
      </w:r>
      <w:r w:rsidRPr="003D0A52">
        <w:rPr>
          <w:sz w:val="22"/>
          <w:szCs w:val="28"/>
          <w:rtl/>
        </w:rPr>
        <w:t>(</w:t>
      </w:r>
      <w:r>
        <w:rPr>
          <w:rFonts w:hint="cs"/>
          <w:sz w:val="22"/>
          <w:szCs w:val="28"/>
          <w:rtl/>
        </w:rPr>
        <w:t>ע"י ב"כ</w:t>
      </w:r>
      <w:r>
        <w:rPr>
          <w:sz w:val="22"/>
          <w:szCs w:val="28"/>
          <w:rtl/>
        </w:rPr>
        <w:t xml:space="preserve">עו"ד </w:t>
      </w:r>
      <w:r>
        <w:rPr>
          <w:rFonts w:hint="cs"/>
          <w:sz w:val="22"/>
          <w:szCs w:val="28"/>
          <w:rtl/>
        </w:rPr>
        <w:t>פנינה בן יוסף</w:t>
      </w:r>
      <w:r w:rsidRPr="003D0A52">
        <w:rPr>
          <w:rFonts w:hint="cs"/>
          <w:sz w:val="22"/>
          <w:szCs w:val="28"/>
          <w:rtl/>
        </w:rPr>
        <w:t>)</w:t>
      </w:r>
    </w:p>
    <w:p w:rsidR="0098608E" w:rsidRPr="00D93CE5" w:rsidRDefault="0098608E" w:rsidP="0098608E">
      <w:pPr>
        <w:pStyle w:val="af4"/>
        <w:rPr>
          <w:rtl/>
        </w:rPr>
      </w:pPr>
      <w:r w:rsidRPr="00D93CE5">
        <w:rPr>
          <w:rtl/>
        </w:rPr>
        <w:t>נגד</w:t>
      </w:r>
    </w:p>
    <w:p w:rsidR="0098608E" w:rsidRDefault="0098608E" w:rsidP="0098608E">
      <w:pPr>
        <w:pStyle w:val="af4"/>
        <w:rPr>
          <w:rtl/>
        </w:rPr>
      </w:pPr>
      <w:r>
        <w:rPr>
          <w:rFonts w:hint="cs"/>
          <w:rtl/>
        </w:rPr>
        <w:t>הנתבעת:</w:t>
      </w:r>
      <w:r>
        <w:rPr>
          <w:rtl/>
        </w:rPr>
        <w:tab/>
      </w:r>
      <w:r>
        <w:rPr>
          <w:rFonts w:hint="cs"/>
          <w:rtl/>
        </w:rPr>
        <w:t>פלוני</w:t>
      </w:r>
      <w:r w:rsidR="00277684">
        <w:rPr>
          <w:rFonts w:hint="cs"/>
          <w:rtl/>
        </w:rPr>
        <w:t>ת</w:t>
      </w:r>
      <w:r>
        <w:rPr>
          <w:rtl/>
        </w:rPr>
        <w:tab/>
      </w:r>
      <w:r w:rsidRPr="003D0A52">
        <w:rPr>
          <w:sz w:val="22"/>
          <w:szCs w:val="28"/>
          <w:rtl/>
        </w:rPr>
        <w:t>(</w:t>
      </w:r>
      <w:r w:rsidRPr="003D0A52">
        <w:rPr>
          <w:rFonts w:hint="cs"/>
          <w:sz w:val="22"/>
          <w:szCs w:val="28"/>
          <w:rtl/>
        </w:rPr>
        <w:t xml:space="preserve">ע"י ב"כ </w:t>
      </w:r>
      <w:r>
        <w:rPr>
          <w:sz w:val="22"/>
          <w:szCs w:val="28"/>
          <w:rtl/>
        </w:rPr>
        <w:t xml:space="preserve">עו"ד </w:t>
      </w:r>
      <w:r>
        <w:rPr>
          <w:rFonts w:hint="cs"/>
          <w:sz w:val="22"/>
          <w:szCs w:val="28"/>
          <w:rtl/>
        </w:rPr>
        <w:t>נעמה אביבי</w:t>
      </w:r>
      <w:r w:rsidRPr="003D0A52">
        <w:rPr>
          <w:rFonts w:hint="cs"/>
          <w:sz w:val="22"/>
          <w:szCs w:val="28"/>
          <w:rtl/>
        </w:rPr>
        <w:t>)</w:t>
      </w:r>
    </w:p>
    <w:p w:rsidR="0098608E" w:rsidRPr="003D0A52" w:rsidRDefault="0098608E" w:rsidP="0098608E">
      <w:pPr>
        <w:pStyle w:val="af6"/>
        <w:rPr>
          <w:rtl/>
        </w:rPr>
      </w:pPr>
      <w:r w:rsidRPr="003D0A52">
        <w:rPr>
          <w:rtl/>
        </w:rPr>
        <w:t>הנדון:</w:t>
      </w:r>
      <w:r w:rsidR="000A404D">
        <w:rPr>
          <w:rFonts w:hint="cs"/>
          <w:rtl/>
        </w:rPr>
        <w:t xml:space="preserve">חיוב מזונות </w:t>
      </w:r>
      <w:r w:rsidR="00721F08">
        <w:rPr>
          <w:rFonts w:hint="cs"/>
          <w:rtl/>
        </w:rPr>
        <w:t>ילדים</w:t>
      </w:r>
      <w:r w:rsidR="000A404D">
        <w:rPr>
          <w:rFonts w:hint="cs"/>
          <w:rtl/>
        </w:rPr>
        <w:t xml:space="preserve"> במשמורת משותפת</w:t>
      </w:r>
    </w:p>
    <w:p w:rsidR="0098608E" w:rsidRPr="003D0A52" w:rsidRDefault="0098608E" w:rsidP="0098608E">
      <w:pPr>
        <w:pStyle w:val="af1"/>
        <w:rPr>
          <w:rtl/>
        </w:rPr>
      </w:pPr>
      <w:r>
        <w:rPr>
          <w:rFonts w:hint="cs"/>
          <w:rtl/>
        </w:rPr>
        <w:t>פסק דין</w:t>
      </w:r>
    </w:p>
    <w:p w:rsidR="0098608E" w:rsidRDefault="0098608E" w:rsidP="0098608E">
      <w:pPr>
        <w:rPr>
          <w:color w:val="808080"/>
          <w:sz w:val="24"/>
          <w:szCs w:val="24"/>
          <w:rtl/>
        </w:rPr>
      </w:pPr>
    </w:p>
    <w:p w:rsidR="00945246" w:rsidRPr="00AB3B4B" w:rsidRDefault="00945246" w:rsidP="006B3479">
      <w:pPr>
        <w:pStyle w:val="ad"/>
        <w:rPr>
          <w:rtl/>
        </w:rPr>
      </w:pPr>
      <w:r w:rsidRPr="00AB3B4B">
        <w:rPr>
          <w:rFonts w:hint="cs"/>
          <w:rtl/>
        </w:rPr>
        <w:t xml:space="preserve">בפני ביה"ד עומדת תביעה למשמורת משותפת ולהפחתת מזונות. </w:t>
      </w:r>
    </w:p>
    <w:p w:rsidR="00945246" w:rsidRPr="006B3479" w:rsidRDefault="006B3479" w:rsidP="006B3479">
      <w:pPr>
        <w:pStyle w:val="-0"/>
        <w:rPr>
          <w:rFonts w:eastAsia="Calibri"/>
          <w:rtl/>
        </w:rPr>
      </w:pPr>
      <w:r w:rsidRPr="00164D6C">
        <w:rPr>
          <w:rFonts w:eastAsia="Calibri" w:hint="cs"/>
          <w:rtl/>
        </w:rPr>
        <w:t>רקע</w:t>
      </w:r>
      <w:r>
        <w:rPr>
          <w:rFonts w:eastAsia="Calibri" w:hint="cs"/>
          <w:rtl/>
        </w:rPr>
        <w:t xml:space="preserve"> ועובדות</w:t>
      </w:r>
    </w:p>
    <w:p w:rsidR="00945246" w:rsidRPr="00AB3B4B" w:rsidRDefault="00945246" w:rsidP="005A2816">
      <w:pPr>
        <w:pStyle w:val="ae"/>
        <w:rPr>
          <w:rtl/>
        </w:rPr>
      </w:pPr>
      <w:r w:rsidRPr="00AB3B4B">
        <w:rPr>
          <w:rFonts w:hint="cs"/>
          <w:rtl/>
          <w:lang w:eastAsia="he-IL"/>
        </w:rPr>
        <w:t>הצדדים נישאו בחודש אפריל 2003, ונול</w:t>
      </w:r>
      <w:r w:rsidR="000E6889">
        <w:rPr>
          <w:rFonts w:hint="cs"/>
          <w:rtl/>
          <w:lang w:eastAsia="he-IL"/>
        </w:rPr>
        <w:t>דו להם שני ילדים: ד. ל. 11, וא.</w:t>
      </w:r>
      <w:r w:rsidRPr="00AB3B4B">
        <w:rPr>
          <w:rFonts w:hint="cs"/>
          <w:rtl/>
          <w:lang w:eastAsia="he-IL"/>
        </w:rPr>
        <w:t xml:space="preserve"> בן 7 וחצי. </w:t>
      </w:r>
    </w:p>
    <w:p w:rsidR="00945246" w:rsidRPr="00AB3B4B" w:rsidRDefault="00945246" w:rsidP="005A2816">
      <w:pPr>
        <w:pStyle w:val="ae"/>
        <w:rPr>
          <w:rtl/>
        </w:rPr>
      </w:pPr>
      <w:r w:rsidRPr="00AB3B4B">
        <w:rPr>
          <w:rFonts w:hint="cs"/>
          <w:rtl/>
        </w:rPr>
        <w:t>בעקבות משבר בחיי הנישואין התגרשו הצדדים ביום ג' באב תשע"ד, 30/7/2014.</w:t>
      </w:r>
    </w:p>
    <w:p w:rsidR="00945246" w:rsidRPr="00AB3B4B" w:rsidRDefault="00945246" w:rsidP="005A2816">
      <w:pPr>
        <w:pStyle w:val="ae"/>
        <w:rPr>
          <w:rtl/>
        </w:rPr>
      </w:pPr>
      <w:r w:rsidRPr="00AB3B4B">
        <w:rPr>
          <w:rFonts w:hint="cs"/>
          <w:rtl/>
        </w:rPr>
        <w:t>לאחר שהתגרשו הצדדים היו הילדים במשמורת האם, ויומיים בשבוע שהו הילדים אצל האב.</w:t>
      </w:r>
    </w:p>
    <w:p w:rsidR="00945246" w:rsidRPr="00AB3B4B" w:rsidRDefault="00945246" w:rsidP="005A2816">
      <w:pPr>
        <w:pStyle w:val="ae"/>
        <w:rPr>
          <w:rtl/>
        </w:rPr>
      </w:pPr>
      <w:r w:rsidRPr="00AB3B4B">
        <w:rPr>
          <w:rFonts w:hint="cs"/>
          <w:rtl/>
        </w:rPr>
        <w:t>בפועל שהו הילדים אצל</w:t>
      </w:r>
      <w:r w:rsidR="00C15B39">
        <w:rPr>
          <w:rFonts w:hint="cs"/>
          <w:rtl/>
        </w:rPr>
        <w:t xml:space="preserve"> האב ואצל הוריו זמן רב יותר ממה</w:t>
      </w:r>
      <w:r w:rsidRPr="00AB3B4B">
        <w:rPr>
          <w:rFonts w:hint="cs"/>
          <w:rtl/>
        </w:rPr>
        <w:t xml:space="preserve"> הוחלט. </w:t>
      </w:r>
    </w:p>
    <w:p w:rsidR="00945246" w:rsidRPr="00AB3B4B" w:rsidRDefault="00945246" w:rsidP="005A2816">
      <w:pPr>
        <w:pStyle w:val="ae"/>
        <w:rPr>
          <w:rtl/>
        </w:rPr>
      </w:pPr>
      <w:r w:rsidRPr="00AB3B4B">
        <w:rPr>
          <w:rFonts w:hint="cs"/>
          <w:rtl/>
        </w:rPr>
        <w:t xml:space="preserve">לפני כשנה עתר האב לביה"ד בתביעה למשמורת משותפת. </w:t>
      </w:r>
    </w:p>
    <w:p w:rsidR="00945246" w:rsidRPr="00AB3B4B" w:rsidRDefault="00945246" w:rsidP="005A2816">
      <w:pPr>
        <w:pStyle w:val="ae"/>
        <w:rPr>
          <w:rtl/>
        </w:rPr>
      </w:pPr>
      <w:r w:rsidRPr="00AB3B4B">
        <w:rPr>
          <w:rFonts w:hint="cs"/>
          <w:rtl/>
        </w:rPr>
        <w:t xml:space="preserve">ביום 25/12/2017 הונח תסקיר התומך בתביעה, וההמלצה הייתה למשמורת משותפת. </w:t>
      </w:r>
    </w:p>
    <w:p w:rsidR="00945246" w:rsidRPr="00AB3B4B" w:rsidRDefault="00945246" w:rsidP="005A2816">
      <w:pPr>
        <w:pStyle w:val="ae"/>
        <w:rPr>
          <w:rtl/>
        </w:rPr>
      </w:pPr>
      <w:r w:rsidRPr="00AB3B4B">
        <w:rPr>
          <w:rFonts w:hint="cs"/>
          <w:rtl/>
        </w:rPr>
        <w:t xml:space="preserve">האם התנגדה להמלצות התסקיר, ונקבע מועד לדיון. </w:t>
      </w:r>
    </w:p>
    <w:p w:rsidR="00945246" w:rsidRPr="00AB3B4B" w:rsidRDefault="00945246" w:rsidP="005A2816">
      <w:pPr>
        <w:pStyle w:val="ae"/>
        <w:rPr>
          <w:rtl/>
        </w:rPr>
      </w:pPr>
      <w:r w:rsidRPr="00AB3B4B">
        <w:rPr>
          <w:rFonts w:hint="cs"/>
          <w:rtl/>
        </w:rPr>
        <w:t xml:space="preserve">בדיון זה טענה האם את טענותיה. לדבריה, האב מבקש משמורת משותפת רק משום שהוא חפץ להקטין את המזונות ולא משום הדאגה הכנה שלו לילדים. לדבריה, צרכי הילדים בבית האב חסרים, האב מותיר את ילדיו אצל הוריו, אינו דואג להם בעצמו, תפקודו לקוי ויש סתירות בדו"ח שהוגש מטעם שרותי הרווחה. </w:t>
      </w:r>
    </w:p>
    <w:p w:rsidR="00945246" w:rsidRPr="00AB3B4B" w:rsidRDefault="00945246" w:rsidP="005A2816">
      <w:pPr>
        <w:pStyle w:val="ae"/>
        <w:rPr>
          <w:rtl/>
        </w:rPr>
      </w:pPr>
      <w:r w:rsidRPr="00AB3B4B">
        <w:rPr>
          <w:rFonts w:hint="cs"/>
          <w:rtl/>
        </w:rPr>
        <w:t>ביה"ד באותו דיון העמיד את האם על הסתירות שקיימות לכאורה בדבריה: כאשר ב</w:t>
      </w:r>
      <w:r>
        <w:rPr>
          <w:rFonts w:hint="cs"/>
          <w:rtl/>
        </w:rPr>
        <w:t>י</w:t>
      </w:r>
      <w:r w:rsidRPr="00AB3B4B">
        <w:rPr>
          <w:rFonts w:hint="cs"/>
          <w:rtl/>
        </w:rPr>
        <w:t xml:space="preserve">קש האב להקטין את כמות המפגשים ואת אורכם היא התנגדה בחריפות, ואם כדבריה שהאב לוקה באבהותו היה לה להסכים. </w:t>
      </w:r>
    </w:p>
    <w:p w:rsidR="00945246" w:rsidRPr="00AB3B4B" w:rsidRDefault="00945246" w:rsidP="005A2816">
      <w:pPr>
        <w:pStyle w:val="ae"/>
        <w:rPr>
          <w:rtl/>
        </w:rPr>
      </w:pPr>
      <w:r w:rsidRPr="00AB3B4B">
        <w:rPr>
          <w:rFonts w:hint="cs"/>
          <w:rtl/>
        </w:rPr>
        <w:t xml:space="preserve">למרות כל הנ"ל קבע ביה"ד תקופת ניסיון של ארבעה חודשים שבהם המשמורת תהא משותפת, ולאחר מכן יתקיים דיון נוסף, ועד קיומו יוגש תסקיר מעודכן וכן עמדת הצדדים. </w:t>
      </w:r>
    </w:p>
    <w:p w:rsidR="00945246" w:rsidRPr="00AB3B4B" w:rsidRDefault="00945246" w:rsidP="005A2816">
      <w:pPr>
        <w:pStyle w:val="ae"/>
        <w:rPr>
          <w:rtl/>
        </w:rPr>
      </w:pPr>
      <w:r w:rsidRPr="00AB3B4B">
        <w:rPr>
          <w:rFonts w:hint="cs"/>
          <w:rtl/>
        </w:rPr>
        <w:t xml:space="preserve">המלצות התסקיר היו שוב חד משמעיות </w:t>
      </w:r>
      <w:r w:rsidR="000E6889">
        <w:rPr>
          <w:rFonts w:hint="cs"/>
          <w:rtl/>
        </w:rPr>
        <w:t xml:space="preserve">- </w:t>
      </w:r>
      <w:r w:rsidRPr="00AB3B4B">
        <w:rPr>
          <w:rFonts w:hint="cs"/>
          <w:rtl/>
        </w:rPr>
        <w:t xml:space="preserve">שהאב הינו אב ראוי ומומלצת משמורת משותפת. </w:t>
      </w:r>
    </w:p>
    <w:p w:rsidR="00945246" w:rsidRPr="00AB3B4B" w:rsidRDefault="00945246" w:rsidP="005A2816">
      <w:pPr>
        <w:pStyle w:val="ae"/>
        <w:rPr>
          <w:rtl/>
        </w:rPr>
      </w:pPr>
      <w:r w:rsidRPr="00AB3B4B">
        <w:rPr>
          <w:rFonts w:hint="cs"/>
          <w:rtl/>
        </w:rPr>
        <w:lastRenderedPageBreak/>
        <w:t xml:space="preserve">האם שוב הביעה את התנגדותה בדיון שהתקיים ביום י"ב בחשוון תשע"ט </w:t>
      </w:r>
      <w:r w:rsidRPr="00B471CE">
        <w:rPr>
          <w:rFonts w:hint="cs"/>
          <w:sz w:val="24"/>
          <w:szCs w:val="24"/>
          <w:rtl/>
        </w:rPr>
        <w:t>(21/10/2018),</w:t>
      </w:r>
      <w:r w:rsidRPr="00AB3B4B">
        <w:rPr>
          <w:rFonts w:hint="cs"/>
          <w:rtl/>
        </w:rPr>
        <w:t xml:space="preserve"> וקראה מתוך הכתב כמה ליקויים באבהות האב.</w:t>
      </w:r>
    </w:p>
    <w:p w:rsidR="005A2816" w:rsidRDefault="00945246" w:rsidP="005A2816">
      <w:pPr>
        <w:pStyle w:val="ae"/>
        <w:rPr>
          <w:rtl/>
        </w:rPr>
      </w:pPr>
      <w:r w:rsidRPr="00AB3B4B">
        <w:rPr>
          <w:rFonts w:hint="cs"/>
          <w:rtl/>
        </w:rPr>
        <w:t>ביה"ד הבהיר לצדדים שבמצב הזה אין מוצא אחר פרט לקבלת המלצת רשויות הרווחה, כיוון שהליקויים שמנתה האם אינם לי</w:t>
      </w:r>
      <w:r w:rsidR="005A2816">
        <w:rPr>
          <w:rFonts w:hint="cs"/>
          <w:rtl/>
        </w:rPr>
        <w:t>קויים המצדיקים אי קיום ההמלצות.</w:t>
      </w:r>
    </w:p>
    <w:p w:rsidR="00945246" w:rsidRPr="00C034BD" w:rsidRDefault="00945246" w:rsidP="005A2816">
      <w:pPr>
        <w:pStyle w:val="-0"/>
        <w:rPr>
          <w:rtl/>
        </w:rPr>
      </w:pPr>
      <w:r w:rsidRPr="00C034BD">
        <w:rPr>
          <w:rFonts w:hint="cs"/>
          <w:rtl/>
        </w:rPr>
        <w:t>משמורת</w:t>
      </w:r>
    </w:p>
    <w:p w:rsidR="00945246" w:rsidRPr="00AB3B4B" w:rsidRDefault="00945246" w:rsidP="005A2816">
      <w:pPr>
        <w:pStyle w:val="ae"/>
        <w:rPr>
          <w:rtl/>
        </w:rPr>
      </w:pPr>
      <w:r w:rsidRPr="00AB3B4B">
        <w:rPr>
          <w:rFonts w:hint="cs"/>
          <w:rtl/>
        </w:rPr>
        <w:t>ביה"ד קובע בז</w:t>
      </w:r>
      <w:r w:rsidR="00B471CE">
        <w:rPr>
          <w:rFonts w:hint="cs"/>
          <w:rtl/>
        </w:rPr>
        <w:t>ה שהמשמורת על הילדים</w:t>
      </w:r>
      <w:r w:rsidRPr="00AB3B4B">
        <w:rPr>
          <w:rFonts w:hint="cs"/>
          <w:rtl/>
        </w:rPr>
        <w:t xml:space="preserve"> הינה משותפת לשני ההורים כפי שנקבע בעבר, באותו הסדר ובאותם הימים. </w:t>
      </w:r>
    </w:p>
    <w:p w:rsidR="00945246" w:rsidRPr="00042AA2" w:rsidRDefault="00945246" w:rsidP="0013545E">
      <w:pPr>
        <w:pStyle w:val="-0"/>
        <w:rPr>
          <w:rtl/>
        </w:rPr>
      </w:pPr>
      <w:r w:rsidRPr="00042AA2">
        <w:rPr>
          <w:rFonts w:hint="cs"/>
          <w:rtl/>
        </w:rPr>
        <w:t>הפחתת מזונות</w:t>
      </w:r>
    </w:p>
    <w:p w:rsidR="00945246" w:rsidRPr="00AB3B4B" w:rsidRDefault="00945246" w:rsidP="0013545E">
      <w:pPr>
        <w:pStyle w:val="ae"/>
        <w:rPr>
          <w:rtl/>
        </w:rPr>
      </w:pPr>
      <w:r w:rsidRPr="00AB3B4B">
        <w:rPr>
          <w:rFonts w:hint="cs"/>
          <w:rtl/>
        </w:rPr>
        <w:t>בעניין הפחתת סכום המזונות בשל המשמורת המשותפת, בית הדין החליט בעבר שהוא ידון בזה כאשר ייקבע סופית שהמשמורת היא אכן משותפת, והיא תוחל רטרואקטיבי</w:t>
      </w:r>
      <w:r w:rsidRPr="00AB3B4B">
        <w:rPr>
          <w:rFonts w:hint="eastAsia"/>
          <w:rtl/>
        </w:rPr>
        <w:t>ת</w:t>
      </w:r>
      <w:r w:rsidRPr="00AB3B4B">
        <w:rPr>
          <w:rFonts w:hint="cs"/>
          <w:rtl/>
        </w:rPr>
        <w:t xml:space="preserve"> מהיום שבו החלה תקופת הניסיון למשמורת משותפת. </w:t>
      </w:r>
    </w:p>
    <w:p w:rsidR="00945246" w:rsidRPr="00AB3B4B" w:rsidRDefault="00945246" w:rsidP="0013545E">
      <w:pPr>
        <w:pStyle w:val="ae"/>
        <w:rPr>
          <w:rtl/>
        </w:rPr>
      </w:pPr>
      <w:r w:rsidRPr="00AB3B4B">
        <w:rPr>
          <w:rFonts w:hint="cs"/>
          <w:rtl/>
        </w:rPr>
        <w:t>אחר שהוכרע עניין המשמורת כאמור, וביה"ד קבע שהמשמורת תהא משותפת, מחצית מהזמן הילדים ישהו אצל האב ומחצית מהזמן אצל האם, הגיעה העת לדון בשאלת הפחתת סכום המזונות שחייב האב.</w:t>
      </w:r>
    </w:p>
    <w:p w:rsidR="00945246" w:rsidRPr="00AB3B4B" w:rsidRDefault="00945246" w:rsidP="0013545E">
      <w:pPr>
        <w:pStyle w:val="-0"/>
        <w:rPr>
          <w:rtl/>
        </w:rPr>
      </w:pPr>
      <w:r w:rsidRPr="00AB3B4B">
        <w:rPr>
          <w:rFonts w:hint="cs"/>
          <w:rtl/>
        </w:rPr>
        <w:t>רקע ועובדות</w:t>
      </w:r>
    </w:p>
    <w:p w:rsidR="00945246" w:rsidRPr="00AB3B4B" w:rsidRDefault="00945246" w:rsidP="00516029">
      <w:pPr>
        <w:pStyle w:val="ae"/>
        <w:rPr>
          <w:rtl/>
        </w:rPr>
      </w:pPr>
      <w:r w:rsidRPr="00AB3B4B">
        <w:rPr>
          <w:rFonts w:hint="cs"/>
          <w:rtl/>
        </w:rPr>
        <w:t xml:space="preserve">הצדדים התגרשו בתאריך ג' באב תשע"ד </w:t>
      </w:r>
      <w:r w:rsidRPr="00516029">
        <w:rPr>
          <w:rFonts w:hint="cs"/>
          <w:sz w:val="24"/>
          <w:szCs w:val="24"/>
          <w:rtl/>
        </w:rPr>
        <w:t>(30/7/2014)</w:t>
      </w:r>
      <w:r w:rsidR="00516029">
        <w:rPr>
          <w:rFonts w:hint="cs"/>
          <w:rtl/>
        </w:rPr>
        <w:t>,</w:t>
      </w:r>
      <w:r w:rsidRPr="00AB3B4B">
        <w:rPr>
          <w:rFonts w:hint="cs"/>
          <w:rtl/>
        </w:rPr>
        <w:t xml:space="preserve"> להם שני ילדים </w:t>
      </w:r>
      <w:r w:rsidR="00AF04E4">
        <w:rPr>
          <w:rFonts w:hint="cs"/>
          <w:rtl/>
        </w:rPr>
        <w:t xml:space="preserve">שהיו בעת הגירושין במשמורת האם, כאשר </w:t>
      </w:r>
      <w:r w:rsidRPr="00AB3B4B">
        <w:rPr>
          <w:rFonts w:hint="cs"/>
          <w:rtl/>
        </w:rPr>
        <w:t xml:space="preserve">נקבעו לאב זמני שהות רחבים עימם. </w:t>
      </w:r>
    </w:p>
    <w:p w:rsidR="00945246" w:rsidRPr="00AB3B4B" w:rsidRDefault="00945246" w:rsidP="00AF04E4">
      <w:pPr>
        <w:pStyle w:val="ae"/>
        <w:rPr>
          <w:rtl/>
        </w:rPr>
      </w:pPr>
      <w:r w:rsidRPr="00AB3B4B">
        <w:rPr>
          <w:rFonts w:hint="cs"/>
          <w:rtl/>
        </w:rPr>
        <w:t>בזמן שהילדים היו כארבעה ימי חול אצל האם, שני ימי חול אצל האב ושבת אחת לסירוגין בין שניהם, קבע ביה"ד שהאב ישלם</w:t>
      </w:r>
      <w:r w:rsidR="00AF04E4">
        <w:rPr>
          <w:rFonts w:hint="cs"/>
          <w:rtl/>
        </w:rPr>
        <w:t xml:space="preserve"> עבור מזונות ילדיו סך של 2,400 ש"ח למזונות שני ילדיו, ו-1,100 ש"ח</w:t>
      </w:r>
      <w:r w:rsidRPr="00AB3B4B">
        <w:rPr>
          <w:rFonts w:hint="cs"/>
          <w:rtl/>
        </w:rPr>
        <w:t xml:space="preserve"> כסכום גלובלי לא משתנה עבור מדור בהסכמה.בנוסף, חויב האב בתשלום עבור צהרון לילדים. </w:t>
      </w:r>
    </w:p>
    <w:p w:rsidR="00945246" w:rsidRPr="00AB3B4B" w:rsidRDefault="00945246" w:rsidP="0013545E">
      <w:pPr>
        <w:pStyle w:val="ae"/>
        <w:rPr>
          <w:rtl/>
        </w:rPr>
      </w:pPr>
      <w:r w:rsidRPr="00AB3B4B">
        <w:rPr>
          <w:rFonts w:hint="cs"/>
          <w:rtl/>
        </w:rPr>
        <w:t>כעת, היות שנקבע שהמשמורת משותפת, טוען האב שיש להפחית משמעותית את סכום המזונות, וכיוון שהכנסות הצדדים יחסית שוות</w:t>
      </w:r>
      <w:r w:rsidR="00A97040">
        <w:rPr>
          <w:rFonts w:hint="cs"/>
          <w:rtl/>
        </w:rPr>
        <w:t>,</w:t>
      </w:r>
      <w:r w:rsidRPr="00AB3B4B">
        <w:rPr>
          <w:rFonts w:hint="cs"/>
          <w:rtl/>
        </w:rPr>
        <w:t xml:space="preserve"> אף לקבוע שכל הורה יישא בצרכי ילדיו כאשר הם אצלו בלבד ולפטור אותו מתשלום כלשהו לאם. </w:t>
      </w:r>
    </w:p>
    <w:p w:rsidR="00945246" w:rsidRPr="00AB3B4B" w:rsidRDefault="00945246" w:rsidP="0013545E">
      <w:pPr>
        <w:pStyle w:val="ae"/>
        <w:rPr>
          <w:rtl/>
        </w:rPr>
      </w:pPr>
      <w:r w:rsidRPr="00AB3B4B">
        <w:rPr>
          <w:rFonts w:hint="cs"/>
          <w:rtl/>
        </w:rPr>
        <w:t>האב תמך את תביעתו בקביעה שהתקבלה לאחרונה בבית המשפט הגבוה לערעורים שבמקרה שבו המשמורת משותפת, חלוקת זמני השהות שווה והכנסות הצדדים שוות בערך</w:t>
      </w:r>
      <w:r>
        <w:rPr>
          <w:rFonts w:hint="cs"/>
          <w:rtl/>
        </w:rPr>
        <w:t>,</w:t>
      </w:r>
      <w:r w:rsidRPr="00AB3B4B">
        <w:rPr>
          <w:rFonts w:hint="cs"/>
          <w:rtl/>
        </w:rPr>
        <w:t xml:space="preserve"> גם צורכי הילדים יחולקו בין ההורים וכל אחד מהם יספק לילדים את צרכיהם כאשר הם אצלו. שאר הצרכים כגון חינוך, ביגוד וכדומה, שהם צרכים שאינם תלויים בזמני השהות, יחולקו בין ההורים. </w:t>
      </w:r>
    </w:p>
    <w:p w:rsidR="00945246" w:rsidRPr="00AB3B4B" w:rsidRDefault="00945246" w:rsidP="0013545E">
      <w:pPr>
        <w:pStyle w:val="ae"/>
        <w:rPr>
          <w:rtl/>
        </w:rPr>
      </w:pPr>
      <w:r w:rsidRPr="00AB3B4B">
        <w:rPr>
          <w:rFonts w:hint="cs"/>
          <w:rtl/>
        </w:rPr>
        <w:t xml:space="preserve">עוד טען האב באמצעות ב"כ שלא רק בית המשפט הגבוה לערעורים פסק כך אלא גם בית הדין האזורי בחיפה בפסק דין שפורסם לאחרונה, ובו הוא מנמק מדוע חלוקה זו נכונה על פי ההלכה. </w:t>
      </w:r>
    </w:p>
    <w:p w:rsidR="00945246" w:rsidRPr="00AB3B4B" w:rsidRDefault="00945246" w:rsidP="0013545E">
      <w:pPr>
        <w:pStyle w:val="ae"/>
        <w:rPr>
          <w:rtl/>
        </w:rPr>
      </w:pPr>
      <w:r w:rsidRPr="00AB3B4B">
        <w:rPr>
          <w:rFonts w:hint="cs"/>
          <w:rtl/>
        </w:rPr>
        <w:t>אשר על כן סבור האב שזו צריכה להיות הכרעת ביה"ד, שהרי גם ההלכה וגם פסק בית המשפט הגבוה לערעורים קבעו כך.</w:t>
      </w:r>
    </w:p>
    <w:p w:rsidR="00945246" w:rsidRPr="00AB3B4B" w:rsidRDefault="00945246" w:rsidP="0013545E">
      <w:pPr>
        <w:pStyle w:val="ae"/>
        <w:rPr>
          <w:rtl/>
        </w:rPr>
      </w:pPr>
      <w:r w:rsidRPr="00AB3B4B">
        <w:rPr>
          <w:rFonts w:hint="cs"/>
          <w:rtl/>
        </w:rPr>
        <w:t>האם, מאידך גיסא, טענה שחובת מזונות הילדים מוטלת על האב גם במקרה שבו המשמורת משותפת, כאשר הילדים נמצאים אצל האם על האב לדאוג לצרכיהם. לדעתה זו ההלכה, והחוק קובע שבעניינים אלו הדין האישי, כלומר ההלכה היהודית, היא המכריעה.</w:t>
      </w:r>
    </w:p>
    <w:p w:rsidR="00945246" w:rsidRPr="00AB3B4B" w:rsidRDefault="00945246" w:rsidP="0013545E">
      <w:pPr>
        <w:pStyle w:val="ae"/>
        <w:rPr>
          <w:rtl/>
        </w:rPr>
      </w:pPr>
      <w:r w:rsidRPr="00AB3B4B">
        <w:rPr>
          <w:rFonts w:hint="cs"/>
          <w:rtl/>
        </w:rPr>
        <w:t>האם לא התייחסה לפסקי הדין שהזכירה ב"כ האב והותירה את הדברים להכרעת ביה"ד.</w:t>
      </w:r>
    </w:p>
    <w:p w:rsidR="00945246" w:rsidRPr="00AB3B4B" w:rsidRDefault="00945246" w:rsidP="0013545E">
      <w:pPr>
        <w:pStyle w:val="ae"/>
        <w:rPr>
          <w:rtl/>
        </w:rPr>
      </w:pPr>
      <w:r w:rsidRPr="00AB3B4B">
        <w:rPr>
          <w:rFonts w:hint="cs"/>
          <w:rtl/>
        </w:rPr>
        <w:lastRenderedPageBreak/>
        <w:t xml:space="preserve">ביה"ד קבע שהוא מקבל את עמדת האם, והאב מחויב במזונות ילדיו גם במשמורת משותפת, כאשר הילדים נמצאים אצל האם, וגם במצב שההכנסות שוות. </w:t>
      </w:r>
    </w:p>
    <w:p w:rsidR="00945246" w:rsidRPr="00AB3B4B" w:rsidRDefault="00945246" w:rsidP="0013545E">
      <w:pPr>
        <w:pStyle w:val="ae"/>
        <w:rPr>
          <w:rtl/>
        </w:rPr>
      </w:pPr>
      <w:r w:rsidRPr="00AB3B4B">
        <w:rPr>
          <w:rFonts w:hint="cs"/>
          <w:rtl/>
        </w:rPr>
        <w:t xml:space="preserve">עם זאת, קבע ביה"ד שנוכח הקטנת זמני השהות שהילדים נמצאים אצל האם אין ספק שבכך הוצאותיה על הילדים קטנו, ויש להפחית את סכום המזונות בהתאם. </w:t>
      </w:r>
    </w:p>
    <w:p w:rsidR="00945246" w:rsidRPr="00AB3B4B" w:rsidRDefault="00945246" w:rsidP="0013545E">
      <w:pPr>
        <w:pStyle w:val="ae"/>
        <w:rPr>
          <w:rtl/>
        </w:rPr>
      </w:pPr>
      <w:r w:rsidRPr="00AB3B4B">
        <w:rPr>
          <w:rFonts w:hint="cs"/>
          <w:rtl/>
        </w:rPr>
        <w:t>מעתה, קבע ביה"ד שה</w:t>
      </w:r>
      <w:r w:rsidR="00BC7A46">
        <w:rPr>
          <w:rFonts w:hint="cs"/>
          <w:rtl/>
        </w:rPr>
        <w:t>אב ישלם עבור מזונות הילדים 900 ש"ח לכל ילד במקום 1,200 ש"ח</w:t>
      </w:r>
      <w:r w:rsidRPr="00AB3B4B">
        <w:rPr>
          <w:rFonts w:hint="cs"/>
          <w:rtl/>
        </w:rPr>
        <w:t xml:space="preserve">. שאר החיובים שאינם תלויים בזמני שהות יישארו כמו בפסק הדין הקודם. </w:t>
      </w:r>
    </w:p>
    <w:p w:rsidR="00945246" w:rsidRPr="00AB3B4B" w:rsidRDefault="00945246" w:rsidP="0013545E">
      <w:pPr>
        <w:pStyle w:val="ae"/>
        <w:rPr>
          <w:rtl/>
        </w:rPr>
      </w:pPr>
      <w:r w:rsidRPr="00AB3B4B">
        <w:rPr>
          <w:rFonts w:hint="cs"/>
          <w:rtl/>
        </w:rPr>
        <w:t>החישוב שערך ביה"ד הוא פשוט, כיוון שבפסק הדין הקודם נקבע כי סכום המזונות</w:t>
      </w:r>
      <w:r w:rsidR="003B763A">
        <w:rPr>
          <w:rFonts w:hint="cs"/>
          <w:rtl/>
        </w:rPr>
        <w:t xml:space="preserve"> לילד אחד יעמוד על סך של 1,200 ש"ח</w:t>
      </w:r>
      <w:r w:rsidRPr="00AB3B4B">
        <w:rPr>
          <w:rFonts w:hint="cs"/>
          <w:rtl/>
        </w:rPr>
        <w:t xml:space="preserve"> לחודש, ובזה ממלא האב את חובתו לדאוג לילדים בארבעת ימי השבוע שנמצאים הילדים אצל האם, יוצא איפה,</w:t>
      </w:r>
      <w:r w:rsidR="003B763A">
        <w:rPr>
          <w:rFonts w:hint="cs"/>
          <w:rtl/>
        </w:rPr>
        <w:t xml:space="preserve"> שעל כל יום נקבע שהאב משלם 300 ש"ח</w:t>
      </w:r>
      <w:r w:rsidRPr="003B763A">
        <w:rPr>
          <w:rFonts w:hint="cs"/>
          <w:sz w:val="24"/>
          <w:szCs w:val="24"/>
          <w:rtl/>
        </w:rPr>
        <w:t>(ראוי לציין שהכוונה יום בשבוע שהם כארבעה ימים בחודש).</w:t>
      </w:r>
    </w:p>
    <w:p w:rsidR="00945246" w:rsidRPr="00AB3B4B" w:rsidRDefault="00945246" w:rsidP="0013545E">
      <w:pPr>
        <w:pStyle w:val="ae"/>
        <w:rPr>
          <w:rtl/>
        </w:rPr>
      </w:pPr>
      <w:r w:rsidRPr="00AB3B4B">
        <w:rPr>
          <w:rFonts w:hint="cs"/>
          <w:rtl/>
        </w:rPr>
        <w:t xml:space="preserve">כיוון שעתה נקבע שהילדים ישהו אצל האם שלושה ימים בשבוע, יש </w:t>
      </w:r>
      <w:r w:rsidR="003B763A">
        <w:rPr>
          <w:rFonts w:hint="cs"/>
          <w:rtl/>
        </w:rPr>
        <w:t>להפחית מסכום המזונות סך של 300 ש"ח</w:t>
      </w:r>
      <w:r w:rsidRPr="00AB3B4B">
        <w:rPr>
          <w:rFonts w:hint="cs"/>
          <w:rtl/>
        </w:rPr>
        <w:t xml:space="preserve"> בחודש, ועל כן קבע ביה"ד ש</w:t>
      </w:r>
      <w:r w:rsidR="003B763A">
        <w:rPr>
          <w:rFonts w:hint="cs"/>
          <w:rtl/>
        </w:rPr>
        <w:t>סכום המזונות יעמוד מעתה על 900 ש"ח</w:t>
      </w:r>
      <w:r w:rsidRPr="00AB3B4B">
        <w:rPr>
          <w:rFonts w:hint="cs"/>
          <w:rtl/>
        </w:rPr>
        <w:t xml:space="preserve"> בחודש לכל ילד. </w:t>
      </w:r>
    </w:p>
    <w:p w:rsidR="00945246" w:rsidRPr="00AB3B4B" w:rsidRDefault="00945246" w:rsidP="0013545E">
      <w:pPr>
        <w:pStyle w:val="-0"/>
        <w:rPr>
          <w:rtl/>
        </w:rPr>
      </w:pPr>
      <w:r w:rsidRPr="00AB3B4B">
        <w:rPr>
          <w:rFonts w:hint="cs"/>
          <w:rtl/>
        </w:rPr>
        <w:t>נימוקים</w:t>
      </w:r>
    </w:p>
    <w:p w:rsidR="00945246" w:rsidRPr="00AB3B4B" w:rsidRDefault="00945246" w:rsidP="002B575F">
      <w:pPr>
        <w:pStyle w:val="ae"/>
        <w:rPr>
          <w:rtl/>
        </w:rPr>
      </w:pPr>
      <w:r w:rsidRPr="00AB3B4B">
        <w:rPr>
          <w:rFonts w:hint="cs"/>
          <w:rtl/>
        </w:rPr>
        <w:t xml:space="preserve">השאלה העומדת לפתחו של ביה"ד כבדת משקל, ויש לה משמעות רחבה, ומשום כך בחר ביה"ד לנמק ולהסביר את פסק הדין בהרחבה. </w:t>
      </w:r>
    </w:p>
    <w:p w:rsidR="00945246" w:rsidRPr="00AB3B4B" w:rsidRDefault="00945246" w:rsidP="002B575F">
      <w:pPr>
        <w:pStyle w:val="ae"/>
        <w:rPr>
          <w:rtl/>
        </w:rPr>
      </w:pPr>
      <w:r w:rsidRPr="00AB3B4B">
        <w:rPr>
          <w:rFonts w:hint="cs"/>
          <w:rtl/>
        </w:rPr>
        <w:t xml:space="preserve">כאמור בפסק הדין, תמך האב את תביעתו להפחתת סכום המזונות עד לביטולם על בסיס פסקי דין שנתנו על ידי בית המשפט הגבוה לערעורים ובית הדין האזורי בחיפה. </w:t>
      </w:r>
    </w:p>
    <w:p w:rsidR="00945246" w:rsidRPr="00AB3B4B" w:rsidRDefault="00945246" w:rsidP="002B575F">
      <w:pPr>
        <w:pStyle w:val="ae"/>
        <w:rPr>
          <w:rtl/>
        </w:rPr>
      </w:pPr>
      <w:r w:rsidRPr="00AB3B4B">
        <w:rPr>
          <w:rFonts w:hint="cs"/>
          <w:rtl/>
        </w:rPr>
        <w:t>לצורך בירור סוגיה זו נביא את ע</w:t>
      </w:r>
      <w:r w:rsidR="002D15BC">
        <w:rPr>
          <w:rFonts w:hint="cs"/>
          <w:rtl/>
        </w:rPr>
        <w:t>י</w:t>
      </w:r>
      <w:r w:rsidRPr="00AB3B4B">
        <w:rPr>
          <w:rFonts w:hint="cs"/>
          <w:rtl/>
        </w:rPr>
        <w:t xml:space="preserve">קרי הדברים ואת דעת ביה"ד דנן. </w:t>
      </w:r>
    </w:p>
    <w:p w:rsidR="00945246" w:rsidRPr="00AB3B4B" w:rsidRDefault="00945246" w:rsidP="002B575F">
      <w:pPr>
        <w:pStyle w:val="-0"/>
        <w:rPr>
          <w:rtl/>
        </w:rPr>
      </w:pPr>
      <w:r w:rsidRPr="00AB3B4B">
        <w:rPr>
          <w:rFonts w:hint="cs"/>
          <w:rtl/>
        </w:rPr>
        <w:t>בע"מ 919/15</w:t>
      </w:r>
    </w:p>
    <w:p w:rsidR="00945246" w:rsidRPr="00AB3B4B" w:rsidRDefault="00945246" w:rsidP="002B575F">
      <w:pPr>
        <w:pStyle w:val="ae"/>
        <w:rPr>
          <w:rtl/>
        </w:rPr>
      </w:pPr>
      <w:r w:rsidRPr="00AB3B4B">
        <w:rPr>
          <w:rFonts w:hint="cs"/>
          <w:rtl/>
        </w:rPr>
        <w:t xml:space="preserve">בפסק הדין של בית המשפט </w:t>
      </w:r>
      <w:r w:rsidRPr="00B0655D">
        <w:rPr>
          <w:sz w:val="24"/>
          <w:szCs w:val="24"/>
          <w:rtl/>
        </w:rPr>
        <w:t>(בע"מ 919/15)</w:t>
      </w:r>
      <w:r w:rsidRPr="00AB3B4B">
        <w:rPr>
          <w:rFonts w:hint="cs"/>
          <w:rtl/>
        </w:rPr>
        <w:t>סקר כבוד השופט פוגלמן את ההיסטוריה המשפטית שקדמה לפסק דינו באשר לחובת המזונות המוטלת על ההורים:</w:t>
      </w:r>
    </w:p>
    <w:p w:rsidR="00945246" w:rsidRPr="00AB3B4B" w:rsidRDefault="00945246" w:rsidP="002B575F">
      <w:pPr>
        <w:pStyle w:val="ae"/>
        <w:rPr>
          <w:rtl/>
        </w:rPr>
      </w:pPr>
      <w:r w:rsidRPr="00AB3B4B">
        <w:rPr>
          <w:rFonts w:hint="cs"/>
          <w:rtl/>
        </w:rPr>
        <w:t xml:space="preserve">בתחילה הובאה ההלכה ממקורותיה, הגמ', השו"ע והפוסקים, הדין שאב חייב במזונות ילדיו הקטנים עד גיל 6 </w:t>
      </w:r>
      <w:r w:rsidRPr="00B0655D">
        <w:rPr>
          <w:rFonts w:hint="cs"/>
          <w:sz w:val="24"/>
          <w:szCs w:val="24"/>
          <w:rtl/>
        </w:rPr>
        <w:t>(היינו קטני קטנים)</w:t>
      </w:r>
      <w:r w:rsidRPr="00AB3B4B">
        <w:rPr>
          <w:rFonts w:hint="cs"/>
          <w:rtl/>
        </w:rPr>
        <w:t xml:space="preserve">, תקנת אושא מגיל 6 ועד שיגדלו </w:t>
      </w:r>
      <w:r w:rsidRPr="00B0655D">
        <w:rPr>
          <w:rFonts w:hint="cs"/>
          <w:sz w:val="24"/>
          <w:szCs w:val="24"/>
          <w:rtl/>
        </w:rPr>
        <w:t>(גדול בלשון חז"ל היינו גיל מצוות, 12 בבת ו-13 בבן).</w:t>
      </w:r>
      <w:r w:rsidRPr="00AB3B4B">
        <w:rPr>
          <w:rFonts w:hint="cs"/>
          <w:rtl/>
        </w:rPr>
        <w:t xml:space="preserve"> ולאחר מכן הובאה תקנת הרבנות הראשית בשנת תש"ד לילדים בני 15-6, ולאחר מכן הוזכר חיוב המזונות לילדים בני 18-15 מדין צדקה.</w:t>
      </w:r>
    </w:p>
    <w:p w:rsidR="00945246" w:rsidRPr="00AB3B4B" w:rsidRDefault="00945246" w:rsidP="002B575F">
      <w:pPr>
        <w:pStyle w:val="ae"/>
        <w:rPr>
          <w:rtl/>
        </w:rPr>
      </w:pPr>
      <w:r w:rsidRPr="00AB3B4B">
        <w:rPr>
          <w:rFonts w:hint="cs"/>
          <w:rtl/>
        </w:rPr>
        <w:t>לדברי הכותב, הנוהג המקובל בפסיקה בבית המשפט העליון היה שעד גיל 15 הוטלה חובת המזונות על האב מכוח תקנת הרבנות הראשית בשנת תש"ד באופן מלא לגבי צרכים הכרחיים, ומגיל 15 עד גיל 18 מדין צדקה בלבד, ונערכה חלוקה מסוימת בין ההורים, ראה סעיף 20 לפסק הדין. זאת בעקבות פסק דין של מתקני התקנות עצמם, הרב הרצוג והרב עוזיאל, משנת תש"ז, שבו מובהר שהתקנה לא הייתה מדין צדקה לבד אלא כדין חיוב המזונות של האב עד גיל 6.</w:t>
      </w:r>
    </w:p>
    <w:p w:rsidR="00945246" w:rsidRPr="00AB3B4B" w:rsidRDefault="00945246" w:rsidP="002B575F">
      <w:pPr>
        <w:pStyle w:val="ae"/>
        <w:rPr>
          <w:rtl/>
        </w:rPr>
      </w:pPr>
      <w:r w:rsidRPr="00AB3B4B">
        <w:rPr>
          <w:rFonts w:hint="cs"/>
          <w:rtl/>
        </w:rPr>
        <w:t xml:space="preserve">ובסעיף 18 לפסק הדין הוא מאזכר פסקי דין רבים שבהם הטיל בית המשפט העליון את חובת המזונות על האב באופן מוחלט, כמובן, כאשר מדובר במזונות ההכרחיים. </w:t>
      </w:r>
    </w:p>
    <w:p w:rsidR="00945246" w:rsidRPr="00AB3B4B" w:rsidRDefault="00945246" w:rsidP="002B575F">
      <w:pPr>
        <w:pStyle w:val="ae"/>
        <w:rPr>
          <w:rtl/>
        </w:rPr>
      </w:pPr>
      <w:r w:rsidRPr="00AB3B4B">
        <w:rPr>
          <w:rFonts w:hint="cs"/>
          <w:rtl/>
        </w:rPr>
        <w:t xml:space="preserve">וכך כתב בסעיף 19 לפסק הדין כסיכום ביניים: </w:t>
      </w:r>
    </w:p>
    <w:p w:rsidR="00945246" w:rsidRPr="00AB3B4B" w:rsidRDefault="00945246" w:rsidP="002B575F">
      <w:pPr>
        <w:pStyle w:val="aff"/>
        <w:rPr>
          <w:rtl/>
        </w:rPr>
      </w:pPr>
      <w:r w:rsidRPr="00AB3B4B">
        <w:rPr>
          <w:rFonts w:hint="cs"/>
          <w:rtl/>
        </w:rPr>
        <w:t xml:space="preserve">"כאמור בפתח הדברים, ההלכה המחייבת, </w:t>
      </w:r>
      <w:r w:rsidRPr="00AB3B4B">
        <w:rPr>
          <w:rFonts w:hint="cs"/>
          <w:b/>
          <w:bCs/>
          <w:rtl/>
        </w:rPr>
        <w:t>שנקבעה בפסיקתו של בית המשפט זה</w:t>
      </w:r>
      <w:r w:rsidRPr="00AB3B4B">
        <w:rPr>
          <w:rFonts w:hint="cs"/>
          <w:rtl/>
        </w:rPr>
        <w:t xml:space="preserve"> היא כי אב יהודי חייב לספק את מזונותיהם ההכרחיים של ילדיו בגילאי 0-15, ובכלל זה גילאי 6-15, בעוד </w:t>
      </w:r>
      <w:r w:rsidRPr="00AB3B4B">
        <w:rPr>
          <w:rFonts w:hint="cs"/>
          <w:b/>
          <w:bCs/>
          <w:rtl/>
        </w:rPr>
        <w:t>שהאם מצידה פטורה לגמרי מחובה זו</w:t>
      </w:r>
      <w:r w:rsidRPr="00AB3B4B">
        <w:rPr>
          <w:rFonts w:hint="cs"/>
          <w:rtl/>
        </w:rPr>
        <w:t>".</w:t>
      </w:r>
    </w:p>
    <w:p w:rsidR="00945246" w:rsidRPr="00AB3B4B" w:rsidRDefault="00945246" w:rsidP="002B575F">
      <w:pPr>
        <w:pStyle w:val="ae"/>
        <w:rPr>
          <w:rtl/>
        </w:rPr>
      </w:pPr>
      <w:r w:rsidRPr="00AB3B4B">
        <w:rPr>
          <w:rFonts w:hint="cs"/>
          <w:rtl/>
        </w:rPr>
        <w:lastRenderedPageBreak/>
        <w:t xml:space="preserve">למרות המצב הברור מבחינה משפטית שהיה עד לפסק דין זה נדרשו השופטים לעיון מחדש בסוגיה זו. ואכן, לאחר שעיינו בסוגיה, קבעו שבשלה העת לקבלת פרשנות אחרת לתקנת מועצת הרבנות הראשית בשנת תש"ד כפי שיבואר לקמן. </w:t>
      </w:r>
    </w:p>
    <w:p w:rsidR="00945246" w:rsidRPr="00AB3B4B" w:rsidRDefault="00945246" w:rsidP="002B575F">
      <w:pPr>
        <w:pStyle w:val="ae"/>
        <w:rPr>
          <w:rtl/>
        </w:rPr>
      </w:pPr>
      <w:r w:rsidRPr="00AB3B4B">
        <w:rPr>
          <w:rFonts w:hint="cs"/>
          <w:rtl/>
        </w:rPr>
        <w:t xml:space="preserve">השאלה העקרונית שעולה לדיון היא האם תקנת מועצת הרבנות הראשית בשנת תש"ד שהשוותה את חיוב האב במזונות ילדיו עד גיל 15 לחיוב שעד גיל 6 הינה השוואה מוחלטת או לא, אלא רק לעניין שחייב במזונות ילדיו, אך לא באותם הגדרים המחמירים של חיוב האב במזונות קטני קטנים. </w:t>
      </w:r>
    </w:p>
    <w:p w:rsidR="00945246" w:rsidRPr="00AB3B4B" w:rsidRDefault="00945246" w:rsidP="002B575F">
      <w:pPr>
        <w:pStyle w:val="ae"/>
        <w:rPr>
          <w:b/>
          <w:bCs/>
          <w:rtl/>
        </w:rPr>
      </w:pPr>
      <w:r w:rsidRPr="00AB3B4B">
        <w:rPr>
          <w:rFonts w:hint="cs"/>
          <w:rtl/>
        </w:rPr>
        <w:t>כאמור בפסק הדין, מקובל היה בבית המשפט העליון בעקבות פס"ד של ביה"ד הגדול מ-1947 להתייחס אל התקנה הנ"ל כתקנה המרחיבה את חיוב המזונות המוטל על האב</w:t>
      </w:r>
      <w:r w:rsidRPr="00AB3B4B">
        <w:rPr>
          <w:rFonts w:hint="cs"/>
          <w:b/>
          <w:bCs/>
          <w:rtl/>
        </w:rPr>
        <w:t xml:space="preserve"> ממש כמו עד גיל 6.</w:t>
      </w:r>
    </w:p>
    <w:p w:rsidR="00945246" w:rsidRPr="00AB3B4B" w:rsidRDefault="00945246" w:rsidP="002B575F">
      <w:pPr>
        <w:pStyle w:val="ae"/>
        <w:rPr>
          <w:rtl/>
        </w:rPr>
      </w:pPr>
      <w:r w:rsidRPr="00AB3B4B">
        <w:rPr>
          <w:rFonts w:hint="cs"/>
          <w:rtl/>
        </w:rPr>
        <w:t xml:space="preserve">אף על פי כן, כתבו השופטים שישנה פרשנות אחרת שעל אף שההיסטוריה השיפוטית בביהמ"ש העליון לא קיבלה אותה כפרשנות מחייבת היא קיימת, והיא שחיוב האב בגילאים 15-6 הוא מדין ובגדרי צדקה. </w:t>
      </w:r>
    </w:p>
    <w:p w:rsidR="00945246" w:rsidRPr="00AB3B4B" w:rsidRDefault="00945246" w:rsidP="002B575F">
      <w:pPr>
        <w:pStyle w:val="ae"/>
        <w:rPr>
          <w:rtl/>
        </w:rPr>
      </w:pPr>
      <w:r w:rsidRPr="00AB3B4B">
        <w:rPr>
          <w:rFonts w:hint="cs"/>
          <w:rtl/>
        </w:rPr>
        <w:t>מסעיף 30 ועד סעיף 35 בפסק הדין ישנה הרחבה בשתי הפרשנויות של התקנה הנ"ל.</w:t>
      </w:r>
    </w:p>
    <w:p w:rsidR="00945246" w:rsidRPr="00AB3B4B" w:rsidRDefault="00945246" w:rsidP="002B575F">
      <w:pPr>
        <w:pStyle w:val="ae"/>
        <w:rPr>
          <w:rtl/>
        </w:rPr>
      </w:pPr>
      <w:r w:rsidRPr="00AB3B4B">
        <w:rPr>
          <w:rFonts w:hint="cs"/>
          <w:rtl/>
        </w:rPr>
        <w:t xml:space="preserve">ישנן מס' השלכות הלכתיות להגדרת חיוב המזונות מדין צדקה או כדין המזונות שעד גיל 6: </w:t>
      </w:r>
    </w:p>
    <w:p w:rsidR="00945246" w:rsidRPr="00AB3B4B" w:rsidRDefault="00945246" w:rsidP="0031025D">
      <w:pPr>
        <w:pStyle w:val="ad"/>
        <w:numPr>
          <w:ilvl w:val="0"/>
          <w:numId w:val="31"/>
        </w:numPr>
      </w:pPr>
      <w:r w:rsidRPr="00AB3B4B">
        <w:rPr>
          <w:rFonts w:hint="cs"/>
          <w:rtl/>
        </w:rPr>
        <w:t xml:space="preserve">הכנסות ממקורות אחרים לילדים: </w:t>
      </w:r>
    </w:p>
    <w:p w:rsidR="00945246" w:rsidRPr="00AB3B4B" w:rsidRDefault="00945246" w:rsidP="0031025D">
      <w:pPr>
        <w:pStyle w:val="ad"/>
        <w:ind w:left="720"/>
      </w:pPr>
      <w:r w:rsidRPr="00AB3B4B">
        <w:rPr>
          <w:rFonts w:hint="cs"/>
          <w:rtl/>
        </w:rPr>
        <w:t xml:space="preserve">אם החיוב הוא כמו עד גיל 6 האב חייב </w:t>
      </w:r>
      <w:r w:rsidRPr="00C96541">
        <w:rPr>
          <w:rFonts w:hint="cs"/>
          <w:sz w:val="24"/>
          <w:szCs w:val="24"/>
          <w:rtl/>
        </w:rPr>
        <w:t>(פרט לשיטת הרשב"א, שלא התקבלה להלכה)</w:t>
      </w:r>
      <w:r w:rsidRPr="00AB3B4B">
        <w:rPr>
          <w:rFonts w:hint="cs"/>
          <w:rtl/>
        </w:rPr>
        <w:t xml:space="preserve">, אך אם החיוב הינו מדין צדקה </w:t>
      </w:r>
      <w:r w:rsidRPr="00AB3B4B">
        <w:rPr>
          <w:rtl/>
        </w:rPr>
        <w:t>–</w:t>
      </w:r>
      <w:r w:rsidRPr="00AB3B4B">
        <w:rPr>
          <w:rFonts w:hint="cs"/>
          <w:rtl/>
        </w:rPr>
        <w:t xml:space="preserve"> יש להתחשב ביכולותיו האישיות של הקטין. </w:t>
      </w:r>
    </w:p>
    <w:p w:rsidR="00945246" w:rsidRPr="00AB3B4B" w:rsidRDefault="00945246" w:rsidP="0031025D">
      <w:pPr>
        <w:pStyle w:val="ad"/>
        <w:ind w:left="720"/>
        <w:rPr>
          <w:rtl/>
        </w:rPr>
      </w:pPr>
      <w:r w:rsidRPr="00AB3B4B">
        <w:rPr>
          <w:rFonts w:hint="cs"/>
          <w:rtl/>
        </w:rPr>
        <w:t>אמנם בדרך כלל אין הכנסות לקטין, אך לא נדיר מקרה שבו אם הקטין נפטרה והורישה את עיזבונה או חלק מעיזבונה לילדים, יש מקרים שקרוב משפחה כמו סב וכדומה הוריש או ציווה לטובת קרוביו הקטינים ממון</w:t>
      </w:r>
      <w:r>
        <w:rPr>
          <w:rFonts w:hint="cs"/>
          <w:rtl/>
        </w:rPr>
        <w:t>,</w:t>
      </w:r>
      <w:r w:rsidRPr="00AB3B4B">
        <w:rPr>
          <w:rFonts w:hint="cs"/>
          <w:rtl/>
        </w:rPr>
        <w:t xml:space="preserve"> שממנו יכולים הקטינים להתפרנס.</w:t>
      </w:r>
    </w:p>
    <w:p w:rsidR="00945246" w:rsidRPr="0031025D" w:rsidRDefault="00945246" w:rsidP="0031025D">
      <w:pPr>
        <w:pStyle w:val="afe"/>
        <w:numPr>
          <w:ilvl w:val="0"/>
          <w:numId w:val="31"/>
        </w:numPr>
        <w:snapToGrid w:val="0"/>
        <w:spacing w:after="120"/>
        <w:rPr>
          <w:kern w:val="28"/>
        </w:rPr>
      </w:pPr>
      <w:r w:rsidRPr="0031025D">
        <w:rPr>
          <w:rFonts w:hint="cs"/>
          <w:kern w:val="28"/>
          <w:rtl/>
        </w:rPr>
        <w:t xml:space="preserve">אב שאינו אמיד: </w:t>
      </w:r>
    </w:p>
    <w:p w:rsidR="00945246" w:rsidRPr="00AB3B4B" w:rsidRDefault="00945246" w:rsidP="009F22CB">
      <w:pPr>
        <w:pStyle w:val="ad"/>
        <w:ind w:left="720"/>
        <w:rPr>
          <w:rtl/>
        </w:rPr>
      </w:pPr>
      <w:r w:rsidRPr="00AB3B4B">
        <w:rPr>
          <w:rFonts w:hint="cs"/>
          <w:rtl/>
        </w:rPr>
        <w:t>כל אדם מחויב בצדקה, בין איש ובין אישה, בין עשיר ובין עני. אולם ישנה הבחנה ברמת החיוב, וכל אחד ואחד חייב לפי הגדרת יכולתו. מקובל לפסוק שגם חיוב של צדקה ניתן לגבייה בכפייה למרות שזו מצות עשה</w:t>
      </w:r>
      <w:r w:rsidR="00C96541">
        <w:rPr>
          <w:rFonts w:hint="cs"/>
          <w:rtl/>
        </w:rPr>
        <w:t xml:space="preserve"> שמתן שכרה בצידה, כמבואר בגמ' בבא </w:t>
      </w:r>
      <w:r w:rsidRPr="00AB3B4B">
        <w:rPr>
          <w:rFonts w:hint="cs"/>
          <w:rtl/>
        </w:rPr>
        <w:t>ב</w:t>
      </w:r>
      <w:r w:rsidR="00C96541">
        <w:rPr>
          <w:rFonts w:hint="cs"/>
          <w:rtl/>
        </w:rPr>
        <w:t xml:space="preserve">תראדף </w:t>
      </w:r>
      <w:r w:rsidRPr="00AB3B4B">
        <w:rPr>
          <w:rFonts w:hint="cs"/>
          <w:rtl/>
        </w:rPr>
        <w:t>ט</w:t>
      </w:r>
      <w:r w:rsidR="00C96541">
        <w:rPr>
          <w:rFonts w:hint="cs"/>
          <w:rtl/>
        </w:rPr>
        <w:t>'</w:t>
      </w:r>
      <w:r w:rsidRPr="00AB3B4B">
        <w:rPr>
          <w:rFonts w:hint="cs"/>
          <w:rtl/>
        </w:rPr>
        <w:t xml:space="preserve"> עמוד ב ובראשונים שם. לא נרחיב את הדיבור בעניין זה כיוון שהלכה למעשה נפסק כדעה שניתן לכפות תשלום הגם שהוא מדין צדקה בלבד. אף על פי כן יש מקרים שאין כופין אותו על הצדקה, כאשר הוא מוגדר כ"אינו אמיד". כמובן שהגדרה זו אינה מוחלטת, ותלויה ברמת הכנסתו, בצרכים שבגינם יש לתת את הצדקה ובגובה סכום הצדקה.</w:t>
      </w:r>
    </w:p>
    <w:p w:rsidR="00945246" w:rsidRPr="00AB3B4B" w:rsidRDefault="00945246" w:rsidP="009F22CB">
      <w:pPr>
        <w:pStyle w:val="ad"/>
        <w:ind w:left="720"/>
        <w:rPr>
          <w:rtl/>
        </w:rPr>
      </w:pPr>
      <w:r w:rsidRPr="00AB3B4B">
        <w:rPr>
          <w:rFonts w:hint="cs"/>
          <w:rtl/>
        </w:rPr>
        <w:t xml:space="preserve">בנוסף, הגמרא בכתובות </w:t>
      </w:r>
      <w:r w:rsidR="00C96541">
        <w:rPr>
          <w:rFonts w:hint="cs"/>
          <w:rtl/>
        </w:rPr>
        <w:t xml:space="preserve">דף </w:t>
      </w:r>
      <w:r w:rsidRPr="00AB3B4B">
        <w:rPr>
          <w:rFonts w:hint="cs"/>
          <w:rtl/>
        </w:rPr>
        <w:t xml:space="preserve">נ ע"א אומרת שתקנו באושא שלא יבזבז אדם לצורך צדקה יותר מחומש, ונפסק כן להלכה בשו"ע יו"ד </w:t>
      </w:r>
      <w:r w:rsidR="00433575">
        <w:rPr>
          <w:rFonts w:hint="cs"/>
          <w:rtl/>
        </w:rPr>
        <w:t xml:space="preserve">סי' </w:t>
      </w:r>
      <w:r w:rsidRPr="00AB3B4B">
        <w:rPr>
          <w:rFonts w:hint="cs"/>
          <w:rtl/>
        </w:rPr>
        <w:t>רמט</w:t>
      </w:r>
      <w:r w:rsidR="00433575">
        <w:rPr>
          <w:rFonts w:hint="cs"/>
          <w:rtl/>
        </w:rPr>
        <w:t xml:space="preserve">סעיף </w:t>
      </w:r>
      <w:r w:rsidRPr="00AB3B4B">
        <w:rPr>
          <w:rFonts w:hint="cs"/>
          <w:rtl/>
        </w:rPr>
        <w:t>א</w:t>
      </w:r>
      <w:r w:rsidR="00433575">
        <w:rPr>
          <w:rFonts w:hint="cs"/>
          <w:rtl/>
        </w:rPr>
        <w:t>'</w:t>
      </w:r>
      <w:r w:rsidRPr="00AB3B4B">
        <w:rPr>
          <w:rFonts w:hint="cs"/>
          <w:rtl/>
        </w:rPr>
        <w:t>.</w:t>
      </w:r>
    </w:p>
    <w:p w:rsidR="00945246" w:rsidRPr="00AB3B4B" w:rsidRDefault="00945246" w:rsidP="009F22CB">
      <w:pPr>
        <w:pStyle w:val="ad"/>
        <w:ind w:left="720"/>
        <w:rPr>
          <w:rtl/>
        </w:rPr>
      </w:pPr>
      <w:r w:rsidRPr="00AB3B4B">
        <w:rPr>
          <w:rFonts w:hint="cs"/>
          <w:rtl/>
        </w:rPr>
        <w:t>מעתה, יוצא אפוא שאם הפרשנות של התקנה היא שהחיוב של האב מדין צדקה</w:t>
      </w:r>
      <w:r w:rsidR="00433575">
        <w:rPr>
          <w:rFonts w:hint="cs"/>
          <w:rtl/>
        </w:rPr>
        <w:t>,</w:t>
      </w:r>
      <w:r w:rsidRPr="00AB3B4B">
        <w:rPr>
          <w:rFonts w:hint="cs"/>
          <w:rtl/>
        </w:rPr>
        <w:t xml:space="preserve"> לא יתכן לפסוק מזונות למעלה מ-20% מהכנסת האב, ופעמים שאף 20% ומטה לא ניתן יהא לפסוק, אם ההכנסה נמוכה כך שלא ייוותר לאב די ממון לצרכיו הכוללים שכירות דירה לעצמו, מזונותיו ויצירת אפשרות לחיים עם אישה וילדים נוספים, שגם להם הוא מתחייב. </w:t>
      </w:r>
    </w:p>
    <w:p w:rsidR="00945246" w:rsidRPr="00AB3B4B" w:rsidRDefault="00945246" w:rsidP="004F65EA">
      <w:pPr>
        <w:pStyle w:val="ad"/>
        <w:numPr>
          <w:ilvl w:val="0"/>
          <w:numId w:val="31"/>
        </w:numPr>
      </w:pPr>
      <w:r w:rsidRPr="00AB3B4B">
        <w:rPr>
          <w:rFonts w:hint="cs"/>
          <w:rtl/>
        </w:rPr>
        <w:t>חיוב בסיסי או לפי הרגלי הילדים:</w:t>
      </w:r>
    </w:p>
    <w:p w:rsidR="00945246" w:rsidRPr="00AB3B4B" w:rsidRDefault="00945246" w:rsidP="004F65EA">
      <w:pPr>
        <w:pStyle w:val="ad"/>
        <w:ind w:left="720"/>
        <w:rPr>
          <w:rtl/>
        </w:rPr>
      </w:pPr>
      <w:r w:rsidRPr="00AB3B4B">
        <w:rPr>
          <w:rFonts w:hint="cs"/>
          <w:rtl/>
        </w:rPr>
        <w:t>בדיני צדקה מצאנו שהחיוב הוא לפי הרגליו של העני, שהרי התורה כתבה</w:t>
      </w:r>
      <w:r w:rsidR="00433575">
        <w:rPr>
          <w:rFonts w:hint="cs"/>
          <w:rtl/>
        </w:rPr>
        <w:t>:</w:t>
      </w:r>
      <w:r w:rsidRPr="00AB3B4B">
        <w:rPr>
          <w:rFonts w:hint="cs"/>
          <w:rtl/>
        </w:rPr>
        <w:t xml:space="preserve">"די מחסורו אשר יחסר לו", ואפילו אם הורגל לרכוב על סוס או שעבד רץ לפניו </w:t>
      </w:r>
      <w:r w:rsidRPr="00AB3B4B">
        <w:rPr>
          <w:rtl/>
        </w:rPr>
        <w:t>–</w:t>
      </w:r>
      <w:r w:rsidRPr="00AB3B4B">
        <w:rPr>
          <w:rFonts w:hint="cs"/>
          <w:rtl/>
        </w:rPr>
        <w:t xml:space="preserve"> מבחינתו זהו צורך שלו, ומדין צדקה </w:t>
      </w:r>
      <w:r w:rsidR="009925DB">
        <w:rPr>
          <w:rFonts w:hint="cs"/>
          <w:rtl/>
        </w:rPr>
        <w:t>יש להשלים לו חיסרון זה, ראה</w:t>
      </w:r>
      <w:r w:rsidRPr="00AB3B4B">
        <w:rPr>
          <w:rFonts w:hint="cs"/>
          <w:rtl/>
        </w:rPr>
        <w:t xml:space="preserve"> כתובות </w:t>
      </w:r>
      <w:r w:rsidR="009925DB">
        <w:rPr>
          <w:rFonts w:hint="cs"/>
          <w:rtl/>
        </w:rPr>
        <w:t xml:space="preserve">דף </w:t>
      </w:r>
      <w:r w:rsidRPr="00AB3B4B">
        <w:rPr>
          <w:rFonts w:hint="cs"/>
          <w:rtl/>
        </w:rPr>
        <w:t xml:space="preserve">סז ע"ב. לפיכך אם הילדים הורגלו </w:t>
      </w:r>
      <w:r w:rsidRPr="00AB3B4B">
        <w:rPr>
          <w:rFonts w:hint="cs"/>
          <w:rtl/>
        </w:rPr>
        <w:lastRenderedPageBreak/>
        <w:t xml:space="preserve">לרמת חיים גבוהה, והאב אמיד לספק להם זאת </w:t>
      </w:r>
      <w:r w:rsidRPr="00AB3B4B">
        <w:rPr>
          <w:rtl/>
        </w:rPr>
        <w:t>–</w:t>
      </w:r>
      <w:r w:rsidRPr="00AB3B4B">
        <w:rPr>
          <w:rFonts w:hint="cs"/>
          <w:rtl/>
        </w:rPr>
        <w:t xml:space="preserve"> הריהו חייב בזה מדין צדקה. אולם אם החיוב הוא לזון את ילדיו כדין קטני קטנים </w:t>
      </w:r>
      <w:r w:rsidRPr="00AB3B4B">
        <w:rPr>
          <w:rtl/>
        </w:rPr>
        <w:t>–</w:t>
      </w:r>
      <w:r w:rsidRPr="00AB3B4B">
        <w:rPr>
          <w:rFonts w:hint="cs"/>
          <w:rtl/>
        </w:rPr>
        <w:t xml:space="preserve"> חיובו הוא כפי הצורך הבסיסי המקובל בלבד.</w:t>
      </w:r>
    </w:p>
    <w:p w:rsidR="00945246" w:rsidRPr="00AB3B4B" w:rsidRDefault="00945246" w:rsidP="004F65EA">
      <w:pPr>
        <w:pStyle w:val="ae"/>
        <w:rPr>
          <w:rtl/>
        </w:rPr>
      </w:pPr>
      <w:r w:rsidRPr="00AB3B4B">
        <w:rPr>
          <w:rFonts w:hint="cs"/>
          <w:rtl/>
        </w:rPr>
        <w:t xml:space="preserve">לאחר סקירת מקורות ההלכה וההיסטוריה, פסקי הדין בבתי המשפט השונים כולל בית המשפט העליון, קבעו השופטים שהם מעדיפים משום סיבות מסיבות שונות לבכר את הפרשנות האחרת בתקנת מועצת הרבנות הראשית. לפי הפרשנות הזו קבעו שבאופן עקרוני חובת המזונות של שני ההורים לילדים בני 15-6 היא מדין צדקה, ומשום כך היא מוטלת על שניהם באופן שווה. כמובן שהכרעה זו כפופה לזמני השהות אצל כל אחד מהם ולהכנסות שני ההורים. </w:t>
      </w:r>
    </w:p>
    <w:p w:rsidR="00945246" w:rsidRPr="00AB3B4B" w:rsidRDefault="00945246" w:rsidP="004F65EA">
      <w:pPr>
        <w:pStyle w:val="ae"/>
        <w:rPr>
          <w:rtl/>
        </w:rPr>
      </w:pPr>
      <w:r w:rsidRPr="00AB3B4B">
        <w:rPr>
          <w:rFonts w:hint="cs"/>
          <w:rtl/>
        </w:rPr>
        <w:t xml:space="preserve">ולמשנה תוקף, מזכיר פסק הדין גם את החלטת מועצת הרבנות הראשית מ-2015 שבה נאמר שאין הכרעה ברורה בין שתי הפרשנויות בתקנה ועל כן כל הרכב בית דין יכריע על פי שיקול דעתו. </w:t>
      </w:r>
    </w:p>
    <w:p w:rsidR="00945246" w:rsidRPr="00AB3B4B" w:rsidRDefault="00945246" w:rsidP="004F65EA">
      <w:pPr>
        <w:pStyle w:val="ae"/>
        <w:rPr>
          <w:rtl/>
        </w:rPr>
      </w:pPr>
      <w:r w:rsidRPr="00AB3B4B">
        <w:rPr>
          <w:rFonts w:hint="cs"/>
          <w:rtl/>
        </w:rPr>
        <w:t xml:space="preserve">כהשיטה שמפרשת את התקנה מדין צדקה צידדו גם </w:t>
      </w:r>
      <w:r>
        <w:rPr>
          <w:rFonts w:hint="cs"/>
          <w:rtl/>
        </w:rPr>
        <w:t>ד"ר מיכאל ויגודה ועו"ד אלי הללה.</w:t>
      </w:r>
      <w:r w:rsidRPr="00AB3B4B">
        <w:rPr>
          <w:rFonts w:hint="cs"/>
          <w:rtl/>
        </w:rPr>
        <w:t xml:space="preserve"> היועץ המשפטי לממשלה תמך בחוות הדעת שהוגשה מטעמם, שכיון ששתי הפרשנויות לגיטימיות ראוי לבכר את הפרשנות הקובעת שחיוב במזונות הוא מדין צדקה כדי לאפשר את התוצאה הראויה, דהיינו חלוקת חיוב המזונות בעת החדשה, שבה ישנה דרישה להשוואה בין המינים וכמו כן קיים פער הקטן והולך בהשתכרויות האב והאם. </w:t>
      </w:r>
    </w:p>
    <w:p w:rsidR="00945246" w:rsidRPr="00AB3B4B" w:rsidRDefault="00945246" w:rsidP="004F65EA">
      <w:pPr>
        <w:pStyle w:val="-0"/>
        <w:rPr>
          <w:rtl/>
        </w:rPr>
      </w:pPr>
      <w:r w:rsidRPr="00AB3B4B">
        <w:rPr>
          <w:rFonts w:hint="eastAsia"/>
          <w:rtl/>
        </w:rPr>
        <w:t>עמדתגדוליהפוסקיםבפרשנותהתקנה</w:t>
      </w:r>
    </w:p>
    <w:p w:rsidR="00945246" w:rsidRPr="00AB3B4B" w:rsidRDefault="00945246" w:rsidP="00A67F47">
      <w:pPr>
        <w:pStyle w:val="ae"/>
        <w:rPr>
          <w:rtl/>
        </w:rPr>
      </w:pPr>
      <w:r w:rsidRPr="00AB3B4B">
        <w:rPr>
          <w:rFonts w:hint="cs"/>
          <w:rtl/>
        </w:rPr>
        <w:t>כדוגלים בשיטה הסוברת שמזונות הקטינים בני 15-6 הם מדין צדקה הזכירו בתקנת מועצת הרבנות הראשית ובחוות הדעת של היועץ המשפטי לממשלה שעליה הסתמכו בפסק הדין הנ"ל שני פוסקים גדולים, שקשה מאוד להתעלם מעמדתם כיוון שהם כיהנו בביה"ד הגדול ומוכר</w:t>
      </w:r>
      <w:r w:rsidR="00E17B1D">
        <w:rPr>
          <w:rFonts w:hint="cs"/>
          <w:rtl/>
        </w:rPr>
        <w:t xml:space="preserve">ים כגדולי הדיינים, הלא הם הרב יוסף </w:t>
      </w:r>
      <w:r w:rsidRPr="00AB3B4B">
        <w:rPr>
          <w:rFonts w:hint="cs"/>
          <w:rtl/>
        </w:rPr>
        <w:t>ש</w:t>
      </w:r>
      <w:r w:rsidR="00E17B1D">
        <w:rPr>
          <w:rFonts w:hint="cs"/>
          <w:rtl/>
        </w:rPr>
        <w:t>לום</w:t>
      </w:r>
      <w:r w:rsidRPr="00AB3B4B">
        <w:rPr>
          <w:rFonts w:hint="cs"/>
          <w:rtl/>
        </w:rPr>
        <w:t xml:space="preserve"> אלישיב והרב עובדיה יוסף</w:t>
      </w:r>
      <w:r w:rsidR="00E17B1D">
        <w:rPr>
          <w:rFonts w:hint="cs"/>
          <w:rtl/>
        </w:rPr>
        <w:t xml:space="preserve"> זצ"ל</w:t>
      </w:r>
      <w:r w:rsidRPr="00AB3B4B">
        <w:rPr>
          <w:rFonts w:hint="cs"/>
          <w:rtl/>
        </w:rPr>
        <w:t>.</w:t>
      </w:r>
    </w:p>
    <w:p w:rsidR="00945246" w:rsidRPr="00AB3B4B" w:rsidRDefault="00945246" w:rsidP="00A67F47">
      <w:pPr>
        <w:pStyle w:val="ae"/>
        <w:rPr>
          <w:rtl/>
          <w:lang w:eastAsia="he-IL"/>
        </w:rPr>
      </w:pPr>
      <w:r w:rsidRPr="00AB3B4B">
        <w:rPr>
          <w:rFonts w:hint="cs"/>
          <w:rtl/>
          <w:lang w:eastAsia="he-IL"/>
        </w:rPr>
        <w:t>הגרי"ש אלישיב בקובץ פסקי דין רבניים של בתי הדין הרבניים ח"ג עמ' 172 ו</w:t>
      </w:r>
      <w:r w:rsidR="00E17B1D">
        <w:rPr>
          <w:rFonts w:hint="cs"/>
          <w:rtl/>
          <w:lang w:eastAsia="he-IL"/>
        </w:rPr>
        <w:t>ב</w:t>
      </w:r>
      <w:r w:rsidRPr="00AB3B4B">
        <w:rPr>
          <w:rFonts w:hint="cs"/>
          <w:rtl/>
          <w:lang w:eastAsia="he-IL"/>
        </w:rPr>
        <w:t>ח"ד עמוד 7 פסק שאם יש לקטן ממון אין האב חייב לזונו, ומכאן למדו שדעת הרב זצ"ל שמזונות הקטנים מעל גיל שש הינם מדין צדקה, שהרי בקטן מגיל שש גם אם יש ברשותו ממון קיימא לן שחייב האב לזונו, כמבואר בשו"עאה"ע</w:t>
      </w:r>
      <w:r w:rsidR="00E17B1D">
        <w:rPr>
          <w:rFonts w:hint="cs"/>
          <w:rtl/>
          <w:lang w:eastAsia="he-IL"/>
        </w:rPr>
        <w:t xml:space="preserve">סי' </w:t>
      </w:r>
      <w:r w:rsidRPr="00AB3B4B">
        <w:rPr>
          <w:rFonts w:hint="cs"/>
          <w:rtl/>
          <w:lang w:eastAsia="he-IL"/>
        </w:rPr>
        <w:t>עא</w:t>
      </w:r>
      <w:r w:rsidR="00E17B1D">
        <w:rPr>
          <w:rFonts w:hint="cs"/>
          <w:rtl/>
          <w:lang w:eastAsia="he-IL"/>
        </w:rPr>
        <w:t>ס"</w:t>
      </w:r>
      <w:r w:rsidRPr="00AB3B4B">
        <w:rPr>
          <w:rFonts w:hint="cs"/>
          <w:rtl/>
          <w:lang w:eastAsia="he-IL"/>
        </w:rPr>
        <w:t xml:space="preserve">א. </w:t>
      </w:r>
    </w:p>
    <w:p w:rsidR="00945246" w:rsidRPr="00AB3B4B" w:rsidRDefault="00E17B1D" w:rsidP="00A67F47">
      <w:pPr>
        <w:pStyle w:val="ae"/>
        <w:rPr>
          <w:rtl/>
          <w:lang w:eastAsia="he-IL"/>
        </w:rPr>
      </w:pPr>
      <w:r>
        <w:rPr>
          <w:rFonts w:hint="cs"/>
          <w:rtl/>
          <w:lang w:eastAsia="he-IL"/>
        </w:rPr>
        <w:t>א</w:t>
      </w:r>
      <w:r w:rsidR="00945246" w:rsidRPr="00AB3B4B">
        <w:rPr>
          <w:rFonts w:hint="cs"/>
          <w:rtl/>
          <w:lang w:eastAsia="he-IL"/>
        </w:rPr>
        <w:t>מנם באמת אין מכך ראיה כלל, שכן אפשר שהחיוב הוא חיוב גמור אלא שבמקרה שיש לילדים משלהם לא חייבו, ולא שהחיוב הוא מדין צדקה עם כל הכרוך בדבר. והרי דעת הרשב"א שגם החיוב לזון ילדים פחות מגיל שש הוא רק אם אין להם, ובוודאי שאין</w:t>
      </w:r>
      <w:r w:rsidR="000716B2">
        <w:rPr>
          <w:rFonts w:hint="cs"/>
          <w:rtl/>
          <w:lang w:eastAsia="he-IL"/>
        </w:rPr>
        <w:t xml:space="preserve"> דעתו שחיוב זה הוא מדין צדקה. א</w:t>
      </w:r>
      <w:r w:rsidR="00945246" w:rsidRPr="00AB3B4B">
        <w:rPr>
          <w:rFonts w:hint="cs"/>
          <w:rtl/>
          <w:lang w:eastAsia="he-IL"/>
        </w:rPr>
        <w:t xml:space="preserve">מנם דעת הרשב"א לא נפסקה להלכה, אך אפשר ללמוד ממנו על חוסר התלות בין דין צדקה לדין פטור ממזונות כשיש לילדים משלהם. גם המהר"םמרוטנבורגוהרא"ש בכתובות </w:t>
      </w:r>
      <w:r w:rsidR="002D30EC" w:rsidRPr="002D30EC">
        <w:rPr>
          <w:rFonts w:hint="cs"/>
          <w:sz w:val="24"/>
          <w:szCs w:val="24"/>
          <w:rtl/>
          <w:lang w:eastAsia="he-IL"/>
        </w:rPr>
        <w:t>(</w:t>
      </w:r>
      <w:r w:rsidR="00945246" w:rsidRPr="002D30EC">
        <w:rPr>
          <w:rFonts w:hint="cs"/>
          <w:sz w:val="24"/>
          <w:szCs w:val="24"/>
          <w:rtl/>
          <w:lang w:eastAsia="he-IL"/>
        </w:rPr>
        <w:t>פרק ד סימן יד</w:t>
      </w:r>
      <w:r w:rsidR="002D30EC" w:rsidRPr="002D30EC">
        <w:rPr>
          <w:rFonts w:hint="cs"/>
          <w:sz w:val="24"/>
          <w:szCs w:val="24"/>
          <w:rtl/>
          <w:lang w:eastAsia="he-IL"/>
        </w:rPr>
        <w:t>)</w:t>
      </w:r>
      <w:r w:rsidR="00945246" w:rsidRPr="00AB3B4B">
        <w:rPr>
          <w:rFonts w:hint="cs"/>
          <w:rtl/>
          <w:lang w:eastAsia="he-IL"/>
        </w:rPr>
        <w:t xml:space="preserve"> שחלקו על הרשב"א, ולדעתם יש מזונות לקטני קטנים גם אם יש להם נכסים משלהם, נימקו את דעתם בהשוואת הג</w:t>
      </w:r>
      <w:r w:rsidR="000716B2">
        <w:rPr>
          <w:rFonts w:hint="cs"/>
          <w:rtl/>
          <w:lang w:eastAsia="he-IL"/>
        </w:rPr>
        <w:t xml:space="preserve">מרא את דין מזונות אישה למזונות </w:t>
      </w:r>
      <w:r w:rsidR="00945246" w:rsidRPr="00AB3B4B">
        <w:rPr>
          <w:rFonts w:hint="cs"/>
          <w:rtl/>
          <w:lang w:eastAsia="he-IL"/>
        </w:rPr>
        <w:t>קטני קטנים כשכללה אותם יחד בדין של המינקת</w:t>
      </w:r>
      <w:r w:rsidR="000716B2">
        <w:rPr>
          <w:rFonts w:hint="cs"/>
          <w:rtl/>
          <w:lang w:eastAsia="he-IL"/>
        </w:rPr>
        <w:t>:</w:t>
      </w:r>
      <w:r w:rsidR="00945246" w:rsidRPr="00AB3B4B">
        <w:rPr>
          <w:rFonts w:hint="cs"/>
          <w:rtl/>
          <w:lang w:eastAsia="he-IL"/>
        </w:rPr>
        <w:t xml:space="preserve">"שמוסיפין לה על מזונותיה", ולולא השוואה זו אין מניעה שמזונות הילדים יהיו חיוב שאינו מדין צדקה ולמרות זאת יהיה קיים רק כשאין להם משלהם. </w:t>
      </w:r>
    </w:p>
    <w:p w:rsidR="00945246" w:rsidRPr="00AB3B4B" w:rsidRDefault="00945246" w:rsidP="00A67F47">
      <w:pPr>
        <w:pStyle w:val="ae"/>
        <w:rPr>
          <w:rtl/>
          <w:lang w:eastAsia="he-IL"/>
        </w:rPr>
      </w:pPr>
      <w:r w:rsidRPr="00AB3B4B">
        <w:rPr>
          <w:rFonts w:hint="cs"/>
          <w:rtl/>
          <w:lang w:eastAsia="he-IL"/>
        </w:rPr>
        <w:t>ראה גם מאמרו של ד"ר זרח ורהפטיג</w:t>
      </w:r>
      <w:r w:rsidR="000716B2">
        <w:rPr>
          <w:rFonts w:hint="cs"/>
          <w:rtl/>
          <w:lang w:eastAsia="he-IL"/>
        </w:rPr>
        <w:t xml:space="preserve">- </w:t>
      </w:r>
      <w:r w:rsidRPr="00AB3B4B">
        <w:rPr>
          <w:rFonts w:hint="cs"/>
          <w:rtl/>
          <w:lang w:eastAsia="he-IL"/>
        </w:rPr>
        <w:t>"למקורות החובה למזונות ילדים" ב</w:t>
      </w:r>
      <w:r w:rsidR="000716B2">
        <w:rPr>
          <w:rFonts w:hint="cs"/>
          <w:rtl/>
          <w:lang w:eastAsia="he-IL"/>
        </w:rPr>
        <w:t xml:space="preserve">קובץ </w:t>
      </w:r>
      <w:r w:rsidRPr="00AB3B4B">
        <w:rPr>
          <w:rFonts w:hint="cs"/>
          <w:rtl/>
          <w:lang w:eastAsia="he-IL"/>
        </w:rPr>
        <w:t>תחומין</w:t>
      </w:r>
      <w:r w:rsidR="000716B2">
        <w:rPr>
          <w:rFonts w:hint="cs"/>
          <w:rtl/>
          <w:lang w:eastAsia="he-IL"/>
        </w:rPr>
        <w:t>ח"א</w:t>
      </w:r>
      <w:r w:rsidR="00AE4703">
        <w:rPr>
          <w:rFonts w:hint="cs"/>
          <w:rtl/>
          <w:lang w:eastAsia="he-IL"/>
        </w:rPr>
        <w:t xml:space="preserve"> עמ' 270 שהבין שביאור </w:t>
      </w:r>
      <w:r w:rsidRPr="00AB3B4B">
        <w:rPr>
          <w:rFonts w:hint="cs"/>
          <w:rtl/>
          <w:lang w:eastAsia="he-IL"/>
        </w:rPr>
        <w:t xml:space="preserve">שני פסקי הדין הנ"ל של הרב אלישיב הוא שיש חיוב גמור אלא שלא חייבו במקרה שיש לילדים משלהם. </w:t>
      </w:r>
    </w:p>
    <w:p w:rsidR="00945246" w:rsidRPr="00AB3B4B" w:rsidRDefault="00945246" w:rsidP="00A67F47">
      <w:pPr>
        <w:pStyle w:val="ae"/>
        <w:rPr>
          <w:rtl/>
          <w:lang w:eastAsia="he-IL"/>
        </w:rPr>
      </w:pPr>
      <w:r w:rsidRPr="00AB3B4B">
        <w:rPr>
          <w:rFonts w:hint="cs"/>
          <w:rtl/>
          <w:lang w:eastAsia="he-IL"/>
        </w:rPr>
        <w:t>הגר"ע יוסף ב</w:t>
      </w:r>
      <w:r w:rsidR="00AE4703">
        <w:rPr>
          <w:rFonts w:hint="cs"/>
          <w:rtl/>
          <w:lang w:eastAsia="he-IL"/>
        </w:rPr>
        <w:t>שו"ת</w:t>
      </w:r>
      <w:r w:rsidRPr="00AB3B4B">
        <w:rPr>
          <w:rFonts w:hint="cs"/>
          <w:rtl/>
          <w:lang w:eastAsia="he-IL"/>
        </w:rPr>
        <w:t xml:space="preserve">יביע אומר חלק ח אהע"ז סימן כב דן בעניין נערה שאינה מוכנה לקשר עם אביה, ובעקבות כך פסקו בבית הדין האזורי בחיפה להפסיק את תשלום מזונות הבת. </w:t>
      </w:r>
    </w:p>
    <w:p w:rsidR="00945246" w:rsidRPr="00AB3B4B" w:rsidRDefault="00945246" w:rsidP="00A67F47">
      <w:pPr>
        <w:pStyle w:val="ae"/>
        <w:rPr>
          <w:rtl/>
          <w:lang w:eastAsia="he-IL"/>
        </w:rPr>
      </w:pPr>
      <w:r w:rsidRPr="00AB3B4B">
        <w:rPr>
          <w:rFonts w:hint="cs"/>
          <w:rtl/>
          <w:lang w:eastAsia="he-IL"/>
        </w:rPr>
        <w:t xml:space="preserve">הוגש ערעור לביה"ד הגדול, והרב בפסק דין דוחה את הערעור, ומנמק מדוע לדעתו פסק הדין נכון. </w:t>
      </w:r>
    </w:p>
    <w:p w:rsidR="00945246" w:rsidRPr="00AB3B4B" w:rsidRDefault="00945246" w:rsidP="00A67F47">
      <w:pPr>
        <w:pStyle w:val="ae"/>
        <w:rPr>
          <w:rtl/>
          <w:lang w:eastAsia="he-IL"/>
        </w:rPr>
      </w:pPr>
      <w:r w:rsidRPr="00AB3B4B">
        <w:rPr>
          <w:rFonts w:hint="cs"/>
          <w:rtl/>
          <w:lang w:eastAsia="he-IL"/>
        </w:rPr>
        <w:lastRenderedPageBreak/>
        <w:t>בתשובתו דן הרב בדין האמור ברמב"ם ובשו"ע שלאחר גיל 6 יכול האב לומר שאם אין הבן רוצה להיות אצלו יכול למנוע ממנו מזונות. דין זה אמור רק במזונות מעל גיל 6 שהם מדין צדקה, ולפי זה לכאורה לאחר תקנת הרבנות הראשית אין דין צדקה ולא יוכל האב למנוע מזונות מבנו שאינו רוצה לשה</w:t>
      </w:r>
      <w:r w:rsidR="00AE4703">
        <w:rPr>
          <w:rFonts w:hint="cs"/>
          <w:rtl/>
          <w:lang w:eastAsia="he-IL"/>
        </w:rPr>
        <w:t>ות במשמורתו. א</w:t>
      </w:r>
      <w:r w:rsidRPr="00AB3B4B">
        <w:rPr>
          <w:rFonts w:hint="cs"/>
          <w:rtl/>
          <w:lang w:eastAsia="he-IL"/>
        </w:rPr>
        <w:t xml:space="preserve">מנם הרב מנתח הרב את תקנת מועצת הרבנות הראשית, מביא את המחלוקת בפרשנות התקנה, מצטט את לשון התקנה ומסיק: </w:t>
      </w:r>
    </w:p>
    <w:p w:rsidR="00945246" w:rsidRPr="00AB3B4B" w:rsidRDefault="00945246" w:rsidP="00A67F47">
      <w:pPr>
        <w:pStyle w:val="aff"/>
        <w:rPr>
          <w:rtl/>
          <w:lang w:eastAsia="he-IL"/>
        </w:rPr>
      </w:pPr>
      <w:r w:rsidRPr="00AB3B4B">
        <w:rPr>
          <w:rFonts w:hint="cs"/>
          <w:rtl/>
          <w:lang w:eastAsia="he-IL"/>
        </w:rPr>
        <w:t>"נמצא שהתקנה הנ"ל לא באה להפקיע תורת צדקה מהמשלמים מזונות לבניהם ובנותיהם כהלכת גוברין יהודאין, שעושים זאת ברצון טוב, וכרחם אב על בנים, אלא כוונת התקנה לכוף על אלה המתאכזרים על בניהם ומשאירים אותם בעירום ובחוסר כל, לחייבם לזון ולפרנס אותם כהלכה".</w:t>
      </w:r>
    </w:p>
    <w:p w:rsidR="00945246" w:rsidRPr="00AB3B4B" w:rsidRDefault="00945246" w:rsidP="00A67F47">
      <w:pPr>
        <w:pStyle w:val="ae"/>
        <w:rPr>
          <w:rtl/>
          <w:lang w:eastAsia="he-IL"/>
        </w:rPr>
      </w:pPr>
      <w:r w:rsidRPr="00AB3B4B">
        <w:rPr>
          <w:rFonts w:hint="cs"/>
          <w:rtl/>
          <w:lang w:eastAsia="he-IL"/>
        </w:rPr>
        <w:t>ראה גם כן דבריו של הגר"ע יוסף ב</w:t>
      </w:r>
      <w:r w:rsidR="00371C4C">
        <w:rPr>
          <w:rFonts w:hint="cs"/>
          <w:rtl/>
          <w:lang w:eastAsia="he-IL"/>
        </w:rPr>
        <w:t>שו"ת</w:t>
      </w:r>
      <w:r w:rsidRPr="00AB3B4B">
        <w:rPr>
          <w:rFonts w:hint="cs"/>
          <w:rtl/>
          <w:lang w:eastAsia="he-IL"/>
        </w:rPr>
        <w:t xml:space="preserve">יחוה דעת </w:t>
      </w:r>
      <w:r w:rsidR="00371C4C">
        <w:rPr>
          <w:rFonts w:hint="cs"/>
          <w:rtl/>
          <w:lang w:eastAsia="he-IL"/>
        </w:rPr>
        <w:t>ח"</w:t>
      </w:r>
      <w:r w:rsidRPr="00AB3B4B">
        <w:rPr>
          <w:rFonts w:hint="cs"/>
          <w:rtl/>
          <w:lang w:eastAsia="he-IL"/>
        </w:rPr>
        <w:t>ג סימן עו, שם דן האם אדם מקיים מצוות צדקה כאשר הוא זן את ילדיו. מסקנתו היא שגם לאחר תקנת הרבנות הראשית נשאר דין צדקה במזונות מעל גיל 6, והתקנה הייתה רק ל</w:t>
      </w:r>
      <w:r>
        <w:rPr>
          <w:rFonts w:hint="cs"/>
          <w:rtl/>
          <w:lang w:eastAsia="he-IL"/>
        </w:rPr>
        <w:t>חייב ול</w:t>
      </w:r>
      <w:r w:rsidRPr="00AB3B4B">
        <w:rPr>
          <w:rFonts w:hint="cs"/>
          <w:rtl/>
          <w:lang w:eastAsia="he-IL"/>
        </w:rPr>
        <w:t xml:space="preserve">כפות את אותם שאינם זנים, ולכן מקיים בזה מצוות צדקה. </w:t>
      </w:r>
    </w:p>
    <w:p w:rsidR="00945246" w:rsidRDefault="00945246" w:rsidP="00A67F47">
      <w:pPr>
        <w:pStyle w:val="ae"/>
        <w:rPr>
          <w:rtl/>
          <w:lang w:eastAsia="he-IL"/>
        </w:rPr>
      </w:pPr>
      <w:r w:rsidRPr="00AB3B4B">
        <w:rPr>
          <w:rFonts w:hint="cs"/>
          <w:rtl/>
          <w:lang w:eastAsia="he-IL"/>
        </w:rPr>
        <w:t>הרב מבסס פרשנות זו על פסקי דין שפורסמו בפסקי דין רבניים חלקים ב, ג ו-ד</w:t>
      </w:r>
      <w:r w:rsidR="001218A6">
        <w:rPr>
          <w:rFonts w:hint="cs"/>
          <w:rtl/>
          <w:lang w:eastAsia="he-IL"/>
        </w:rPr>
        <w:t>,</w:t>
      </w:r>
      <w:r w:rsidRPr="00AB3B4B">
        <w:rPr>
          <w:rFonts w:hint="cs"/>
          <w:rtl/>
          <w:lang w:eastAsia="he-IL"/>
        </w:rPr>
        <w:t xml:space="preserve"> ששם נאמר שאם יש לילדים משלהם אין האב חייב במזונותיהם, ומכאן מוכח שחיובו מכוח תקנת הרבנות הראשית אינו כמו החיוב שעד גיל 6.</w:t>
      </w:r>
    </w:p>
    <w:p w:rsidR="00945246" w:rsidRPr="00AB3B4B" w:rsidRDefault="00945246" w:rsidP="00A67F47">
      <w:pPr>
        <w:pStyle w:val="ae"/>
        <w:rPr>
          <w:rtl/>
          <w:lang w:eastAsia="he-IL"/>
        </w:rPr>
      </w:pPr>
      <w:r>
        <w:rPr>
          <w:rFonts w:hint="cs"/>
          <w:rtl/>
          <w:lang w:eastAsia="he-IL"/>
        </w:rPr>
        <w:t>מדברים אלו</w:t>
      </w:r>
      <w:r w:rsidRPr="00AB3B4B">
        <w:rPr>
          <w:rFonts w:hint="cs"/>
          <w:rtl/>
          <w:lang w:eastAsia="he-IL"/>
        </w:rPr>
        <w:t xml:space="preserve"> הסיקו המלומדים שהוזכרו לעיל, שהרב סבור שהתקנה לא באה להפקיע תורת צדקה, כלומר שהתקנה הינה מדין צדקה.</w:t>
      </w:r>
    </w:p>
    <w:p w:rsidR="00945246" w:rsidRPr="00852839" w:rsidRDefault="00945246" w:rsidP="00A67F47">
      <w:pPr>
        <w:pStyle w:val="ae"/>
        <w:rPr>
          <w:rtl/>
          <w:lang w:eastAsia="he-IL"/>
        </w:rPr>
      </w:pPr>
      <w:r>
        <w:rPr>
          <w:rFonts w:hint="cs"/>
          <w:rtl/>
          <w:lang w:eastAsia="he-IL"/>
        </w:rPr>
        <w:t xml:space="preserve">אך </w:t>
      </w:r>
      <w:r w:rsidRPr="00852839">
        <w:rPr>
          <w:rtl/>
          <w:lang w:eastAsia="he-IL"/>
        </w:rPr>
        <w:t>נראה שההיפך הוא הנכון, משום שאם נכונה מסקנת הסוברים כך מדוע כתב בלשון מגומגמת "התקנה לא באה להפקיע תורת צדקה", ומדוע לא כתב פשוט שהתקנה הינה מדין צדקה.</w:t>
      </w:r>
    </w:p>
    <w:p w:rsidR="00945246" w:rsidRPr="00852839" w:rsidRDefault="00945246" w:rsidP="00A67F47">
      <w:pPr>
        <w:pStyle w:val="ae"/>
        <w:rPr>
          <w:rtl/>
          <w:lang w:eastAsia="he-IL"/>
        </w:rPr>
      </w:pPr>
      <w:r w:rsidRPr="00852839">
        <w:rPr>
          <w:rtl/>
          <w:lang w:eastAsia="he-IL"/>
        </w:rPr>
        <w:t xml:space="preserve">אלא ברור שכוונת הרב היא בדיוק כפי שכתב, שהמשלמים את מזון בניהם ברצון, לא הפקיעו מתקני </w:t>
      </w:r>
      <w:r>
        <w:rPr>
          <w:rtl/>
          <w:lang w:eastAsia="he-IL"/>
        </w:rPr>
        <w:t>התקנה את דין הצדקה שיש בכך, ונ</w:t>
      </w:r>
      <w:r>
        <w:rPr>
          <w:rFonts w:hint="cs"/>
          <w:rtl/>
          <w:lang w:eastAsia="he-IL"/>
        </w:rPr>
        <w:t>פק"מ</w:t>
      </w:r>
      <w:r>
        <w:rPr>
          <w:rtl/>
          <w:lang w:eastAsia="he-IL"/>
        </w:rPr>
        <w:t xml:space="preserve"> יש בדבר</w:t>
      </w:r>
      <w:r>
        <w:rPr>
          <w:rFonts w:hint="cs"/>
          <w:rtl/>
          <w:lang w:eastAsia="he-IL"/>
        </w:rPr>
        <w:t>,</w:t>
      </w:r>
      <w:r>
        <w:rPr>
          <w:rtl/>
          <w:lang w:eastAsia="he-IL"/>
        </w:rPr>
        <w:t xml:space="preserve"> כפי שכותב הרב</w:t>
      </w:r>
      <w:r w:rsidRPr="00852839">
        <w:rPr>
          <w:rtl/>
          <w:lang w:eastAsia="he-IL"/>
        </w:rPr>
        <w:t xml:space="preserve"> בעצמו בהמשך שרשאי להחשיב את המזונות כמעשר כספים, אולם אלה המתאכזרים על בניהם ואינם מוכנים לזון או</w:t>
      </w:r>
      <w:r>
        <w:rPr>
          <w:rtl/>
          <w:lang w:eastAsia="he-IL"/>
        </w:rPr>
        <w:t>תם, לגביהם יש תקנה ש</w:t>
      </w:r>
      <w:r>
        <w:rPr>
          <w:rFonts w:hint="cs"/>
          <w:rtl/>
          <w:lang w:eastAsia="he-IL"/>
        </w:rPr>
        <w:t>מחייבת אותם</w:t>
      </w:r>
      <w:r w:rsidRPr="00852839">
        <w:rPr>
          <w:rtl/>
          <w:lang w:eastAsia="he-IL"/>
        </w:rPr>
        <w:t>. אמנם נפקא מינה נוספת יש בהבחנה זו, שאם לבן יש נכסים, ועל כן מדין צדקה פטור האב, לא תקנו לגביו את התקנה.</w:t>
      </w:r>
    </w:p>
    <w:p w:rsidR="00945246" w:rsidRPr="00852839" w:rsidRDefault="00945246" w:rsidP="00A67F47">
      <w:pPr>
        <w:pStyle w:val="ae"/>
        <w:rPr>
          <w:rtl/>
          <w:lang w:eastAsia="he-IL"/>
        </w:rPr>
      </w:pPr>
      <w:r w:rsidRPr="00852839">
        <w:rPr>
          <w:rtl/>
          <w:lang w:eastAsia="he-IL"/>
        </w:rPr>
        <w:t>אמור מעתה, אם האב מקיים את חיובו מדין צדקה</w:t>
      </w:r>
      <w:r w:rsidR="00BE508A">
        <w:rPr>
          <w:rFonts w:hint="cs"/>
          <w:rtl/>
          <w:lang w:eastAsia="he-IL"/>
        </w:rPr>
        <w:t>,</w:t>
      </w:r>
      <w:r w:rsidR="00BE508A">
        <w:rPr>
          <w:rtl/>
          <w:lang w:eastAsia="he-IL"/>
        </w:rPr>
        <w:t xml:space="preserve"> או</w:t>
      </w:r>
      <w:r w:rsidRPr="00852839">
        <w:rPr>
          <w:rtl/>
          <w:lang w:eastAsia="he-IL"/>
        </w:rPr>
        <w:t xml:space="preserve"> לחילופין, הוא פטור מלזון מדין צדקה לא תיקנו מתקני התקנה את תקנת מזונות, ורק לאלה החייבים מדין צדקה ואינם חפצים לבצע חיובם, תקנו את תקנת מזונות, אך כאשר יש תקנה – היא מצד הדין. </w:t>
      </w:r>
    </w:p>
    <w:p w:rsidR="00945246" w:rsidRPr="00852839" w:rsidRDefault="00945246" w:rsidP="00A67F47">
      <w:pPr>
        <w:pStyle w:val="ae"/>
        <w:rPr>
          <w:rtl/>
          <w:lang w:eastAsia="he-IL"/>
        </w:rPr>
      </w:pPr>
      <w:r w:rsidRPr="00852839">
        <w:rPr>
          <w:rtl/>
          <w:lang w:eastAsia="he-IL"/>
        </w:rPr>
        <w:t>מו</w:t>
      </w:r>
      <w:r w:rsidR="004B19D4">
        <w:rPr>
          <w:rtl/>
          <w:lang w:eastAsia="he-IL"/>
        </w:rPr>
        <w:t>כח בעליל כהבנה הזו שהרי כתב הרב</w:t>
      </w:r>
      <w:r w:rsidR="004B19D4">
        <w:rPr>
          <w:rFonts w:hint="cs"/>
          <w:rtl/>
          <w:lang w:eastAsia="he-IL"/>
        </w:rPr>
        <w:t>:</w:t>
      </w:r>
      <w:r w:rsidRPr="00852839">
        <w:rPr>
          <w:rtl/>
          <w:lang w:eastAsia="he-IL"/>
        </w:rPr>
        <w:t>"אלא כוונת התקנה לכוף על אלה המתאכזרים על בניהם ומשאירים אותם וכו'".</w:t>
      </w:r>
    </w:p>
    <w:p w:rsidR="00945246" w:rsidRDefault="00945246" w:rsidP="00A67F47">
      <w:pPr>
        <w:pStyle w:val="ae"/>
        <w:rPr>
          <w:rtl/>
          <w:lang w:eastAsia="he-IL"/>
        </w:rPr>
      </w:pPr>
      <w:r w:rsidRPr="00852839">
        <w:rPr>
          <w:rtl/>
          <w:lang w:eastAsia="he-IL"/>
        </w:rPr>
        <w:t xml:space="preserve">כוונת הרב שאף אם מדיני צדקה לא ניתן לכוף, כמו אב שאינו מוגדר כאמיד שלחייבו מדין צדקה  לא ניתן אלא רק מכלימים אותו שהוא גרוע מעורב וכדומה, בימינו ניתן לכפותו. </w:t>
      </w:r>
    </w:p>
    <w:p w:rsidR="00945246" w:rsidRPr="00AB3B4B" w:rsidRDefault="00945246" w:rsidP="00A67F47">
      <w:pPr>
        <w:pStyle w:val="ae"/>
        <w:rPr>
          <w:rtl/>
          <w:lang w:eastAsia="he-IL"/>
        </w:rPr>
      </w:pPr>
      <w:r>
        <w:rPr>
          <w:rFonts w:hint="cs"/>
          <w:rtl/>
          <w:lang w:eastAsia="he-IL"/>
        </w:rPr>
        <w:t xml:space="preserve">מלבד זאת, </w:t>
      </w:r>
      <w:r w:rsidRPr="00AB3B4B">
        <w:rPr>
          <w:rFonts w:hint="cs"/>
          <w:rtl/>
          <w:lang w:eastAsia="he-IL"/>
        </w:rPr>
        <w:t xml:space="preserve">לאחר בקשת המחילה דברי ההולכים בשיטה זו צריכים עיון גדול: </w:t>
      </w:r>
    </w:p>
    <w:p w:rsidR="00945246" w:rsidRPr="00AB3B4B" w:rsidRDefault="00945246" w:rsidP="00A67F47">
      <w:pPr>
        <w:pStyle w:val="ae"/>
        <w:rPr>
          <w:rtl/>
          <w:lang w:eastAsia="he-IL"/>
        </w:rPr>
      </w:pPr>
      <w:r w:rsidRPr="00AB3B4B">
        <w:rPr>
          <w:rFonts w:hint="cs"/>
          <w:rtl/>
          <w:lang w:eastAsia="he-IL"/>
        </w:rPr>
        <w:t>הגמרא בכתובות</w:t>
      </w:r>
      <w:r w:rsidR="00B2596D">
        <w:rPr>
          <w:rFonts w:hint="cs"/>
          <w:rtl/>
          <w:lang w:eastAsia="he-IL"/>
        </w:rPr>
        <w:t xml:space="preserve"> דף</w:t>
      </w:r>
      <w:r w:rsidRPr="00AB3B4B">
        <w:rPr>
          <w:rFonts w:hint="cs"/>
          <w:rtl/>
          <w:lang w:eastAsia="he-IL"/>
        </w:rPr>
        <w:t xml:space="preserve"> נ ע"א אומרת בשם חכמי "כרם ביבנה" או רבי אליעזר ש"עושה צדקה בכל עת" זהו מי שזן את בניו ובנותיו הקטנים. </w:t>
      </w:r>
      <w:r w:rsidR="004B19D4">
        <w:rPr>
          <w:rtl/>
          <w:lang w:eastAsia="he-IL"/>
        </w:rPr>
        <w:t>הרמב"ם בהלכות מתנות עניי</w:t>
      </w:r>
      <w:r w:rsidR="004B19D4">
        <w:rPr>
          <w:rFonts w:hint="cs"/>
          <w:rtl/>
          <w:lang w:eastAsia="he-IL"/>
        </w:rPr>
        <w:t>םפ"</w:t>
      </w:r>
      <w:r w:rsidRPr="00AB3B4B">
        <w:rPr>
          <w:rtl/>
          <w:lang w:eastAsia="he-IL"/>
        </w:rPr>
        <w:t xml:space="preserve">י </w:t>
      </w:r>
      <w:r w:rsidR="004B19D4">
        <w:rPr>
          <w:rFonts w:hint="cs"/>
          <w:rtl/>
          <w:lang w:eastAsia="he-IL"/>
        </w:rPr>
        <w:t>ה</w:t>
      </w:r>
      <w:r w:rsidRPr="00AB3B4B">
        <w:rPr>
          <w:rtl/>
          <w:lang w:eastAsia="he-IL"/>
        </w:rPr>
        <w:t>ט</w:t>
      </w:r>
      <w:r w:rsidR="004B19D4">
        <w:rPr>
          <w:rFonts w:hint="cs"/>
          <w:rtl/>
          <w:lang w:eastAsia="he-IL"/>
        </w:rPr>
        <w:t>"</w:t>
      </w:r>
      <w:r w:rsidRPr="00AB3B4B">
        <w:rPr>
          <w:rtl/>
          <w:lang w:eastAsia="he-IL"/>
        </w:rPr>
        <w:t xml:space="preserve">ז כתב </w:t>
      </w:r>
      <w:r w:rsidRPr="00AB3B4B">
        <w:rPr>
          <w:rFonts w:hint="cs"/>
          <w:rtl/>
          <w:lang w:eastAsia="he-IL"/>
        </w:rPr>
        <w:t xml:space="preserve">דין זה בשינוי קצת, </w:t>
      </w:r>
      <w:r w:rsidRPr="00AB3B4B">
        <w:rPr>
          <w:rtl/>
          <w:lang w:eastAsia="he-IL"/>
        </w:rPr>
        <w:t>שהזן את בניו ובנותיו הגדולים מקיים מצוות צדקה</w:t>
      </w:r>
      <w:r w:rsidRPr="00AB3B4B">
        <w:rPr>
          <w:rFonts w:hint="cs"/>
          <w:rtl/>
          <w:lang w:eastAsia="he-IL"/>
        </w:rPr>
        <w:t xml:space="preserve">. הגר"ע יוסף ביאר שגדולים </w:t>
      </w:r>
      <w:r w:rsidRPr="00AB3B4B">
        <w:rPr>
          <w:rtl/>
          <w:lang w:eastAsia="he-IL"/>
        </w:rPr>
        <w:t>היינו מעל גיל 6</w:t>
      </w:r>
      <w:r w:rsidRPr="00AB3B4B">
        <w:rPr>
          <w:rFonts w:hint="cs"/>
          <w:rtl/>
          <w:lang w:eastAsia="he-IL"/>
        </w:rPr>
        <w:t>.</w:t>
      </w:r>
      <w:r w:rsidRPr="00AB3B4B">
        <w:rPr>
          <w:rtl/>
          <w:lang w:eastAsia="he-IL"/>
        </w:rPr>
        <w:t xml:space="preserve"> ובאמת כן כתב הבית יוסף יו"ד </w:t>
      </w:r>
      <w:r w:rsidR="00145788">
        <w:rPr>
          <w:rFonts w:hint="cs"/>
          <w:rtl/>
          <w:lang w:eastAsia="he-IL"/>
        </w:rPr>
        <w:t xml:space="preserve">סי' </w:t>
      </w:r>
      <w:r w:rsidRPr="00AB3B4B">
        <w:rPr>
          <w:rtl/>
          <w:lang w:eastAsia="he-IL"/>
        </w:rPr>
        <w:t xml:space="preserve">רנא, </w:t>
      </w:r>
      <w:r w:rsidRPr="00AB3B4B">
        <w:rPr>
          <w:rFonts w:hint="cs"/>
          <w:rtl/>
          <w:lang w:eastAsia="he-IL"/>
        </w:rPr>
        <w:t xml:space="preserve">וביאר זאת </w:t>
      </w:r>
      <w:r w:rsidRPr="00AB3B4B">
        <w:rPr>
          <w:rtl/>
          <w:lang w:eastAsia="he-IL"/>
        </w:rPr>
        <w:t>שאם חייב במזונותיהם</w:t>
      </w:r>
      <w:r>
        <w:rPr>
          <w:rFonts w:hint="cs"/>
          <w:rtl/>
          <w:lang w:eastAsia="he-IL"/>
        </w:rPr>
        <w:t xml:space="preserve"> של הקטנים</w:t>
      </w:r>
      <w:r w:rsidRPr="00AB3B4B">
        <w:rPr>
          <w:rtl/>
          <w:lang w:eastAsia="he-IL"/>
        </w:rPr>
        <w:t xml:space="preserve"> איך נחשב הדבר לצדקה?! </w:t>
      </w:r>
      <w:r w:rsidRPr="00AB3B4B">
        <w:rPr>
          <w:rFonts w:hint="cs"/>
          <w:rtl/>
          <w:lang w:eastAsia="he-IL"/>
        </w:rPr>
        <w:t>אומנם לענ"ד</w:t>
      </w:r>
      <w:r w:rsidRPr="00AB3B4B">
        <w:rPr>
          <w:rtl/>
          <w:lang w:eastAsia="he-IL"/>
        </w:rPr>
        <w:t xml:space="preserve"> הרמב"ם בכוונה שינה ממ</w:t>
      </w:r>
      <w:r w:rsidRPr="00AB3B4B">
        <w:rPr>
          <w:rFonts w:hint="cs"/>
          <w:rtl/>
          <w:lang w:eastAsia="he-IL"/>
        </w:rPr>
        <w:t>ה שכתבה</w:t>
      </w:r>
      <w:r w:rsidRPr="00AB3B4B">
        <w:rPr>
          <w:rtl/>
          <w:lang w:eastAsia="he-IL"/>
        </w:rPr>
        <w:t xml:space="preserve">הגמ' בכתובות נ ע"א </w:t>
      </w:r>
      <w:r w:rsidR="00145788">
        <w:rPr>
          <w:rFonts w:hint="cs"/>
          <w:rtl/>
          <w:lang w:eastAsia="he-IL"/>
        </w:rPr>
        <w:t xml:space="preserve">- </w:t>
      </w:r>
      <w:r w:rsidRPr="00AB3B4B">
        <w:rPr>
          <w:rtl/>
          <w:lang w:eastAsia="he-IL"/>
        </w:rPr>
        <w:t>"בניו ובנותיו כשהן קטנים", וכתב "גדולים", מפני שהגמ' שם נאמרה לפני תקנת אושא, שהרי מדובר ברבותינו שבי</w:t>
      </w:r>
      <w:r w:rsidRPr="00AB3B4B">
        <w:rPr>
          <w:rFonts w:hint="cs"/>
          <w:rtl/>
          <w:lang w:eastAsia="he-IL"/>
        </w:rPr>
        <w:t>ב</w:t>
      </w:r>
      <w:r w:rsidRPr="00AB3B4B">
        <w:rPr>
          <w:rtl/>
          <w:lang w:eastAsia="he-IL"/>
        </w:rPr>
        <w:t>נה</w:t>
      </w:r>
      <w:r w:rsidRPr="00145788">
        <w:rPr>
          <w:rFonts w:hint="cs"/>
          <w:sz w:val="24"/>
          <w:szCs w:val="24"/>
          <w:rtl/>
          <w:lang w:eastAsia="he-IL"/>
        </w:rPr>
        <w:t>(זו הייתה אחת הגלויות של הסנהדרין, והיא קדמה לאושא)</w:t>
      </w:r>
      <w:r w:rsidRPr="00AB3B4B">
        <w:rPr>
          <w:rtl/>
          <w:lang w:eastAsia="he-IL"/>
        </w:rPr>
        <w:t xml:space="preserve">או רבי אליעזר, ואז </w:t>
      </w:r>
      <w:r w:rsidRPr="00AB3B4B">
        <w:rPr>
          <w:rtl/>
          <w:lang w:eastAsia="he-IL"/>
        </w:rPr>
        <w:lastRenderedPageBreak/>
        <w:t>החיוב היה עד גיל 6 בלבד, ולכן אם זן אח"כ נחשב למקיים מצווה, אך לאחר תקנת אושא</w:t>
      </w:r>
      <w:r w:rsidRPr="00AB3B4B">
        <w:rPr>
          <w:rFonts w:hint="cs"/>
          <w:rtl/>
          <w:lang w:eastAsia="he-IL"/>
        </w:rPr>
        <w:t xml:space="preserve"> המבוארת בגמרא כתובות מט ע"ב, ונפסק כן ברמב"ם </w:t>
      </w:r>
      <w:r w:rsidR="007E2AE3">
        <w:rPr>
          <w:rFonts w:hint="cs"/>
          <w:rtl/>
          <w:lang w:eastAsia="he-IL"/>
        </w:rPr>
        <w:t xml:space="preserve">הל' </w:t>
      </w:r>
      <w:r w:rsidRPr="00AB3B4B">
        <w:rPr>
          <w:rFonts w:hint="cs"/>
          <w:rtl/>
          <w:lang w:eastAsia="he-IL"/>
        </w:rPr>
        <w:t xml:space="preserve">אישות </w:t>
      </w:r>
      <w:r w:rsidR="007E2AE3">
        <w:rPr>
          <w:rFonts w:hint="cs"/>
          <w:rtl/>
          <w:lang w:eastAsia="he-IL"/>
        </w:rPr>
        <w:t>פ</w:t>
      </w:r>
      <w:r w:rsidRPr="00AB3B4B">
        <w:rPr>
          <w:rFonts w:hint="cs"/>
          <w:rtl/>
          <w:lang w:eastAsia="he-IL"/>
        </w:rPr>
        <w:t>י</w:t>
      </w:r>
      <w:r w:rsidR="007E2AE3">
        <w:rPr>
          <w:rFonts w:hint="cs"/>
          <w:rtl/>
          <w:lang w:eastAsia="he-IL"/>
        </w:rPr>
        <w:t>"</w:t>
      </w:r>
      <w:r w:rsidRPr="00AB3B4B">
        <w:rPr>
          <w:rFonts w:hint="cs"/>
          <w:rtl/>
          <w:lang w:eastAsia="he-IL"/>
        </w:rPr>
        <w:t>ב</w:t>
      </w:r>
      <w:r w:rsidR="007E2AE3">
        <w:rPr>
          <w:rFonts w:hint="cs"/>
          <w:rtl/>
          <w:lang w:eastAsia="he-IL"/>
        </w:rPr>
        <w:t>ה</w:t>
      </w:r>
      <w:r w:rsidRPr="00AB3B4B">
        <w:rPr>
          <w:rFonts w:hint="cs"/>
          <w:rtl/>
          <w:lang w:eastAsia="he-IL"/>
        </w:rPr>
        <w:t>י</w:t>
      </w:r>
      <w:r w:rsidR="007E2AE3">
        <w:rPr>
          <w:rFonts w:hint="cs"/>
          <w:rtl/>
          <w:lang w:eastAsia="he-IL"/>
        </w:rPr>
        <w:t>"</w:t>
      </w:r>
      <w:r w:rsidRPr="00AB3B4B">
        <w:rPr>
          <w:rFonts w:hint="cs"/>
          <w:rtl/>
          <w:lang w:eastAsia="he-IL"/>
        </w:rPr>
        <w:t>ד ובשו"עאה"ע</w:t>
      </w:r>
      <w:r w:rsidR="007E2AE3">
        <w:rPr>
          <w:rFonts w:hint="cs"/>
          <w:rtl/>
          <w:lang w:eastAsia="he-IL"/>
        </w:rPr>
        <w:t xml:space="preserve">סי' </w:t>
      </w:r>
      <w:r w:rsidRPr="00AB3B4B">
        <w:rPr>
          <w:rFonts w:hint="cs"/>
          <w:rtl/>
          <w:lang w:eastAsia="he-IL"/>
        </w:rPr>
        <w:t>עא</w:t>
      </w:r>
      <w:r w:rsidR="007E2AE3">
        <w:rPr>
          <w:rFonts w:hint="cs"/>
          <w:rtl/>
          <w:lang w:eastAsia="he-IL"/>
        </w:rPr>
        <w:t>ס"</w:t>
      </w:r>
      <w:r w:rsidRPr="00AB3B4B">
        <w:rPr>
          <w:rFonts w:hint="cs"/>
          <w:rtl/>
          <w:lang w:eastAsia="he-IL"/>
        </w:rPr>
        <w:t>א,</w:t>
      </w:r>
      <w:r w:rsidRPr="00AB3B4B">
        <w:rPr>
          <w:rtl/>
          <w:lang w:eastAsia="he-IL"/>
        </w:rPr>
        <w:t xml:space="preserve"> אינו מקיים צדקה עד שיגדלו</w:t>
      </w:r>
      <w:r w:rsidRPr="00AB3B4B">
        <w:rPr>
          <w:rFonts w:hint="cs"/>
          <w:rtl/>
          <w:lang w:eastAsia="he-IL"/>
        </w:rPr>
        <w:t>! לפיכך לא בכדי כתב הרמב"ם "הגדולים"!</w:t>
      </w:r>
      <w:r w:rsidRPr="00AB3B4B">
        <w:rPr>
          <w:rtl/>
          <w:lang w:eastAsia="he-IL"/>
        </w:rPr>
        <w:t xml:space="preserve"> לכן</w:t>
      </w:r>
      <w:r w:rsidRPr="00AB3B4B">
        <w:rPr>
          <w:rFonts w:hint="cs"/>
          <w:rtl/>
          <w:lang w:eastAsia="he-IL"/>
        </w:rPr>
        <w:t>, לאחר גיל 6 ברור ופשוט שאין דין צדקה אלא חיוב מתקנת אושא, ואינו מקיים בזה צדקה.</w:t>
      </w:r>
    </w:p>
    <w:p w:rsidR="00945246" w:rsidRPr="00AB3B4B" w:rsidRDefault="00945246" w:rsidP="00A67F47">
      <w:pPr>
        <w:pStyle w:val="ae"/>
        <w:rPr>
          <w:rtl/>
          <w:lang w:eastAsia="he-IL"/>
        </w:rPr>
      </w:pPr>
      <w:r w:rsidRPr="00AB3B4B">
        <w:rPr>
          <w:rtl/>
          <w:lang w:eastAsia="he-IL"/>
        </w:rPr>
        <w:t>מה שכתב הטור אה"ע</w:t>
      </w:r>
      <w:r w:rsidR="007E2AE3">
        <w:rPr>
          <w:rFonts w:hint="cs"/>
          <w:rtl/>
          <w:lang w:eastAsia="he-IL"/>
        </w:rPr>
        <w:t xml:space="preserve">סי' </w:t>
      </w:r>
      <w:r w:rsidRPr="00AB3B4B">
        <w:rPr>
          <w:rtl/>
          <w:lang w:eastAsia="he-IL"/>
        </w:rPr>
        <w:t>עא ש</w:t>
      </w:r>
      <w:r w:rsidRPr="00AB3B4B">
        <w:rPr>
          <w:rFonts w:hint="cs"/>
          <w:rtl/>
          <w:lang w:eastAsia="he-IL"/>
        </w:rPr>
        <w:t xml:space="preserve">הזן את ילדיו הקטנים </w:t>
      </w:r>
      <w:r w:rsidRPr="00AB3B4B">
        <w:rPr>
          <w:rtl/>
          <w:lang w:eastAsia="he-IL"/>
        </w:rPr>
        <w:t xml:space="preserve">מקיים מצוות צדקה הוא לשיטתו, שמסקנת הגמ' בכתובות </w:t>
      </w:r>
      <w:r w:rsidR="009C1959">
        <w:rPr>
          <w:rFonts w:hint="cs"/>
          <w:rtl/>
          <w:lang w:eastAsia="he-IL"/>
        </w:rPr>
        <w:t xml:space="preserve">דף </w:t>
      </w:r>
      <w:r w:rsidRPr="00AB3B4B">
        <w:rPr>
          <w:rtl/>
          <w:lang w:eastAsia="he-IL"/>
        </w:rPr>
        <w:t>מט ע"ב היא שליתא לתקנת אושא,</w:t>
      </w:r>
      <w:r w:rsidRPr="00AB3B4B">
        <w:rPr>
          <w:rFonts w:hint="cs"/>
          <w:rtl/>
          <w:lang w:eastAsia="he-IL"/>
        </w:rPr>
        <w:t xml:space="preserve"> והיא לא נפסקה בסופו של דבר,</w:t>
      </w:r>
      <w:r w:rsidRPr="00AB3B4B">
        <w:rPr>
          <w:rtl/>
          <w:lang w:eastAsia="he-IL"/>
        </w:rPr>
        <w:t xml:space="preserve"> אך הרמב"ם הרי סובר שאיתא לתקנת אושא</w:t>
      </w:r>
      <w:r w:rsidRPr="00AB3B4B">
        <w:rPr>
          <w:rFonts w:hint="cs"/>
          <w:rtl/>
          <w:lang w:eastAsia="he-IL"/>
        </w:rPr>
        <w:t xml:space="preserve"> כאמור לעיל, וכן פסק השו"עאה"ע</w:t>
      </w:r>
      <w:r w:rsidR="009C1959">
        <w:rPr>
          <w:rFonts w:hint="cs"/>
          <w:rtl/>
          <w:lang w:eastAsia="he-IL"/>
        </w:rPr>
        <w:t xml:space="preserve">סי' </w:t>
      </w:r>
      <w:r w:rsidRPr="00AB3B4B">
        <w:rPr>
          <w:rFonts w:hint="cs"/>
          <w:rtl/>
          <w:lang w:eastAsia="he-IL"/>
        </w:rPr>
        <w:t>עא.</w:t>
      </w:r>
    </w:p>
    <w:p w:rsidR="00945246" w:rsidRPr="00AB3B4B" w:rsidRDefault="00945246" w:rsidP="00A67F47">
      <w:pPr>
        <w:pStyle w:val="ae"/>
        <w:rPr>
          <w:rtl/>
          <w:lang w:eastAsia="he-IL"/>
        </w:rPr>
      </w:pPr>
      <w:r w:rsidRPr="00AB3B4B">
        <w:rPr>
          <w:rFonts w:hint="cs"/>
          <w:rtl/>
          <w:lang w:eastAsia="he-IL"/>
        </w:rPr>
        <w:t xml:space="preserve">לפיכך ברור שגם אם נקבל את </w:t>
      </w:r>
      <w:r>
        <w:rPr>
          <w:rFonts w:hint="cs"/>
          <w:rtl/>
          <w:lang w:eastAsia="he-IL"/>
        </w:rPr>
        <w:t>ה</w:t>
      </w:r>
      <w:r w:rsidRPr="00AB3B4B">
        <w:rPr>
          <w:rFonts w:hint="cs"/>
          <w:rtl/>
          <w:lang w:eastAsia="he-IL"/>
        </w:rPr>
        <w:t>פרשנות</w:t>
      </w:r>
      <w:r>
        <w:rPr>
          <w:rFonts w:hint="cs"/>
          <w:rtl/>
          <w:lang w:eastAsia="he-IL"/>
        </w:rPr>
        <w:t xml:space="preserve"> הנ"ל</w:t>
      </w:r>
      <w:r w:rsidRPr="00AB3B4B">
        <w:rPr>
          <w:rFonts w:hint="cs"/>
          <w:rtl/>
          <w:lang w:eastAsia="he-IL"/>
        </w:rPr>
        <w:t xml:space="preserve"> לתקנת הרבנות הראשית נצטרך לומר שלפחות </w:t>
      </w:r>
      <w:r w:rsidRPr="00AB3B4B">
        <w:rPr>
          <w:rFonts w:hint="cs"/>
          <w:b/>
          <w:bCs/>
          <w:rtl/>
          <w:lang w:eastAsia="he-IL"/>
        </w:rPr>
        <w:t>עד גיל מצוות חייב האב לזוןשלא מדין צדקה</w:t>
      </w:r>
      <w:r w:rsidRPr="00AB3B4B">
        <w:rPr>
          <w:rFonts w:hint="cs"/>
          <w:rtl/>
          <w:lang w:eastAsia="he-IL"/>
        </w:rPr>
        <w:t xml:space="preserve">, והרבנות </w:t>
      </w:r>
      <w:r>
        <w:rPr>
          <w:rFonts w:hint="cs"/>
          <w:rtl/>
          <w:lang w:eastAsia="he-IL"/>
        </w:rPr>
        <w:t xml:space="preserve">הראשית </w:t>
      </w:r>
      <w:r w:rsidRPr="00AB3B4B">
        <w:rPr>
          <w:rFonts w:hint="cs"/>
          <w:rtl/>
          <w:lang w:eastAsia="he-IL"/>
        </w:rPr>
        <w:t xml:space="preserve">חידשה בתקנתה שלא מסתפקים בהכלמתו אם אינו זן, אלא כופים אותו לזון. גם ברור </w:t>
      </w:r>
      <w:r w:rsidRPr="00AB3B4B">
        <w:rPr>
          <w:rFonts w:hint="cs"/>
          <w:b/>
          <w:bCs/>
          <w:rtl/>
          <w:lang w:eastAsia="he-IL"/>
        </w:rPr>
        <w:t>שתקנת אושא היא רק על האב</w:t>
      </w:r>
      <w:r w:rsidRPr="00AB3B4B">
        <w:rPr>
          <w:rFonts w:hint="cs"/>
          <w:rtl/>
          <w:lang w:eastAsia="he-IL"/>
        </w:rPr>
        <w:t xml:space="preserve"> ולא על האם, ולכן עד גיל 13 אין מקום כלל להתחשב בהכנסות האם גם לפי הבנ</w:t>
      </w:r>
      <w:r>
        <w:rPr>
          <w:rFonts w:hint="cs"/>
          <w:rtl/>
          <w:lang w:eastAsia="he-IL"/>
        </w:rPr>
        <w:t>ה זו</w:t>
      </w:r>
      <w:r w:rsidRPr="00AB3B4B">
        <w:rPr>
          <w:rFonts w:hint="cs"/>
          <w:rtl/>
          <w:lang w:eastAsia="he-IL"/>
        </w:rPr>
        <w:t xml:space="preserve">. </w:t>
      </w:r>
    </w:p>
    <w:p w:rsidR="00945246" w:rsidRPr="00AB3B4B" w:rsidRDefault="00945246" w:rsidP="00A67F47">
      <w:pPr>
        <w:pStyle w:val="ae"/>
        <w:rPr>
          <w:rtl/>
          <w:lang w:eastAsia="he-IL"/>
        </w:rPr>
      </w:pPr>
      <w:r w:rsidRPr="00AB3B4B">
        <w:rPr>
          <w:rFonts w:hint="cs"/>
          <w:rtl/>
          <w:lang w:eastAsia="he-IL"/>
        </w:rPr>
        <w:t xml:space="preserve">עוד יש להעיר על </w:t>
      </w:r>
      <w:r>
        <w:rPr>
          <w:rFonts w:hint="cs"/>
          <w:rtl/>
          <w:lang w:eastAsia="he-IL"/>
        </w:rPr>
        <w:t>הבנה זו</w:t>
      </w:r>
      <w:r w:rsidRPr="00AB3B4B">
        <w:rPr>
          <w:rFonts w:hint="cs"/>
          <w:rtl/>
          <w:lang w:eastAsia="he-IL"/>
        </w:rPr>
        <w:t xml:space="preserve"> שלפי</w:t>
      </w:r>
      <w:r>
        <w:rPr>
          <w:rFonts w:hint="cs"/>
          <w:rtl/>
          <w:lang w:eastAsia="he-IL"/>
        </w:rPr>
        <w:t>ה</w:t>
      </w:r>
      <w:r w:rsidRPr="00AB3B4B">
        <w:rPr>
          <w:rFonts w:hint="cs"/>
          <w:rtl/>
          <w:lang w:eastAsia="he-IL"/>
        </w:rPr>
        <w:t xml:space="preserve"> יוצא שיש גדרי חיוב שונים בתקנת הרבנות הראשית: עד גיל מצוות החיוב הוא מתקנת אושא, והחיוב הוא אפילו אינו אמיד, ולאחר מכן החיוב הוא מדין צדקה!אין ספק שיוצא מפרשנות זו דבר תמוה מאוד.</w:t>
      </w:r>
    </w:p>
    <w:p w:rsidR="00945246" w:rsidRPr="00AB3B4B" w:rsidRDefault="00945246" w:rsidP="00A67F47">
      <w:pPr>
        <w:pStyle w:val="-0"/>
        <w:rPr>
          <w:rtl/>
          <w:lang w:eastAsia="he-IL"/>
        </w:rPr>
      </w:pPr>
      <w:r w:rsidRPr="00AB3B4B">
        <w:rPr>
          <w:rFonts w:hint="cs"/>
          <w:rtl/>
          <w:lang w:eastAsia="he-IL"/>
        </w:rPr>
        <w:t>מנהג בתי הדין, הגדרת אמיד ודין חומש נכסיו</w:t>
      </w:r>
    </w:p>
    <w:p w:rsidR="00945246" w:rsidRPr="00AB3B4B" w:rsidRDefault="00945246" w:rsidP="00A67F47">
      <w:pPr>
        <w:pStyle w:val="ae"/>
        <w:rPr>
          <w:rtl/>
          <w:lang w:eastAsia="he-IL"/>
        </w:rPr>
      </w:pPr>
      <w:r w:rsidRPr="00AB3B4B">
        <w:rPr>
          <w:rFonts w:hint="cs"/>
          <w:rtl/>
          <w:lang w:eastAsia="he-IL"/>
        </w:rPr>
        <w:t xml:space="preserve">כאמור לעיל, כפייה מדין צדקה תיתכן רק אם האב אמיד, ואם אינו אמיד אינו חייב לזון את בניו הקטנים אלא מתקנת אושא, אך אין כופין עליה אלא מכלימים אותו בלבד. </w:t>
      </w:r>
    </w:p>
    <w:p w:rsidR="00945246" w:rsidRPr="00AB3B4B" w:rsidRDefault="00945246" w:rsidP="00A67F47">
      <w:pPr>
        <w:pStyle w:val="ae"/>
        <w:rPr>
          <w:rtl/>
          <w:lang w:eastAsia="he-IL"/>
        </w:rPr>
      </w:pPr>
      <w:r w:rsidRPr="00AB3B4B">
        <w:rPr>
          <w:rFonts w:hint="cs"/>
          <w:rtl/>
          <w:lang w:eastAsia="he-IL"/>
        </w:rPr>
        <w:t>הגדרת "אינו אמיד" צריכה ביאור. בוודאי לא מדובר באב שאין לו ממון ויכול לפרנס רק את עצמו, שהרי בכה"ג מסתבר שלא ראוי להכלימו, ומה יעשה עלוב זה שאין לו אלא בכדי להחיות את נפשו? אלא ודאי שהכוונה באינו אמיד היא שיש לו בשביל עצמו בצמצום והיתרה אינו מוכן לתת לבניו. כלומר, מדובר באדם שהכנסתו מספיקה לעצמו</w:t>
      </w:r>
      <w:r>
        <w:rPr>
          <w:rFonts w:hint="cs"/>
          <w:rtl/>
          <w:lang w:eastAsia="he-IL"/>
        </w:rPr>
        <w:t xml:space="preserve"> בצמצום,</w:t>
      </w:r>
      <w:r w:rsidRPr="00AB3B4B">
        <w:rPr>
          <w:rFonts w:hint="cs"/>
          <w:rtl/>
          <w:lang w:eastAsia="he-IL"/>
        </w:rPr>
        <w:t xml:space="preserve"> ומעט יותר מכך ואדם כזה אי אפשר לחייב מדין צדקה אלא רק מכלימים אותו, ובזה באה תקנת הרבנות הראשית לומר שגם בכה"ג ניתן לחייבו במקום להכלימו. </w:t>
      </w:r>
    </w:p>
    <w:p w:rsidR="00945246" w:rsidRPr="00AB3B4B" w:rsidRDefault="00945246" w:rsidP="00A67F47">
      <w:pPr>
        <w:pStyle w:val="ae"/>
        <w:rPr>
          <w:rtl/>
          <w:lang w:eastAsia="he-IL"/>
        </w:rPr>
      </w:pPr>
      <w:r w:rsidRPr="00AB3B4B">
        <w:rPr>
          <w:rFonts w:hint="cs"/>
          <w:rtl/>
          <w:lang w:eastAsia="he-IL"/>
        </w:rPr>
        <w:t>נראה לענ"ד שאב המשתכר בסביבות 6,000 ש"ח לחודש מוגדר כאינו אמיד, שהרי לשכירות דירה והוצא</w:t>
      </w:r>
      <w:r w:rsidR="0032746B">
        <w:rPr>
          <w:rFonts w:hint="cs"/>
          <w:rtl/>
          <w:lang w:eastAsia="he-IL"/>
        </w:rPr>
        <w:t>ותיה יש לו להוציא יותר מ-3,000 ש"ח</w:t>
      </w:r>
      <w:r w:rsidRPr="00AB3B4B">
        <w:rPr>
          <w:rFonts w:hint="cs"/>
          <w:rtl/>
          <w:lang w:eastAsia="he-IL"/>
        </w:rPr>
        <w:t>, ולהוצאותיו כמו מזון, נסיעות וכ</w:t>
      </w:r>
      <w:r w:rsidR="0032746B">
        <w:rPr>
          <w:rFonts w:hint="cs"/>
          <w:rtl/>
          <w:lang w:eastAsia="he-IL"/>
        </w:rPr>
        <w:t>דומה הסכום הנותר, דהיינו 3,000 ש"ח</w:t>
      </w:r>
      <w:r w:rsidRPr="00AB3B4B">
        <w:rPr>
          <w:rFonts w:hint="cs"/>
          <w:rtl/>
          <w:lang w:eastAsia="he-IL"/>
        </w:rPr>
        <w:t>, הוא מעט יותר מצרכיו וע"כ הוא מוגדר כאינו אמיד.</w:t>
      </w:r>
    </w:p>
    <w:p w:rsidR="00945246" w:rsidRPr="00AB3B4B" w:rsidRDefault="00945246" w:rsidP="00A67F47">
      <w:pPr>
        <w:pStyle w:val="ae"/>
        <w:rPr>
          <w:rtl/>
          <w:lang w:eastAsia="he-IL"/>
        </w:rPr>
      </w:pPr>
      <w:r w:rsidRPr="00AB3B4B">
        <w:rPr>
          <w:rFonts w:hint="cs"/>
          <w:rtl/>
          <w:lang w:eastAsia="he-IL"/>
        </w:rPr>
        <w:t>לפיכך לא ניתן לפי הסוברים שמזונות הילדים הם מדין צדקה לחייב במזו</w:t>
      </w:r>
      <w:r w:rsidR="0032746B">
        <w:rPr>
          <w:rFonts w:hint="cs"/>
          <w:rtl/>
          <w:lang w:eastAsia="he-IL"/>
        </w:rPr>
        <w:t>נות ילדיו אדם שמשכורתו כ-6,000 ש"ח</w:t>
      </w:r>
      <w:r w:rsidRPr="00AB3B4B">
        <w:rPr>
          <w:rFonts w:hint="cs"/>
          <w:rtl/>
          <w:lang w:eastAsia="he-IL"/>
        </w:rPr>
        <w:t xml:space="preserve">. ומעשים בכל יום בכל בתי הדין בישראל שמחייבים במזונות גם אדם המשתכר פחות מכך. </w:t>
      </w:r>
    </w:p>
    <w:p w:rsidR="00945246" w:rsidRPr="00AB3B4B" w:rsidRDefault="00945246" w:rsidP="00A67F47">
      <w:pPr>
        <w:pStyle w:val="ae"/>
        <w:rPr>
          <w:rtl/>
          <w:lang w:eastAsia="he-IL"/>
        </w:rPr>
      </w:pPr>
      <w:r w:rsidRPr="00AB3B4B">
        <w:rPr>
          <w:rFonts w:hint="cs"/>
          <w:rtl/>
          <w:lang w:eastAsia="he-IL"/>
        </w:rPr>
        <w:t xml:space="preserve">גם נראה פשוט שאם הוא אמיד לא יכפו אותו לתת יותר מחומש נכסיו, שהרי בעניין צדקה אמרו בבבלי כתובות </w:t>
      </w:r>
      <w:r w:rsidR="004255E7">
        <w:rPr>
          <w:rFonts w:hint="cs"/>
          <w:rtl/>
          <w:lang w:eastAsia="he-IL"/>
        </w:rPr>
        <w:t xml:space="preserve">דף </w:t>
      </w:r>
      <w:r w:rsidRPr="00AB3B4B">
        <w:rPr>
          <w:rFonts w:hint="cs"/>
          <w:rtl/>
          <w:lang w:eastAsia="he-IL"/>
        </w:rPr>
        <w:t>מט ע"ב שהמבזבז אל יבזבז יותר מחומש. המציאות מורה שבפועל בתי הדין מחייבים במזונות הילדים יותר מחומש הכנסתו.</w:t>
      </w:r>
    </w:p>
    <w:p w:rsidR="00945246" w:rsidRPr="00AB3B4B" w:rsidRDefault="00945246" w:rsidP="00A67F47">
      <w:pPr>
        <w:pStyle w:val="ae"/>
        <w:rPr>
          <w:rtl/>
          <w:lang w:eastAsia="he-IL"/>
        </w:rPr>
      </w:pPr>
      <w:r w:rsidRPr="00AB3B4B">
        <w:rPr>
          <w:rFonts w:hint="cs"/>
          <w:rtl/>
          <w:lang w:eastAsia="he-IL"/>
        </w:rPr>
        <w:t>עולה איפוא שמנהג בתי הדין שהמזונות אינם בגדרי צדקה, ואין מחייבים אותם מדין צדקה!</w:t>
      </w:r>
    </w:p>
    <w:p w:rsidR="00B96B72" w:rsidRDefault="00945246" w:rsidP="00A67F47">
      <w:pPr>
        <w:pStyle w:val="ae"/>
        <w:rPr>
          <w:rtl/>
          <w:lang w:eastAsia="he-IL"/>
        </w:rPr>
      </w:pPr>
      <w:r w:rsidRPr="00AB3B4B">
        <w:rPr>
          <w:rFonts w:hint="cs"/>
          <w:rtl/>
          <w:lang w:eastAsia="he-IL"/>
        </w:rPr>
        <w:t xml:space="preserve">והנה, </w:t>
      </w:r>
      <w:r w:rsidR="004255E7">
        <w:rPr>
          <w:rFonts w:hint="cs"/>
          <w:rtl/>
          <w:lang w:eastAsia="he-IL"/>
        </w:rPr>
        <w:t xml:space="preserve">ראה </w:t>
      </w:r>
      <w:r w:rsidRPr="00AB3B4B">
        <w:rPr>
          <w:rFonts w:hint="cs"/>
          <w:rtl/>
          <w:lang w:eastAsia="he-IL"/>
        </w:rPr>
        <w:t xml:space="preserve">נתיבות המשפט להגר"חאלגאזי בדף קנב </w:t>
      </w:r>
      <w:r w:rsidR="004255E7">
        <w:rPr>
          <w:rFonts w:hint="cs"/>
          <w:rtl/>
          <w:lang w:eastAsia="he-IL"/>
        </w:rPr>
        <w:t>שדן בעניין אמיד, ו</w:t>
      </w:r>
      <w:r w:rsidR="00C767BE">
        <w:rPr>
          <w:rFonts w:hint="cs"/>
          <w:rtl/>
          <w:lang w:eastAsia="he-IL"/>
        </w:rPr>
        <w:t>ה</w:t>
      </w:r>
      <w:r w:rsidRPr="00AB3B4B">
        <w:rPr>
          <w:rFonts w:hint="cs"/>
          <w:rtl/>
          <w:lang w:eastAsia="he-IL"/>
        </w:rPr>
        <w:t xml:space="preserve">קשה על רבנו ירוחם שכתב שאם הוא אמיד כופין אותו שיזון את בניו עד שיגדלו </w:t>
      </w:r>
      <w:r w:rsidRPr="00774981">
        <w:rPr>
          <w:rFonts w:hint="cs"/>
          <w:sz w:val="24"/>
          <w:szCs w:val="24"/>
          <w:rtl/>
          <w:lang w:eastAsia="he-IL"/>
        </w:rPr>
        <w:t xml:space="preserve">(וכך גם כתב הרמב"ם </w:t>
      </w:r>
      <w:r w:rsidR="004255E7" w:rsidRPr="00774981">
        <w:rPr>
          <w:rFonts w:hint="cs"/>
          <w:sz w:val="24"/>
          <w:szCs w:val="24"/>
          <w:rtl/>
          <w:lang w:eastAsia="he-IL"/>
        </w:rPr>
        <w:t xml:space="preserve">הל' </w:t>
      </w:r>
      <w:r w:rsidRPr="00774981">
        <w:rPr>
          <w:rFonts w:hint="cs"/>
          <w:sz w:val="24"/>
          <w:szCs w:val="24"/>
          <w:rtl/>
          <w:lang w:eastAsia="he-IL"/>
        </w:rPr>
        <w:t xml:space="preserve">אישות </w:t>
      </w:r>
      <w:r w:rsidR="004255E7" w:rsidRPr="00774981">
        <w:rPr>
          <w:rFonts w:hint="cs"/>
          <w:sz w:val="24"/>
          <w:szCs w:val="24"/>
          <w:rtl/>
          <w:lang w:eastAsia="he-IL"/>
        </w:rPr>
        <w:t>פ</w:t>
      </w:r>
      <w:r w:rsidRPr="00774981">
        <w:rPr>
          <w:rFonts w:hint="cs"/>
          <w:sz w:val="24"/>
          <w:szCs w:val="24"/>
          <w:rtl/>
          <w:lang w:eastAsia="he-IL"/>
        </w:rPr>
        <w:t>י</w:t>
      </w:r>
      <w:r w:rsidR="004255E7" w:rsidRPr="00774981">
        <w:rPr>
          <w:rFonts w:hint="cs"/>
          <w:sz w:val="24"/>
          <w:szCs w:val="24"/>
          <w:rtl/>
          <w:lang w:eastAsia="he-IL"/>
        </w:rPr>
        <w:t>"</w:t>
      </w:r>
      <w:r w:rsidRPr="00774981">
        <w:rPr>
          <w:rFonts w:hint="cs"/>
          <w:sz w:val="24"/>
          <w:szCs w:val="24"/>
          <w:rtl/>
          <w:lang w:eastAsia="he-IL"/>
        </w:rPr>
        <w:t>ב</w:t>
      </w:r>
      <w:r w:rsidR="004255E7" w:rsidRPr="00774981">
        <w:rPr>
          <w:rFonts w:hint="cs"/>
          <w:sz w:val="24"/>
          <w:szCs w:val="24"/>
          <w:rtl/>
          <w:lang w:eastAsia="he-IL"/>
        </w:rPr>
        <w:t>ה</w:t>
      </w:r>
      <w:r w:rsidRPr="00774981">
        <w:rPr>
          <w:rFonts w:hint="cs"/>
          <w:sz w:val="24"/>
          <w:szCs w:val="24"/>
          <w:rtl/>
          <w:lang w:eastAsia="he-IL"/>
        </w:rPr>
        <w:t>ט</w:t>
      </w:r>
      <w:r w:rsidR="004255E7" w:rsidRPr="00774981">
        <w:rPr>
          <w:rFonts w:hint="cs"/>
          <w:sz w:val="24"/>
          <w:szCs w:val="24"/>
          <w:rtl/>
          <w:lang w:eastAsia="he-IL"/>
        </w:rPr>
        <w:t>"</w:t>
      </w:r>
      <w:r w:rsidRPr="00774981">
        <w:rPr>
          <w:rFonts w:hint="cs"/>
          <w:sz w:val="24"/>
          <w:szCs w:val="24"/>
          <w:rtl/>
          <w:lang w:eastAsia="he-IL"/>
        </w:rPr>
        <w:t xml:space="preserve">ו): </w:t>
      </w:r>
      <w:r w:rsidRPr="00AB3B4B">
        <w:rPr>
          <w:rFonts w:hint="cs"/>
          <w:rtl/>
          <w:lang w:eastAsia="he-IL"/>
        </w:rPr>
        <w:t xml:space="preserve">אם בניו אינם יכולים להתפרנס והם עניים וחיובו הוא מדין צדקה </w:t>
      </w:r>
      <w:r w:rsidRPr="00AB3B4B">
        <w:rPr>
          <w:rtl/>
          <w:lang w:eastAsia="he-IL"/>
        </w:rPr>
        <w:t>–</w:t>
      </w:r>
      <w:r w:rsidRPr="00AB3B4B">
        <w:rPr>
          <w:rFonts w:hint="cs"/>
          <w:rtl/>
          <w:lang w:eastAsia="he-IL"/>
        </w:rPr>
        <w:t xml:space="preserve"> למה חייב</w:t>
      </w:r>
      <w:r w:rsidR="004D5B35">
        <w:rPr>
          <w:rFonts w:hint="cs"/>
          <w:rtl/>
          <w:lang w:eastAsia="he-IL"/>
        </w:rPr>
        <w:t xml:space="preserve"> רק עד שיגדלו ותו לא? לפיכך כתב: </w:t>
      </w:r>
    </w:p>
    <w:p w:rsidR="00945246" w:rsidRPr="00AB3B4B" w:rsidRDefault="004D5B35" w:rsidP="0032746B">
      <w:pPr>
        <w:pStyle w:val="aff"/>
        <w:rPr>
          <w:rtl/>
          <w:lang w:eastAsia="he-IL"/>
        </w:rPr>
      </w:pPr>
      <w:r>
        <w:rPr>
          <w:rFonts w:hint="cs"/>
          <w:rtl/>
          <w:lang w:eastAsia="he-IL"/>
        </w:rPr>
        <w:lastRenderedPageBreak/>
        <w:t>והעולה על דעתי לומר דאמידדגבי בניו לא הוי כאמיד דאנשיאחריני</w:t>
      </w:r>
      <w:r w:rsidR="00667DE9">
        <w:rPr>
          <w:rFonts w:hint="cs"/>
          <w:rtl/>
          <w:lang w:eastAsia="he-IL"/>
        </w:rPr>
        <w:t>,</w:t>
      </w:r>
      <w:r>
        <w:rPr>
          <w:rFonts w:hint="cs"/>
          <w:rtl/>
          <w:lang w:eastAsia="he-IL"/>
        </w:rPr>
        <w:t>דגבי צדקה לאחריני בעינן אמיד גמור</w:t>
      </w:r>
      <w:r w:rsidR="00667DE9">
        <w:rPr>
          <w:rFonts w:hint="cs"/>
          <w:rtl/>
          <w:lang w:eastAsia="he-IL"/>
        </w:rPr>
        <w:t>,</w:t>
      </w:r>
      <w:r>
        <w:rPr>
          <w:rFonts w:hint="cs"/>
          <w:rtl/>
          <w:lang w:eastAsia="he-IL"/>
        </w:rPr>
        <w:t xml:space="preserve"> אבל לגבי בניו כל שאינו עני מקרי אמיד לגבי בניו</w:t>
      </w:r>
      <w:r w:rsidR="00667DE9">
        <w:rPr>
          <w:rFonts w:hint="cs"/>
          <w:rtl/>
          <w:lang w:eastAsia="he-IL"/>
        </w:rPr>
        <w:t>.</w:t>
      </w:r>
      <w:r>
        <w:rPr>
          <w:rFonts w:hint="cs"/>
          <w:rtl/>
          <w:lang w:eastAsia="he-IL"/>
        </w:rPr>
        <w:t xml:space="preserve"> וזהו שכתב רבינו</w:t>
      </w:r>
      <w:r w:rsidR="00774981">
        <w:rPr>
          <w:rFonts w:hint="cs"/>
          <w:rtl/>
          <w:lang w:eastAsia="he-IL"/>
        </w:rPr>
        <w:t>:"</w:t>
      </w:r>
      <w:r w:rsidR="00BA0FD5">
        <w:rPr>
          <w:rFonts w:hint="cs"/>
          <w:rtl/>
          <w:lang w:eastAsia="he-IL"/>
        </w:rPr>
        <w:t>אבל אם הוא אמיד שיש לו כפי הראוי לתת להם</w:t>
      </w:r>
      <w:r w:rsidR="00774981">
        <w:rPr>
          <w:rFonts w:hint="cs"/>
          <w:rtl/>
          <w:lang w:eastAsia="he-IL"/>
        </w:rPr>
        <w:t>"</w:t>
      </w:r>
      <w:r w:rsidR="00BA0FD5">
        <w:rPr>
          <w:rFonts w:hint="cs"/>
          <w:rtl/>
          <w:lang w:eastAsia="he-IL"/>
        </w:rPr>
        <w:t xml:space="preserve"> וכו' ולכך כתב דהאי אמיד לא הוי אלא עד שיגדלו</w:t>
      </w:r>
      <w:r w:rsidR="00A92F20">
        <w:rPr>
          <w:rFonts w:hint="cs"/>
          <w:rtl/>
          <w:lang w:eastAsia="he-IL"/>
        </w:rPr>
        <w:t>,</w:t>
      </w:r>
      <w:r w:rsidR="00BA0FD5">
        <w:rPr>
          <w:rFonts w:hint="cs"/>
          <w:rtl/>
          <w:lang w:eastAsia="he-IL"/>
        </w:rPr>
        <w:t xml:space="preserve">דלאחר שיגדלו אין כופין אותו אלא </w:t>
      </w:r>
      <w:r w:rsidR="00ED1F11">
        <w:rPr>
          <w:rFonts w:hint="cs"/>
          <w:rtl/>
          <w:lang w:eastAsia="he-IL"/>
        </w:rPr>
        <w:t>בדאמידלאחריני שבניו קודמין</w:t>
      </w:r>
      <w:r w:rsidR="00774981">
        <w:rPr>
          <w:rFonts w:hint="cs"/>
          <w:rtl/>
          <w:lang w:eastAsia="he-IL"/>
        </w:rPr>
        <w:t>,</w:t>
      </w:r>
      <w:r w:rsidR="00ED1F11">
        <w:rPr>
          <w:rFonts w:hint="cs"/>
          <w:rtl/>
          <w:lang w:eastAsia="he-IL"/>
        </w:rPr>
        <w:t xml:space="preserve"> וזהו שכתב רבינו שנראה שאחר שיגדלו אין כופין אותו אלא כפי שיכפו אותו על שאר קרוביו</w:t>
      </w:r>
      <w:r w:rsidR="00774981">
        <w:rPr>
          <w:rFonts w:hint="cs"/>
          <w:rtl/>
          <w:lang w:eastAsia="he-IL"/>
        </w:rPr>
        <w:t>,</w:t>
      </w:r>
      <w:r w:rsidR="008E3C49">
        <w:rPr>
          <w:rFonts w:hint="cs"/>
          <w:rtl/>
          <w:lang w:eastAsia="he-IL"/>
        </w:rPr>
        <w:t>כלומר דאיןכופין אותו אלא בדאמיד בשיעור שיכופו אותו לאחריני</w:t>
      </w:r>
      <w:r w:rsidR="00774981">
        <w:rPr>
          <w:rFonts w:hint="cs"/>
          <w:rtl/>
          <w:lang w:eastAsia="he-IL"/>
        </w:rPr>
        <w:t>,</w:t>
      </w:r>
      <w:r w:rsidR="008E3C49">
        <w:rPr>
          <w:rFonts w:hint="cs"/>
          <w:rtl/>
          <w:lang w:eastAsia="he-IL"/>
        </w:rPr>
        <w:t xml:space="preserve"> אבל אין הכי נמי שהם קודמיןלאחריני</w:t>
      </w:r>
      <w:r w:rsidR="00774981">
        <w:rPr>
          <w:rFonts w:hint="cs"/>
          <w:rtl/>
          <w:lang w:eastAsia="he-IL"/>
        </w:rPr>
        <w:t>,</w:t>
      </w:r>
      <w:r w:rsidR="008E3C49">
        <w:rPr>
          <w:rFonts w:hint="cs"/>
          <w:rtl/>
          <w:lang w:eastAsia="he-IL"/>
        </w:rPr>
        <w:t xml:space="preserve"> ואפשר שזהו דעת הרמב"ם והטור גם כן.</w:t>
      </w:r>
    </w:p>
    <w:p w:rsidR="00945246" w:rsidRPr="00AB3B4B" w:rsidRDefault="00945246" w:rsidP="00C87D98">
      <w:pPr>
        <w:pStyle w:val="ae"/>
        <w:rPr>
          <w:rtl/>
          <w:lang w:eastAsia="he-IL"/>
        </w:rPr>
      </w:pPr>
      <w:r w:rsidRPr="00AB3B4B">
        <w:rPr>
          <w:rFonts w:hint="cs"/>
          <w:rtl/>
          <w:lang w:eastAsia="he-IL"/>
        </w:rPr>
        <w:t xml:space="preserve">כלומר, </w:t>
      </w:r>
      <w:r>
        <w:rPr>
          <w:rFonts w:hint="cs"/>
          <w:rtl/>
          <w:lang w:eastAsia="he-IL"/>
        </w:rPr>
        <w:t>"</w:t>
      </w:r>
      <w:r w:rsidRPr="00AB3B4B">
        <w:rPr>
          <w:rFonts w:hint="cs"/>
          <w:rtl/>
          <w:lang w:eastAsia="he-IL"/>
        </w:rPr>
        <w:t>אמיד</w:t>
      </w:r>
      <w:r>
        <w:rPr>
          <w:rFonts w:hint="cs"/>
          <w:rtl/>
          <w:lang w:eastAsia="he-IL"/>
        </w:rPr>
        <w:t>"</w:t>
      </w:r>
      <w:r w:rsidRPr="00AB3B4B">
        <w:rPr>
          <w:rFonts w:hint="cs"/>
          <w:rtl/>
          <w:lang w:eastAsia="he-IL"/>
        </w:rPr>
        <w:t xml:space="preserve"> האמור ביחס למזונות בניו הקטנים בכתובות </w:t>
      </w:r>
      <w:r w:rsidR="00A92F20">
        <w:rPr>
          <w:rFonts w:hint="cs"/>
          <w:rtl/>
          <w:lang w:eastAsia="he-IL"/>
        </w:rPr>
        <w:t xml:space="preserve">דף </w:t>
      </w:r>
      <w:r w:rsidRPr="00AB3B4B">
        <w:rPr>
          <w:rFonts w:hint="cs"/>
          <w:rtl/>
          <w:lang w:eastAsia="he-IL"/>
        </w:rPr>
        <w:t xml:space="preserve">מט ע"ב אינו אותו שיעור </w:t>
      </w:r>
      <w:r>
        <w:rPr>
          <w:rFonts w:hint="cs"/>
          <w:rtl/>
          <w:lang w:eastAsia="he-IL"/>
        </w:rPr>
        <w:t>"</w:t>
      </w:r>
      <w:r w:rsidRPr="00AB3B4B">
        <w:rPr>
          <w:rFonts w:hint="cs"/>
          <w:rtl/>
          <w:lang w:eastAsia="he-IL"/>
        </w:rPr>
        <w:t>אמיד</w:t>
      </w:r>
      <w:r>
        <w:rPr>
          <w:rFonts w:hint="cs"/>
          <w:rtl/>
          <w:lang w:eastAsia="he-IL"/>
        </w:rPr>
        <w:t>"</w:t>
      </w:r>
      <w:r w:rsidRPr="00AB3B4B">
        <w:rPr>
          <w:rFonts w:hint="cs"/>
          <w:rtl/>
          <w:lang w:eastAsia="he-IL"/>
        </w:rPr>
        <w:t xml:space="preserve"> האמור ביחס לצדקה ביחס לאחרים בבבאבתרא</w:t>
      </w:r>
      <w:r w:rsidR="005961C5">
        <w:rPr>
          <w:rFonts w:hint="cs"/>
          <w:rtl/>
          <w:lang w:eastAsia="he-IL"/>
        </w:rPr>
        <w:t xml:space="preserve">דף </w:t>
      </w:r>
      <w:r w:rsidRPr="00AB3B4B">
        <w:rPr>
          <w:rFonts w:hint="cs"/>
          <w:rtl/>
          <w:lang w:eastAsia="he-IL"/>
        </w:rPr>
        <w:t xml:space="preserve">ח ע"ב, למרות שבשני המקומות הביאה הגמ' את אותו המעשה, שרבא כפה את רב נתן בר אמי לתת צדקה. ביחס לבניו הקטנים </w:t>
      </w:r>
      <w:r w:rsidRPr="00AB3B4B">
        <w:rPr>
          <w:rtl/>
          <w:lang w:eastAsia="he-IL"/>
        </w:rPr>
        <w:t>–</w:t>
      </w:r>
      <w:r w:rsidRPr="00AB3B4B">
        <w:rPr>
          <w:rFonts w:hint="cs"/>
          <w:rtl/>
          <w:lang w:eastAsia="he-IL"/>
        </w:rPr>
        <w:t xml:space="preserve"> כל שאינו עני נקרא אמיד, ואילו ביחס לבניו הגדולים או קרוביו או אחרים </w:t>
      </w:r>
      <w:r w:rsidRPr="00AB3B4B">
        <w:rPr>
          <w:rtl/>
          <w:lang w:eastAsia="he-IL"/>
        </w:rPr>
        <w:t>–</w:t>
      </w:r>
      <w:r w:rsidRPr="00AB3B4B">
        <w:rPr>
          <w:rFonts w:hint="cs"/>
          <w:rtl/>
          <w:lang w:eastAsia="he-IL"/>
        </w:rPr>
        <w:t xml:space="preserve"> צריך יותר מזה.   </w:t>
      </w:r>
    </w:p>
    <w:p w:rsidR="00945246" w:rsidRPr="00AB3B4B" w:rsidRDefault="00945246" w:rsidP="00C87D98">
      <w:pPr>
        <w:pStyle w:val="ae"/>
        <w:rPr>
          <w:rFonts w:ascii="FrankRuehl" w:hAnsi="FrankRuehl"/>
        </w:rPr>
      </w:pPr>
      <w:r>
        <w:rPr>
          <w:rFonts w:hint="cs"/>
          <w:rtl/>
          <w:lang w:eastAsia="he-IL"/>
        </w:rPr>
        <w:t>ב</w:t>
      </w:r>
      <w:r w:rsidRPr="00AB3B4B">
        <w:rPr>
          <w:rFonts w:hint="cs"/>
          <w:rtl/>
          <w:lang w:eastAsia="he-IL"/>
        </w:rPr>
        <w:t xml:space="preserve">כמה פד"רים הזכירו את דבריו, ראה לדוגמא פד"ר ה עמ' 302 </w:t>
      </w:r>
      <w:r w:rsidRPr="005961C5">
        <w:rPr>
          <w:rFonts w:hint="cs"/>
          <w:sz w:val="24"/>
          <w:szCs w:val="24"/>
          <w:rtl/>
          <w:lang w:eastAsia="he-IL"/>
        </w:rPr>
        <w:t>(הגרי"ש אלישיב)</w:t>
      </w:r>
      <w:r w:rsidRPr="00AB3B4B">
        <w:rPr>
          <w:rFonts w:hint="cs"/>
          <w:rtl/>
          <w:lang w:eastAsia="he-IL"/>
        </w:rPr>
        <w:t>. לפי זה אפשר לומר שנהגו בתי הדין כדבריו. גם ראה מה שכתב</w:t>
      </w:r>
      <w:r w:rsidRPr="00AB3B4B">
        <w:rPr>
          <w:rFonts w:ascii="FrankRuehl" w:hAnsi="FrankRuehl"/>
          <w:rtl/>
        </w:rPr>
        <w:t xml:space="preserve">הגרי"א הרצוג זצ"ל </w:t>
      </w:r>
      <w:r w:rsidRPr="00AB3B4B">
        <w:rPr>
          <w:rFonts w:ascii="FrankRuehl" w:hAnsi="FrankRuehl" w:hint="cs"/>
          <w:rtl/>
        </w:rPr>
        <w:t>בפס"ד מתש"ג</w:t>
      </w:r>
      <w:r w:rsidRPr="005961C5">
        <w:rPr>
          <w:rFonts w:ascii="FrankRuehl" w:hAnsi="FrankRuehl"/>
          <w:sz w:val="24"/>
          <w:szCs w:val="24"/>
          <w:rtl/>
        </w:rPr>
        <w:t>(אוסף פסקי דין עמוד יז),</w:t>
      </w:r>
      <w:r w:rsidRPr="00AB3B4B">
        <w:rPr>
          <w:rFonts w:ascii="FrankRuehl" w:hAnsi="FrankRuehl"/>
          <w:rtl/>
        </w:rPr>
        <w:t xml:space="preserve"> וז"ל:</w:t>
      </w:r>
    </w:p>
    <w:p w:rsidR="00945246" w:rsidRPr="00AB3B4B" w:rsidRDefault="00945246" w:rsidP="00C87D98">
      <w:pPr>
        <w:pStyle w:val="aff"/>
        <w:rPr>
          <w:rtl/>
        </w:rPr>
      </w:pPr>
      <w:r w:rsidRPr="00AB3B4B">
        <w:rPr>
          <w:rFonts w:hint="cs"/>
          <w:rtl/>
        </w:rPr>
        <w:t>"אפילו לפי הדין, שחיוב האב במזונות ילדיו בגיל למעלה משש הוא מדין צדקה, הרי כל בתי הדין בארץ נוהגים לדון סתם אדם בדין אמיד לגבי מזונות ילדים, ומחייבים וכופים אותו לדאוג לכל צרכיהם."</w:t>
      </w:r>
    </w:p>
    <w:p w:rsidR="00945246" w:rsidRPr="00AB3B4B" w:rsidRDefault="00945246" w:rsidP="00C87D98">
      <w:pPr>
        <w:pStyle w:val="ae"/>
        <w:rPr>
          <w:rtl/>
          <w:lang w:eastAsia="he-IL"/>
        </w:rPr>
      </w:pPr>
      <w:r w:rsidRPr="00AB3B4B">
        <w:rPr>
          <w:rFonts w:hint="cs"/>
          <w:rtl/>
          <w:lang w:eastAsia="he-IL"/>
        </w:rPr>
        <w:t>הוא לא נימק את דבריו, אך אפשר שכוונתו לדברי המהר"חאלגזי הנ"ל. אך אין זה מעלה ארוכה, מפני שגם לדבריו של המהר"חאלג</w:t>
      </w:r>
      <w:r w:rsidR="0090468B">
        <w:rPr>
          <w:rFonts w:hint="cs"/>
          <w:rtl/>
          <w:lang w:eastAsia="he-IL"/>
        </w:rPr>
        <w:t>א</w:t>
      </w:r>
      <w:r w:rsidRPr="00AB3B4B">
        <w:rPr>
          <w:rFonts w:hint="cs"/>
          <w:rtl/>
          <w:lang w:eastAsia="he-IL"/>
        </w:rPr>
        <w:t>זי אין גדרי אמיד שכתב נכונים אלא עד גיל מצוות בלבד, ובפועל מחייבים גם מעבר לכך.</w:t>
      </w:r>
    </w:p>
    <w:p w:rsidR="00945246" w:rsidRPr="00AB3B4B" w:rsidRDefault="00945246" w:rsidP="00C87D98">
      <w:pPr>
        <w:pStyle w:val="ae"/>
        <w:rPr>
          <w:rtl/>
          <w:lang w:eastAsia="he-IL"/>
        </w:rPr>
      </w:pPr>
      <w:r w:rsidRPr="00AB3B4B">
        <w:rPr>
          <w:rFonts w:hint="cs"/>
          <w:rtl/>
          <w:lang w:eastAsia="he-IL"/>
        </w:rPr>
        <w:t xml:space="preserve">לפיכך ברור שהמנהג הוא שמזונות הילדים מכח תקנת הרבנות אינם מדין צדקה. </w:t>
      </w:r>
    </w:p>
    <w:p w:rsidR="00945246" w:rsidRPr="00AB3B4B" w:rsidRDefault="00945246" w:rsidP="00C87D98">
      <w:pPr>
        <w:pStyle w:val="-0"/>
        <w:rPr>
          <w:rtl/>
          <w:lang w:eastAsia="he-IL"/>
        </w:rPr>
      </w:pPr>
      <w:r w:rsidRPr="00AB3B4B">
        <w:rPr>
          <w:rFonts w:hint="cs"/>
          <w:rtl/>
          <w:lang w:eastAsia="he-IL"/>
        </w:rPr>
        <w:t>נוסח תקנת הרבנות הראשית</w:t>
      </w:r>
    </w:p>
    <w:p w:rsidR="00945246" w:rsidRDefault="00945246" w:rsidP="00C87D98">
      <w:pPr>
        <w:pStyle w:val="ae"/>
        <w:rPr>
          <w:rtl/>
          <w:lang w:eastAsia="he-IL"/>
        </w:rPr>
      </w:pPr>
      <w:r w:rsidRPr="00AB3B4B">
        <w:rPr>
          <w:rFonts w:hint="cs"/>
          <w:rtl/>
          <w:lang w:eastAsia="he-IL"/>
        </w:rPr>
        <w:t>וזו לשון תקנת הרבנות הראשית:</w:t>
      </w:r>
    </w:p>
    <w:p w:rsidR="00010CFE" w:rsidRDefault="003F441B" w:rsidP="00EF781A">
      <w:pPr>
        <w:pStyle w:val="aff"/>
        <w:rPr>
          <w:rtl/>
          <w:lang w:eastAsia="he-IL"/>
        </w:rPr>
      </w:pPr>
      <w:r>
        <w:rPr>
          <w:rFonts w:hint="cs"/>
          <w:rtl/>
          <w:lang w:eastAsia="he-IL"/>
        </w:rPr>
        <w:t xml:space="preserve">אי לזאת קבענו את התקנה הכללית הזאת לכל ארץ ישראל, כשם שמאז ומעולם עד היום הזה היה כח בית דין של ישראל יפה לחייב את האב בחיוב משפטי גמור ולכופו בממונו ובכל </w:t>
      </w:r>
      <w:r w:rsidR="00D346E1">
        <w:rPr>
          <w:rFonts w:hint="cs"/>
          <w:rtl/>
          <w:lang w:eastAsia="he-IL"/>
        </w:rPr>
        <w:t>הכפיות האפשריות החוקיות לפרנס א</w:t>
      </w:r>
      <w:r>
        <w:rPr>
          <w:rFonts w:hint="cs"/>
          <w:rtl/>
          <w:lang w:eastAsia="he-IL"/>
        </w:rPr>
        <w:t>ת בניו ואת בנותיו עד הגיל</w:t>
      </w:r>
      <w:r w:rsidR="00D346E1">
        <w:rPr>
          <w:rFonts w:hint="cs"/>
          <w:rtl/>
          <w:lang w:eastAsia="he-IL"/>
        </w:rPr>
        <w:t xml:space="preserve"> של חמש עשרה שנה בענין החיוב שביד בית דין להטיל מתורת צדקה כשהאב אמיד אין אנו נוגעים כלל וכלל </w:t>
      </w:r>
      <w:r w:rsidR="00AA1370">
        <w:rPr>
          <w:rFonts w:hint="cs"/>
          <w:rtl/>
          <w:lang w:eastAsia="he-IL"/>
        </w:rPr>
        <w:t>בזה אין שום שינוי חל. ועתה הננו מסכמים את שלוש התקנות שנקבעו כנ"ל באסיפה הנ"ל עפ"י הרבנים הגאונים ועל פינו הח"מ</w:t>
      </w:r>
      <w:r w:rsidR="00010CFE">
        <w:rPr>
          <w:rFonts w:hint="cs"/>
          <w:rtl/>
          <w:lang w:eastAsia="he-IL"/>
        </w:rPr>
        <w:t>:</w:t>
      </w:r>
    </w:p>
    <w:p w:rsidR="00010CFE" w:rsidRDefault="00010CFE" w:rsidP="00EF781A">
      <w:pPr>
        <w:pStyle w:val="aff"/>
        <w:rPr>
          <w:rtl/>
          <w:lang w:eastAsia="he-IL"/>
        </w:rPr>
      </w:pPr>
      <w:r>
        <w:rPr>
          <w:rFonts w:hint="cs"/>
          <w:rtl/>
          <w:lang w:eastAsia="he-IL"/>
        </w:rPr>
        <w:t>...</w:t>
      </w:r>
    </w:p>
    <w:p w:rsidR="00945246" w:rsidRPr="004A5405" w:rsidRDefault="004A5405" w:rsidP="00EF781A">
      <w:pPr>
        <w:pStyle w:val="aff"/>
        <w:rPr>
          <w:rtl/>
          <w:lang w:eastAsia="he-IL"/>
        </w:rPr>
      </w:pPr>
      <w:r w:rsidRPr="004A5405">
        <w:rPr>
          <w:rFonts w:hint="cs"/>
          <w:rtl/>
          <w:lang w:eastAsia="he-IL"/>
        </w:rPr>
        <w:t>ג.</w:t>
      </w:r>
      <w:r w:rsidR="009038D9" w:rsidRPr="00623551">
        <w:rPr>
          <w:rFonts w:hint="cs"/>
          <w:b/>
          <w:bCs/>
          <w:rtl/>
          <w:lang w:eastAsia="he-IL"/>
        </w:rPr>
        <w:t>כשם שמאז ומעולם עד היום הזה</w:t>
      </w:r>
      <w:r w:rsidR="009038D9">
        <w:rPr>
          <w:rFonts w:hint="cs"/>
          <w:rtl/>
          <w:lang w:eastAsia="he-IL"/>
        </w:rPr>
        <w:t xml:space="preserve"> היה כח בית דין של ישראל יפה לחייב את האב בחיוב משפטי גמור, ולכופו בממונו ו</w:t>
      </w:r>
      <w:r w:rsidR="00623551">
        <w:rPr>
          <w:rFonts w:hint="cs"/>
          <w:rtl/>
          <w:lang w:eastAsia="he-IL"/>
        </w:rPr>
        <w:t>ב</w:t>
      </w:r>
      <w:r w:rsidR="009038D9">
        <w:rPr>
          <w:rFonts w:hint="cs"/>
          <w:rtl/>
          <w:lang w:eastAsia="he-IL"/>
        </w:rPr>
        <w:t>כל הכפיות האפשריות החוקיות לפרנס את בניו ואת בנותיו עד הגיל של שש שנים</w:t>
      </w:r>
      <w:r w:rsidR="00623551">
        <w:rPr>
          <w:rFonts w:hint="cs"/>
          <w:rtl/>
          <w:lang w:eastAsia="he-IL"/>
        </w:rPr>
        <w:t>,</w:t>
      </w:r>
      <w:r w:rsidR="009038D9">
        <w:rPr>
          <w:rFonts w:hint="cs"/>
          <w:rtl/>
          <w:lang w:eastAsia="he-IL"/>
        </w:rPr>
        <w:t xml:space="preserve"> כך יהא מעתה ואילך </w:t>
      </w:r>
      <w:r w:rsidR="000E7C8B">
        <w:rPr>
          <w:rFonts w:hint="cs"/>
          <w:rtl/>
          <w:lang w:eastAsia="he-IL"/>
        </w:rPr>
        <w:t>כחם יפה לחייבו בחיוב משפטי גמור, ולכופו בממונו ובכל הכפיות האפשריות החוקיות לפרנס את בניו ואת בנותיו עד הגיל של חמש עשרה שנה.</w:t>
      </w:r>
    </w:p>
    <w:p w:rsidR="00945246" w:rsidRPr="00AB3B4B" w:rsidRDefault="00945246" w:rsidP="00945246">
      <w:pPr>
        <w:snapToGrid w:val="0"/>
        <w:spacing w:after="120"/>
        <w:jc w:val="both"/>
        <w:rPr>
          <w:rFonts w:ascii="Times New Roman" w:hAnsi="Times New Roman" w:cs="FrankRuehl"/>
          <w:kern w:val="28"/>
          <w:szCs w:val="28"/>
          <w:rtl/>
          <w:lang w:eastAsia="he-IL"/>
        </w:rPr>
      </w:pPr>
    </w:p>
    <w:p w:rsidR="00945246" w:rsidRPr="00AB3B4B" w:rsidRDefault="00945246" w:rsidP="00C87D98">
      <w:pPr>
        <w:pStyle w:val="ae"/>
        <w:rPr>
          <w:rtl/>
          <w:lang w:eastAsia="he-IL"/>
        </w:rPr>
      </w:pPr>
      <w:r w:rsidRPr="00AB3B4B">
        <w:rPr>
          <w:rFonts w:hint="cs"/>
          <w:rtl/>
          <w:lang w:eastAsia="he-IL"/>
        </w:rPr>
        <w:t>מלשון התקנה עולה בבירור שלא מדובר בדין צדקה:</w:t>
      </w:r>
    </w:p>
    <w:p w:rsidR="00945246" w:rsidRPr="00AB3B4B" w:rsidRDefault="00945246" w:rsidP="00C87D98">
      <w:pPr>
        <w:pStyle w:val="ad"/>
        <w:numPr>
          <w:ilvl w:val="0"/>
          <w:numId w:val="5"/>
        </w:numPr>
      </w:pPr>
      <w:r w:rsidRPr="00AB3B4B">
        <w:rPr>
          <w:rFonts w:hint="cs"/>
          <w:rtl/>
        </w:rPr>
        <w:t>נאמר בה בפירוש שמחייבים את האב בחיוב משפט וגם יכפו אותו, וזהו בפירוש לא כמו שכתבו כמה וכמה שהחידוש הוא הכפייה בלבד!</w:t>
      </w:r>
    </w:p>
    <w:p w:rsidR="00945246" w:rsidRPr="00AB3B4B" w:rsidRDefault="00945246" w:rsidP="00C87D98">
      <w:pPr>
        <w:pStyle w:val="ad"/>
        <w:numPr>
          <w:ilvl w:val="0"/>
          <w:numId w:val="5"/>
        </w:numPr>
        <w:rPr>
          <w:rtl/>
        </w:rPr>
      </w:pPr>
      <w:r w:rsidRPr="00AB3B4B">
        <w:rPr>
          <w:rFonts w:hint="cs"/>
          <w:rtl/>
        </w:rPr>
        <w:lastRenderedPageBreak/>
        <w:t>נאמר בפירוש שאינם נוגעים בחיוב שביד ביה"ד להטיל מדין צדקה כשהאב אמיד! מוכח שהתקנה דיברה כשהאב אינו אמיד, וחיובו אינו מדין צדקה.</w:t>
      </w:r>
    </w:p>
    <w:p w:rsidR="00945246" w:rsidRPr="00AB3B4B" w:rsidRDefault="00945246" w:rsidP="00C87D98">
      <w:pPr>
        <w:pStyle w:val="-0"/>
        <w:rPr>
          <w:rtl/>
          <w:lang w:eastAsia="he-IL"/>
        </w:rPr>
      </w:pPr>
      <w:r w:rsidRPr="00AB3B4B">
        <w:rPr>
          <w:rFonts w:hint="cs"/>
          <w:rtl/>
          <w:lang w:eastAsia="he-IL"/>
        </w:rPr>
        <w:t>האם מדין צדקה האב והאם שווים</w:t>
      </w:r>
    </w:p>
    <w:p w:rsidR="00945246" w:rsidRPr="00AB3B4B" w:rsidRDefault="00945246" w:rsidP="00581821">
      <w:pPr>
        <w:pStyle w:val="ae"/>
        <w:rPr>
          <w:rtl/>
          <w:lang w:eastAsia="he-IL"/>
        </w:rPr>
      </w:pPr>
      <w:r w:rsidRPr="00AB3B4B">
        <w:rPr>
          <w:rFonts w:hint="cs"/>
          <w:rtl/>
          <w:lang w:eastAsia="he-IL"/>
        </w:rPr>
        <w:t>גם אם נניח שיש סברה שתקנת הרבנות הראשית במזונות הילדים הינה מדין צדקה, עדיין ישנה משוכה נוספת שיש לדלג עליה.</w:t>
      </w:r>
    </w:p>
    <w:p w:rsidR="00945246" w:rsidRPr="00AB3B4B" w:rsidRDefault="00945246" w:rsidP="00581821">
      <w:pPr>
        <w:pStyle w:val="ae"/>
        <w:rPr>
          <w:rtl/>
          <w:lang w:eastAsia="he-IL"/>
        </w:rPr>
      </w:pPr>
      <w:r w:rsidRPr="00AB3B4B">
        <w:rPr>
          <w:rFonts w:hint="cs"/>
          <w:rtl/>
          <w:lang w:eastAsia="he-IL"/>
        </w:rPr>
        <w:t>על מנת לחייב את האם יש להניח שמדיני צדקה אין הבדל הלכתי בין האב לבין האם. וכראיה לפסיקה זו ציינו שהרב שאול ישראלי והרב אברהם שפירא בפסקי דין שונים כתבו שמדיני צדקה אין הבדל בין האם לבין האב ושניהם חייבים באופן עקרוני בדין זה.</w:t>
      </w:r>
    </w:p>
    <w:p w:rsidR="00945246" w:rsidRPr="00AB3B4B" w:rsidRDefault="00945246" w:rsidP="00581821">
      <w:pPr>
        <w:pStyle w:val="ae"/>
        <w:rPr>
          <w:rtl/>
          <w:lang w:eastAsia="he-IL"/>
        </w:rPr>
      </w:pPr>
      <w:r w:rsidRPr="00AB3B4B">
        <w:rPr>
          <w:rFonts w:hint="cs"/>
          <w:rtl/>
          <w:lang w:eastAsia="he-IL"/>
        </w:rPr>
        <w:t>גם הלכה זו אינה מוסכמת. נראה שרוב חכמי ישראל, וכך גם נראה מהשו"ע כפי שיבואר לקמן, סבורים שהאב חייב  בצדקה מדין קרוב קרוב קודם, שלא כאם שאינה נחשבת לעניין זה כקרוב.</w:t>
      </w:r>
    </w:p>
    <w:p w:rsidR="00945246" w:rsidRPr="00AB3B4B" w:rsidRDefault="00945246" w:rsidP="00581821">
      <w:pPr>
        <w:pStyle w:val="ae"/>
        <w:rPr>
          <w:rtl/>
          <w:lang w:eastAsia="he-IL"/>
        </w:rPr>
      </w:pPr>
      <w:r w:rsidRPr="00AB3B4B">
        <w:rPr>
          <w:rFonts w:hint="cs"/>
          <w:rtl/>
          <w:lang w:eastAsia="he-IL"/>
        </w:rPr>
        <w:t xml:space="preserve">הרחיב מאוד בנושא זה ידידי הרב הגאון אריאל אדרי בפסק דין של ביה"ד האזורי באר שבע </w:t>
      </w:r>
      <w:r w:rsidRPr="00AB3B4B">
        <w:rPr>
          <w:rtl/>
          <w:lang w:eastAsia="he-IL"/>
        </w:rPr>
        <w:t>תיק 147728 מיום 24/7/2017</w:t>
      </w:r>
      <w:r w:rsidRPr="00AB3B4B">
        <w:rPr>
          <w:rFonts w:hint="cs"/>
          <w:rtl/>
          <w:lang w:eastAsia="he-IL"/>
        </w:rPr>
        <w:t>, והרצה את הדברים בכנס דיינים. הדברים הובאו בספר כנס הדיינים התשע"ז עמודים 230-161</w:t>
      </w:r>
      <w:r>
        <w:rPr>
          <w:rFonts w:hint="cs"/>
          <w:rtl/>
          <w:lang w:eastAsia="he-IL"/>
        </w:rPr>
        <w:t>, ובעיקר מעמוד 210 ועד עמוד 226, ועל כן לא אאריך בנושא. הרוצה להחכים יעיין במקור הנ"ל.</w:t>
      </w:r>
    </w:p>
    <w:p w:rsidR="00945246" w:rsidRPr="00AB3B4B" w:rsidRDefault="00945246" w:rsidP="00581821">
      <w:pPr>
        <w:pStyle w:val="-0"/>
        <w:rPr>
          <w:rtl/>
          <w:lang w:eastAsia="he-IL"/>
        </w:rPr>
      </w:pPr>
      <w:r w:rsidRPr="00AB3B4B">
        <w:rPr>
          <w:rFonts w:hint="cs"/>
          <w:rtl/>
          <w:lang w:eastAsia="he-IL"/>
        </w:rPr>
        <w:t>מזונות הילדים עד גיל 18</w:t>
      </w:r>
    </w:p>
    <w:p w:rsidR="00945246" w:rsidRPr="00AB3B4B" w:rsidRDefault="00945246" w:rsidP="00581821">
      <w:pPr>
        <w:pStyle w:val="ae"/>
        <w:rPr>
          <w:rtl/>
          <w:lang w:eastAsia="he-IL"/>
        </w:rPr>
      </w:pPr>
      <w:r w:rsidRPr="00AB3B4B">
        <w:rPr>
          <w:rFonts w:hint="cs"/>
          <w:rtl/>
          <w:lang w:eastAsia="he-IL"/>
        </w:rPr>
        <w:t>הערה נוספת שיש להעיר על פסה"ד של ביהמ"ש העל</w:t>
      </w:r>
      <w:r>
        <w:rPr>
          <w:rFonts w:hint="cs"/>
          <w:rtl/>
          <w:lang w:eastAsia="he-IL"/>
        </w:rPr>
        <w:t>יון היא שהם התעלמו לחלוטין מהחלטת</w:t>
      </w:r>
      <w:r w:rsidRPr="00AB3B4B">
        <w:rPr>
          <w:rFonts w:hint="cs"/>
          <w:rtl/>
          <w:lang w:eastAsia="he-IL"/>
        </w:rPr>
        <w:t xml:space="preserve"> הרבנות הראשית מתש"מותשמ"ו להאריך את תקנת תש"ד עד גיל 18. בפסה"ד הנ"ל כתבו שעד גיל 18, גם קודם פסה"ד שלהם, נהגו לחייב בבתי המשפט אך ורק מדין צדקה, ואילו את התקנה של תש"ד הבינו כחיוב מוחלט. </w:t>
      </w:r>
    </w:p>
    <w:p w:rsidR="00945246" w:rsidRPr="00AB3B4B" w:rsidRDefault="00945246" w:rsidP="00581821">
      <w:pPr>
        <w:pStyle w:val="ae"/>
        <w:rPr>
          <w:rtl/>
          <w:lang w:eastAsia="he-IL"/>
        </w:rPr>
      </w:pPr>
      <w:r w:rsidRPr="00AB3B4B">
        <w:rPr>
          <w:rFonts w:hint="cs"/>
          <w:rtl/>
          <w:lang w:eastAsia="he-IL"/>
        </w:rPr>
        <w:t>אולם באמת התכנסה הר</w:t>
      </w:r>
      <w:r>
        <w:rPr>
          <w:rFonts w:hint="cs"/>
          <w:rtl/>
          <w:lang w:eastAsia="he-IL"/>
        </w:rPr>
        <w:t>בנות הראשית בתש"מובתשמ"ו והחליטה</w:t>
      </w:r>
      <w:r w:rsidRPr="00AB3B4B">
        <w:rPr>
          <w:rFonts w:hint="cs"/>
          <w:rtl/>
          <w:lang w:eastAsia="he-IL"/>
        </w:rPr>
        <w:t xml:space="preserve"> להאריך את גיל חיוב המזונות ל-18. דבר זה בא לידי ביטוי גם בהחלטת הרבנות הראשית מיום </w:t>
      </w:r>
      <w:r w:rsidRPr="00AB3B4B">
        <w:rPr>
          <w:rtl/>
          <w:lang w:eastAsia="he-IL"/>
        </w:rPr>
        <w:t xml:space="preserve">י"ח בכסלו תשע"ו </w:t>
      </w:r>
      <w:r w:rsidRPr="007109AA">
        <w:rPr>
          <w:sz w:val="24"/>
          <w:szCs w:val="24"/>
          <w:rtl/>
          <w:lang w:eastAsia="he-IL"/>
        </w:rPr>
        <w:t>(30.11.2015)</w:t>
      </w:r>
      <w:r w:rsidRPr="00AB3B4B">
        <w:rPr>
          <w:rFonts w:hint="cs"/>
          <w:rtl/>
          <w:lang w:eastAsia="he-IL"/>
        </w:rPr>
        <w:t>:</w:t>
      </w:r>
    </w:p>
    <w:p w:rsidR="00945246" w:rsidRPr="00AB3B4B" w:rsidRDefault="00945246" w:rsidP="00581821">
      <w:pPr>
        <w:pStyle w:val="aff"/>
        <w:rPr>
          <w:rtl/>
          <w:lang w:eastAsia="he-IL"/>
        </w:rPr>
      </w:pPr>
      <w:r w:rsidRPr="00AB3B4B">
        <w:rPr>
          <w:rtl/>
          <w:lang w:eastAsia="he-IL"/>
        </w:rPr>
        <w:t>הוזכר במועצה כי ההחלטה להגדיל את גיל חיוב האב במזונות ילדיו עד גיל שמונה-עשרה שנה, נתקבלה כבר בישיבת מועצת הרבנות הראשית מיום כ"א בסיון תש"מ, והמועצה אף החליטה בישיבתה מיום כ' במרחשוון תשמ"ו, כי חיוב המזונות על ההורים הוא עד גיל שמונה-עשרה שנה. אנו שבים ומדגישים שהחיוב על ההורים הוא עד גיל שמונה-עשרה שנה.</w:t>
      </w:r>
    </w:p>
    <w:p w:rsidR="00945246" w:rsidRPr="00AB3B4B" w:rsidRDefault="00945246" w:rsidP="00581821">
      <w:pPr>
        <w:pStyle w:val="-0"/>
        <w:rPr>
          <w:rtl/>
          <w:lang w:eastAsia="he-IL"/>
        </w:rPr>
      </w:pPr>
      <w:r w:rsidRPr="00AB3B4B">
        <w:rPr>
          <w:rFonts w:hint="cs"/>
          <w:rtl/>
          <w:lang w:eastAsia="he-IL"/>
        </w:rPr>
        <w:t>הכרעה במקרה של ספק בפרשנות התקנה</w:t>
      </w:r>
    </w:p>
    <w:p w:rsidR="00945246" w:rsidRPr="00AB3B4B" w:rsidRDefault="00945246" w:rsidP="00581821">
      <w:pPr>
        <w:pStyle w:val="ae"/>
        <w:rPr>
          <w:rtl/>
          <w:lang w:eastAsia="he-IL"/>
        </w:rPr>
      </w:pPr>
      <w:r w:rsidRPr="00AB3B4B">
        <w:rPr>
          <w:rFonts w:hint="cs"/>
          <w:rtl/>
          <w:lang w:eastAsia="he-IL"/>
        </w:rPr>
        <w:t>גם אם נניח שכיוון שיש פרשנות הסבורה בשני העניינים שלא כמו שהראינו לדעת ומשם כך הוי מעין ספק, ראוי לדון כיצד יש לדון בכהאיגוונא.</w:t>
      </w:r>
    </w:p>
    <w:p w:rsidR="00945246" w:rsidRPr="00AB3B4B" w:rsidRDefault="00945246" w:rsidP="00581821">
      <w:pPr>
        <w:pStyle w:val="ae"/>
        <w:rPr>
          <w:lang w:eastAsia="he-IL"/>
        </w:rPr>
      </w:pPr>
      <w:r w:rsidRPr="00AB3B4B">
        <w:rPr>
          <w:rFonts w:hint="cs"/>
          <w:rtl/>
          <w:lang w:eastAsia="he-IL"/>
        </w:rPr>
        <w:t xml:space="preserve">בפסק הדין הנ"ל של בית המשפט העליון תיארו את המצב המשפטי כך: </w:t>
      </w:r>
    </w:p>
    <w:p w:rsidR="00945246" w:rsidRPr="00AB3B4B" w:rsidRDefault="00945246" w:rsidP="00AD4B7B">
      <w:pPr>
        <w:pStyle w:val="ad"/>
        <w:numPr>
          <w:ilvl w:val="0"/>
          <w:numId w:val="1"/>
        </w:numPr>
      </w:pPr>
      <w:r>
        <w:rPr>
          <w:rFonts w:hint="cs"/>
          <w:rtl/>
        </w:rPr>
        <w:t>יש</w:t>
      </w:r>
      <w:r w:rsidRPr="00AB3B4B">
        <w:rPr>
          <w:rFonts w:hint="cs"/>
          <w:rtl/>
        </w:rPr>
        <w:t xml:space="preserve"> מחלוקת בין פוסקי הדור האחרון האם תקנת הרבנות הראשית בעניין המזונות היא מדין צדקה או לא.</w:t>
      </w:r>
    </w:p>
    <w:p w:rsidR="00945246" w:rsidRPr="00AB3B4B" w:rsidRDefault="00945246" w:rsidP="00AD4B7B">
      <w:pPr>
        <w:pStyle w:val="ad"/>
        <w:numPr>
          <w:ilvl w:val="0"/>
          <w:numId w:val="1"/>
        </w:numPr>
      </w:pPr>
      <w:r w:rsidRPr="00AB3B4B">
        <w:rPr>
          <w:rFonts w:hint="cs"/>
          <w:rtl/>
        </w:rPr>
        <w:t>יש מחלוקת בין הפוסקים האם מדין צדקה יש להשוות בין האב לבין האם או שגם בזה חיוב האב קודם.</w:t>
      </w:r>
    </w:p>
    <w:p w:rsidR="00945246" w:rsidRPr="00AB3B4B" w:rsidRDefault="00945246" w:rsidP="00AD4B7B">
      <w:pPr>
        <w:pStyle w:val="ae"/>
        <w:rPr>
          <w:rtl/>
          <w:lang w:eastAsia="he-IL"/>
        </w:rPr>
      </w:pPr>
      <w:r w:rsidRPr="00AB3B4B">
        <w:rPr>
          <w:rFonts w:hint="cs"/>
          <w:rtl/>
          <w:lang w:eastAsia="he-IL"/>
        </w:rPr>
        <w:lastRenderedPageBreak/>
        <w:t>הכרעת בית המשפט בפסק הדין הנ"ל היא שכיוון שיש מחלוקת</w:t>
      </w:r>
      <w:r>
        <w:rPr>
          <w:rFonts w:hint="cs"/>
          <w:rtl/>
          <w:lang w:eastAsia="he-IL"/>
        </w:rPr>
        <w:t>,</w:t>
      </w:r>
      <w:r w:rsidRPr="00AB3B4B">
        <w:rPr>
          <w:rFonts w:hint="cs"/>
          <w:rtl/>
          <w:lang w:eastAsia="he-IL"/>
        </w:rPr>
        <w:t xml:space="preserve"> הם מחליטים לאמץ את הפרשנות שהתקנה הינה מדין צדקה ומאמצים גם את הפסיקה שיש לחייב את האם כמו את האב מדין צדקה, וזאת משום שאימוץ דרך זו עולה יפה עם אג'נדה מודרנית וכדומה </w:t>
      </w:r>
      <w:r w:rsidRPr="00092CA1">
        <w:rPr>
          <w:rFonts w:hint="cs"/>
          <w:sz w:val="24"/>
          <w:szCs w:val="24"/>
          <w:rtl/>
          <w:lang w:eastAsia="he-IL"/>
        </w:rPr>
        <w:t>(כך כתבו בפירוש בפסק הדין)</w:t>
      </w:r>
      <w:r w:rsidRPr="00AB3B4B">
        <w:rPr>
          <w:rFonts w:hint="cs"/>
          <w:rtl/>
          <w:lang w:eastAsia="he-IL"/>
        </w:rPr>
        <w:t>.</w:t>
      </w:r>
    </w:p>
    <w:p w:rsidR="00945246" w:rsidRPr="00AB3B4B" w:rsidRDefault="00945246" w:rsidP="00AD4B7B">
      <w:pPr>
        <w:pStyle w:val="ae"/>
        <w:rPr>
          <w:rtl/>
          <w:lang w:eastAsia="he-IL"/>
        </w:rPr>
      </w:pPr>
      <w:r w:rsidRPr="00AB3B4B">
        <w:rPr>
          <w:rFonts w:hint="cs"/>
          <w:rtl/>
          <w:lang w:eastAsia="he-IL"/>
        </w:rPr>
        <w:t>נראה לענ"ד שזהו משגה:</w:t>
      </w:r>
    </w:p>
    <w:p w:rsidR="00945246" w:rsidRDefault="00945246" w:rsidP="00AD4B7B">
      <w:pPr>
        <w:pStyle w:val="ae"/>
        <w:rPr>
          <w:rtl/>
          <w:lang w:eastAsia="he-IL"/>
        </w:rPr>
      </w:pPr>
      <w:r w:rsidRPr="00AB3B4B">
        <w:rPr>
          <w:rFonts w:hint="cs"/>
          <w:rtl/>
          <w:lang w:eastAsia="he-IL"/>
        </w:rPr>
        <w:t>ישנן כמה דרכים להכריע בספיקות, אולם ברור שאין דרך כזו הנקראת אימוץ שיטה אחת בשל מציאות חיים וכדומה. מכיוון שהמחוקק קבע שדיני מזונות נידונים לפי הדין האישי, והדין האישי קובע גם את הדרך להכריע בספיקות, הרי שבזה שבחרו בדרך הכרעה שאינה הדרך שהדין האישי מחייב סטו מדברי המחוקק.</w:t>
      </w:r>
    </w:p>
    <w:p w:rsidR="00945246" w:rsidRPr="00D047C5" w:rsidRDefault="00945246" w:rsidP="00AD4B7B">
      <w:pPr>
        <w:pStyle w:val="-0"/>
        <w:rPr>
          <w:rtl/>
          <w:lang w:eastAsia="he-IL"/>
        </w:rPr>
      </w:pPr>
      <w:r w:rsidRPr="00D047C5">
        <w:rPr>
          <w:rFonts w:hint="cs"/>
          <w:rtl/>
          <w:lang w:eastAsia="he-IL"/>
        </w:rPr>
        <w:t>טעות בשיקול הדעת</w:t>
      </w:r>
    </w:p>
    <w:p w:rsidR="00945246" w:rsidRDefault="00945246" w:rsidP="00AD4B7B">
      <w:pPr>
        <w:pStyle w:val="ae"/>
        <w:rPr>
          <w:rtl/>
          <w:lang w:eastAsia="he-IL"/>
        </w:rPr>
      </w:pPr>
      <w:r>
        <w:rPr>
          <w:rFonts w:hint="cs"/>
          <w:rtl/>
          <w:lang w:eastAsia="he-IL"/>
        </w:rPr>
        <w:t xml:space="preserve">בפסק הדין של ביהמ"ש העליון נאמר כי </w:t>
      </w:r>
      <w:r w:rsidRPr="009F4512">
        <w:rPr>
          <w:rtl/>
          <w:lang w:eastAsia="he-IL"/>
        </w:rPr>
        <w:t>נהוג היה עד ל</w:t>
      </w:r>
      <w:r>
        <w:rPr>
          <w:rFonts w:hint="cs"/>
          <w:rtl/>
          <w:lang w:eastAsia="he-IL"/>
        </w:rPr>
        <w:t xml:space="preserve">אותו </w:t>
      </w:r>
      <w:r w:rsidRPr="009F4512">
        <w:rPr>
          <w:rtl/>
          <w:lang w:eastAsia="he-IL"/>
        </w:rPr>
        <w:t>פסק דין לחייב את האב בכל מקרה ולא להתחשב ב</w:t>
      </w:r>
      <w:r>
        <w:rPr>
          <w:rFonts w:hint="cs"/>
          <w:rtl/>
          <w:lang w:eastAsia="he-IL"/>
        </w:rPr>
        <w:t>ה</w:t>
      </w:r>
      <w:r w:rsidRPr="009F4512">
        <w:rPr>
          <w:rtl/>
          <w:lang w:eastAsia="he-IL"/>
        </w:rPr>
        <w:t>כנסות האם כיוון שהנוהג השיפוטי היה לחייב את האב מדינא ולא מדין צדקה.</w:t>
      </w:r>
    </w:p>
    <w:p w:rsidR="00945246" w:rsidRPr="006D6CD4" w:rsidRDefault="00092CA1" w:rsidP="00AD4B7B">
      <w:pPr>
        <w:pStyle w:val="ae"/>
        <w:rPr>
          <w:rtl/>
          <w:lang w:eastAsia="he-IL"/>
        </w:rPr>
      </w:pPr>
      <w:r>
        <w:rPr>
          <w:rtl/>
          <w:lang w:eastAsia="he-IL"/>
        </w:rPr>
        <w:t>במסכת סנהדרין</w:t>
      </w:r>
      <w:r w:rsidR="00945246">
        <w:rPr>
          <w:rFonts w:hint="cs"/>
          <w:rtl/>
          <w:lang w:eastAsia="he-IL"/>
        </w:rPr>
        <w:t xml:space="preserve">דף </w:t>
      </w:r>
      <w:r w:rsidR="00945246">
        <w:rPr>
          <w:rtl/>
          <w:lang w:eastAsia="he-IL"/>
        </w:rPr>
        <w:t>לג</w:t>
      </w:r>
      <w:r w:rsidR="00945246" w:rsidRPr="006D6CD4">
        <w:rPr>
          <w:rtl/>
          <w:lang w:eastAsia="he-IL"/>
        </w:rPr>
        <w:t xml:space="preserve"> מבחינה ה</w:t>
      </w:r>
      <w:r w:rsidR="00945246">
        <w:rPr>
          <w:rtl/>
          <w:lang w:eastAsia="he-IL"/>
        </w:rPr>
        <w:t>גמ' בין שני סוגי טעויות של הדין</w:t>
      </w:r>
      <w:r w:rsidR="00945246">
        <w:rPr>
          <w:rFonts w:hint="cs"/>
          <w:rtl/>
          <w:lang w:eastAsia="he-IL"/>
        </w:rPr>
        <w:t>,</w:t>
      </w:r>
      <w:r w:rsidR="00945246" w:rsidRPr="006D6CD4">
        <w:rPr>
          <w:rtl/>
          <w:lang w:eastAsia="he-IL"/>
        </w:rPr>
        <w:t xml:space="preserve"> טעה בדבר משנה וטעה בשיקול הדעת. </w:t>
      </w:r>
    </w:p>
    <w:p w:rsidR="00047065" w:rsidRDefault="00945246" w:rsidP="00AD4B7B">
      <w:pPr>
        <w:pStyle w:val="ae"/>
        <w:rPr>
          <w:rtl/>
          <w:lang w:eastAsia="he-IL"/>
        </w:rPr>
      </w:pPr>
      <w:r>
        <w:rPr>
          <w:rtl/>
          <w:lang w:eastAsia="he-IL"/>
        </w:rPr>
        <w:t xml:space="preserve">לשון הגמ': </w:t>
      </w:r>
    </w:p>
    <w:p w:rsidR="00945246" w:rsidRPr="006D6CD4" w:rsidRDefault="00945246" w:rsidP="00047065">
      <w:pPr>
        <w:pStyle w:val="aff"/>
        <w:rPr>
          <w:rtl/>
          <w:lang w:eastAsia="he-IL"/>
        </w:rPr>
      </w:pPr>
      <w:r>
        <w:rPr>
          <w:rtl/>
          <w:lang w:eastAsia="he-IL"/>
        </w:rPr>
        <w:t>"</w:t>
      </w:r>
      <w:r w:rsidRPr="006D6CD4">
        <w:rPr>
          <w:rtl/>
          <w:lang w:eastAsia="he-IL"/>
        </w:rPr>
        <w:t>היכי דמי שיקול הדעת ? אמר רב פפא כגון תרי תנאי או תרי אמוראי דפליגי אהדדי, ולא איתר הלכתא לא כמר ולא כמר, ואיקרי ועבד כחד מינייהו, וסוגיאדשמעתאאזליכאידך, היינו שיקול הדעת".</w:t>
      </w:r>
    </w:p>
    <w:p w:rsidR="00945246" w:rsidRPr="006D6CD4" w:rsidRDefault="00945246" w:rsidP="00AD4B7B">
      <w:pPr>
        <w:pStyle w:val="ae"/>
        <w:rPr>
          <w:rtl/>
          <w:lang w:eastAsia="he-IL"/>
        </w:rPr>
      </w:pPr>
      <w:r w:rsidRPr="006D6CD4">
        <w:rPr>
          <w:rtl/>
          <w:lang w:eastAsia="he-IL"/>
        </w:rPr>
        <w:t xml:space="preserve">כלומר טעות בשיקול הדעת זהו מקרה שבו יש מחלוקת </w:t>
      </w:r>
      <w:r>
        <w:rPr>
          <w:rtl/>
          <w:lang w:eastAsia="he-IL"/>
        </w:rPr>
        <w:t>בין הפוסקים ולא הוכרעה הלכה כא</w:t>
      </w:r>
      <w:r>
        <w:rPr>
          <w:rFonts w:hint="cs"/>
          <w:rtl/>
          <w:lang w:eastAsia="he-IL"/>
        </w:rPr>
        <w:t>ח</w:t>
      </w:r>
      <w:r w:rsidRPr="006D6CD4">
        <w:rPr>
          <w:rtl/>
          <w:lang w:eastAsia="he-IL"/>
        </w:rPr>
        <w:t>ד הפוסקים, אולם בתי הד</w:t>
      </w:r>
      <w:r>
        <w:rPr>
          <w:rFonts w:hint="cs"/>
          <w:rtl/>
          <w:lang w:eastAsia="he-IL"/>
        </w:rPr>
        <w:t>י</w:t>
      </w:r>
      <w:r w:rsidRPr="006D6CD4">
        <w:rPr>
          <w:rtl/>
          <w:lang w:eastAsia="he-IL"/>
        </w:rPr>
        <w:t>ן נוהגים לפסוק כשיטה אחת</w:t>
      </w:r>
      <w:r>
        <w:rPr>
          <w:rFonts w:hint="cs"/>
          <w:rtl/>
          <w:lang w:eastAsia="he-IL"/>
        </w:rPr>
        <w:t>,</w:t>
      </w:r>
      <w:r>
        <w:rPr>
          <w:rtl/>
          <w:lang w:eastAsia="he-IL"/>
        </w:rPr>
        <w:t xml:space="preserve"> ובא דיין לאחר מכן ופסק כד</w:t>
      </w:r>
      <w:r w:rsidRPr="006D6CD4">
        <w:rPr>
          <w:rtl/>
          <w:lang w:eastAsia="he-IL"/>
        </w:rPr>
        <w:t xml:space="preserve">עה האחרת -  הוא הנקרא טועה בשיקול הדעת. </w:t>
      </w:r>
    </w:p>
    <w:p w:rsidR="00945246" w:rsidRPr="006D6CD4" w:rsidRDefault="00945246" w:rsidP="00AD4B7B">
      <w:pPr>
        <w:pStyle w:val="ae"/>
        <w:rPr>
          <w:rtl/>
          <w:lang w:eastAsia="he-IL"/>
        </w:rPr>
      </w:pPr>
      <w:r w:rsidRPr="006D6CD4">
        <w:rPr>
          <w:rtl/>
          <w:lang w:eastAsia="he-IL"/>
        </w:rPr>
        <w:t xml:space="preserve">לפי פסק הדין של בית המשפט הנ"ל </w:t>
      </w:r>
      <w:r>
        <w:rPr>
          <w:rFonts w:hint="cs"/>
          <w:rtl/>
          <w:lang w:eastAsia="he-IL"/>
        </w:rPr>
        <w:t>עולה ש</w:t>
      </w:r>
      <w:r w:rsidRPr="006D6CD4">
        <w:rPr>
          <w:rtl/>
          <w:lang w:eastAsia="he-IL"/>
        </w:rPr>
        <w:t>הם טעו בשיקול הדעת</w:t>
      </w:r>
      <w:r>
        <w:rPr>
          <w:rFonts w:hint="cs"/>
          <w:rtl/>
          <w:lang w:eastAsia="he-IL"/>
        </w:rPr>
        <w:t>,</w:t>
      </w:r>
      <w:r w:rsidRPr="006D6CD4">
        <w:rPr>
          <w:rtl/>
          <w:lang w:eastAsia="he-IL"/>
        </w:rPr>
        <w:t xml:space="preserve"> שהרי לדבריהם </w:t>
      </w:r>
      <w:r>
        <w:rPr>
          <w:rFonts w:hint="cs"/>
          <w:rtl/>
          <w:lang w:eastAsia="he-IL"/>
        </w:rPr>
        <w:t>המנהג היה</w:t>
      </w:r>
      <w:r>
        <w:rPr>
          <w:rtl/>
          <w:lang w:eastAsia="he-IL"/>
        </w:rPr>
        <w:t xml:space="preserve"> לפסוק כד</w:t>
      </w:r>
      <w:r w:rsidRPr="006D6CD4">
        <w:rPr>
          <w:rtl/>
          <w:lang w:eastAsia="he-IL"/>
        </w:rPr>
        <w:t xml:space="preserve">עה המחייבת את האב במזונות </w:t>
      </w:r>
      <w:r w:rsidRPr="00047065">
        <w:rPr>
          <w:sz w:val="24"/>
          <w:szCs w:val="24"/>
          <w:rtl/>
          <w:lang w:eastAsia="he-IL"/>
        </w:rPr>
        <w:t>(על אף שלדבריהם מחלוקת זו לא הוכרעה, דהיינו, לא הוכרעה המחלוקת האם תקנת הרבנות הראשית הינה מדינא או מדין צדקה)</w:t>
      </w:r>
      <w:r w:rsidRPr="006D6CD4">
        <w:rPr>
          <w:rtl/>
          <w:lang w:eastAsia="he-IL"/>
        </w:rPr>
        <w:t>.</w:t>
      </w:r>
    </w:p>
    <w:p w:rsidR="00945246" w:rsidRPr="006D6CD4" w:rsidRDefault="00945246" w:rsidP="00AD4B7B">
      <w:pPr>
        <w:pStyle w:val="ae"/>
        <w:rPr>
          <w:rtl/>
          <w:lang w:eastAsia="he-IL"/>
        </w:rPr>
      </w:pPr>
      <w:r w:rsidRPr="006D6CD4">
        <w:rPr>
          <w:rtl/>
          <w:lang w:eastAsia="he-IL"/>
        </w:rPr>
        <w:t>אם כן</w:t>
      </w:r>
      <w:r>
        <w:rPr>
          <w:rFonts w:hint="cs"/>
          <w:rtl/>
          <w:lang w:eastAsia="he-IL"/>
        </w:rPr>
        <w:t>, לפי כללי הפסיקה בדין האישי,</w:t>
      </w:r>
      <w:r w:rsidRPr="006D6CD4">
        <w:rPr>
          <w:rtl/>
          <w:lang w:eastAsia="he-IL"/>
        </w:rPr>
        <w:t xml:space="preserve"> לדבריהם ההכרעה צריכה ה</w:t>
      </w:r>
      <w:r>
        <w:rPr>
          <w:rFonts w:hint="cs"/>
          <w:rtl/>
          <w:lang w:eastAsia="he-IL"/>
        </w:rPr>
        <w:t>י</w:t>
      </w:r>
      <w:r w:rsidRPr="006D6CD4">
        <w:rPr>
          <w:rtl/>
          <w:lang w:eastAsia="he-IL"/>
        </w:rPr>
        <w:t xml:space="preserve">יתה להיות במקרה כזה כנוהג המקובל. </w:t>
      </w:r>
    </w:p>
    <w:p w:rsidR="00945246" w:rsidRPr="00AB3B4B" w:rsidRDefault="00945246" w:rsidP="00AD4B7B">
      <w:pPr>
        <w:pStyle w:val="ae"/>
        <w:rPr>
          <w:rtl/>
          <w:lang w:eastAsia="he-IL"/>
        </w:rPr>
      </w:pPr>
      <w:r w:rsidRPr="006D6CD4">
        <w:rPr>
          <w:rtl/>
          <w:lang w:eastAsia="he-IL"/>
        </w:rPr>
        <w:t>אין אפשרות על פי ההלכה לאמץ גישה אחרת מכל סיבה שהיא.</w:t>
      </w:r>
    </w:p>
    <w:p w:rsidR="00945246" w:rsidRPr="00AB3B4B" w:rsidRDefault="00945246" w:rsidP="00AD4B7B">
      <w:pPr>
        <w:pStyle w:val="-0"/>
        <w:rPr>
          <w:rtl/>
          <w:lang w:eastAsia="he-IL"/>
        </w:rPr>
      </w:pPr>
      <w:r w:rsidRPr="00AB3B4B">
        <w:rPr>
          <w:rFonts w:hint="cs"/>
          <w:rtl/>
          <w:lang w:eastAsia="he-IL"/>
        </w:rPr>
        <w:t>סוף דבר</w:t>
      </w:r>
    </w:p>
    <w:p w:rsidR="00945246" w:rsidRPr="00AB3B4B" w:rsidRDefault="00945246" w:rsidP="00E37DA9">
      <w:pPr>
        <w:pStyle w:val="ad"/>
        <w:rPr>
          <w:rtl/>
        </w:rPr>
      </w:pPr>
      <w:r w:rsidRPr="00AB3B4B">
        <w:rPr>
          <w:rtl/>
        </w:rPr>
        <w:t>לענ"ד פסק הדין בבע"מ 919/15 המשווה את האב ואת האם בחיוב מזונות הקטינים לוקה בכמה משגים</w:t>
      </w:r>
      <w:r w:rsidRPr="00AB3B4B">
        <w:rPr>
          <w:rFonts w:hint="cs"/>
          <w:rtl/>
        </w:rPr>
        <w:t>:</w:t>
      </w:r>
    </w:p>
    <w:p w:rsidR="00945246" w:rsidRPr="00AB3B4B" w:rsidRDefault="00945246" w:rsidP="00E37DA9">
      <w:pPr>
        <w:pStyle w:val="ad"/>
        <w:numPr>
          <w:ilvl w:val="0"/>
          <w:numId w:val="2"/>
        </w:numPr>
        <w:rPr>
          <w:rtl/>
        </w:rPr>
      </w:pPr>
      <w:r w:rsidRPr="00AB3B4B">
        <w:rPr>
          <w:rFonts w:hint="cs"/>
          <w:rtl/>
        </w:rPr>
        <w:t xml:space="preserve">סמכו על פוסקים הסוברים שתקנת הרבנות הראשית הינה מדין צדקה בעוד שמלשון התקנה מוכח לא כך, וגם דעת הגרי"ש אלישיב </w:t>
      </w:r>
      <w:r>
        <w:rPr>
          <w:rFonts w:hint="cs"/>
          <w:rtl/>
        </w:rPr>
        <w:t xml:space="preserve">והגר"ע יוסף אינה מוכחת כשיטה זו, מלבד </w:t>
      </w:r>
      <w:r w:rsidR="007D32D2">
        <w:rPr>
          <w:rFonts w:hint="cs"/>
          <w:rtl/>
        </w:rPr>
        <w:t>ה</w:t>
      </w:r>
      <w:r>
        <w:rPr>
          <w:rFonts w:hint="cs"/>
          <w:rtl/>
        </w:rPr>
        <w:t xml:space="preserve">קושיות שיש על שיטת הגר"ע יוסף כאמור לעיל. </w:t>
      </w:r>
    </w:p>
    <w:p w:rsidR="00945246" w:rsidRPr="00AB3B4B" w:rsidRDefault="00945246" w:rsidP="00E37DA9">
      <w:pPr>
        <w:pStyle w:val="ad"/>
        <w:numPr>
          <w:ilvl w:val="0"/>
          <w:numId w:val="2"/>
        </w:numPr>
      </w:pPr>
      <w:r w:rsidRPr="00AB3B4B">
        <w:rPr>
          <w:rFonts w:hint="cs"/>
          <w:rtl/>
        </w:rPr>
        <w:t>הכריעו שחיוב האב והאם מדין צדקה זהה, בעוד שמהפוסקים נראה שיש לפסוק בזה שהקרוב קרוב קודם, והאב קרוב יותר מהאם.</w:t>
      </w:r>
    </w:p>
    <w:p w:rsidR="00945246" w:rsidRPr="00AB3B4B" w:rsidRDefault="00945246" w:rsidP="00E37DA9">
      <w:pPr>
        <w:pStyle w:val="ad"/>
        <w:numPr>
          <w:ilvl w:val="0"/>
          <w:numId w:val="2"/>
        </w:numPr>
        <w:rPr>
          <w:rtl/>
        </w:rPr>
      </w:pPr>
      <w:r w:rsidRPr="00AB3B4B">
        <w:rPr>
          <w:rFonts w:hint="cs"/>
          <w:rtl/>
        </w:rPr>
        <w:lastRenderedPageBreak/>
        <w:t>הכרעת הספק צריכה להיות על פי ההלכה כפי שנהוג לפסוק בבתי הדין ובבתי המשפט ולא על סמך אג'נדות ותפיסות עולם חדשות.</w:t>
      </w:r>
    </w:p>
    <w:p w:rsidR="00945246" w:rsidRPr="00AB3B4B" w:rsidRDefault="00945246" w:rsidP="00E37DA9">
      <w:pPr>
        <w:pStyle w:val="ae"/>
        <w:rPr>
          <w:rtl/>
          <w:lang w:eastAsia="he-IL"/>
        </w:rPr>
      </w:pPr>
      <w:r w:rsidRPr="00AB3B4B">
        <w:rPr>
          <w:rFonts w:hint="cs"/>
          <w:rtl/>
          <w:lang w:eastAsia="he-IL"/>
        </w:rPr>
        <w:t>בשולי הדברים ולא בשולי חשיבותם אוסיף שתי הערות.</w:t>
      </w:r>
    </w:p>
    <w:p w:rsidR="00945246" w:rsidRPr="00AB3B4B" w:rsidRDefault="00945246" w:rsidP="00E37DA9">
      <w:pPr>
        <w:pStyle w:val="ad"/>
        <w:numPr>
          <w:ilvl w:val="0"/>
          <w:numId w:val="3"/>
        </w:numPr>
      </w:pPr>
      <w:r w:rsidRPr="00A96BDF">
        <w:rPr>
          <w:rtl/>
        </w:rPr>
        <w:t>מבחינה משפטית, בנסיבות דנן, מדובר בפרשנותו של הדין האישי החל על תביעה למזונות, בין שהיא נדונה בבית-משפט ובין שהיא נדונה בבית-דין רבני. במקרה כזה, בית הדין הרבני הוא הוא הפרשן המקורי והמומחה למשפט עברי כפי שנמסר מדור לדור מאז ימות משה רבנו ע"ה, ואין בית הדין הרבני כפוף לפרשנות המשפט העב</w:t>
      </w:r>
      <w:r>
        <w:rPr>
          <w:rtl/>
        </w:rPr>
        <w:t>רי כפי שנעשתה בבית המשפט האזרחי</w:t>
      </w:r>
      <w:r w:rsidRPr="00130762">
        <w:rPr>
          <w:sz w:val="24"/>
          <w:szCs w:val="24"/>
          <w:rtl/>
        </w:rPr>
        <w:t>(ראו בג</w:t>
      </w:r>
      <w:r w:rsidRPr="00130762">
        <w:rPr>
          <w:rFonts w:hint="cs"/>
          <w:sz w:val="24"/>
          <w:szCs w:val="24"/>
          <w:rtl/>
        </w:rPr>
        <w:t>"</w:t>
      </w:r>
      <w:r w:rsidRPr="00130762">
        <w:rPr>
          <w:sz w:val="24"/>
          <w:szCs w:val="24"/>
          <w:rtl/>
        </w:rPr>
        <w:t>ץ 5969/94 אליהו אקנין נ' בית הדין הרבני האזורי בחיפה פ"ד נ(1) 370\ 376 (1996)).</w:t>
      </w:r>
    </w:p>
    <w:p w:rsidR="00945246" w:rsidRPr="00AB3B4B" w:rsidRDefault="00945246" w:rsidP="00E37DA9">
      <w:pPr>
        <w:pStyle w:val="ad"/>
        <w:numPr>
          <w:ilvl w:val="0"/>
          <w:numId w:val="3"/>
        </w:numPr>
      </w:pPr>
      <w:r w:rsidRPr="00AB3B4B">
        <w:rPr>
          <w:rFonts w:hint="cs"/>
          <w:rtl/>
        </w:rPr>
        <w:t xml:space="preserve">פסק דין זה לא עסק כיצד ראויה להיות החלוקה הצודקת במזונות הילדים בין ההורים, אלא כיצד יש לדון במצב המשפטי הקיים היום. אם יש עיוות הדורש תיקון </w:t>
      </w:r>
      <w:r w:rsidRPr="00AB3B4B">
        <w:rPr>
          <w:rtl/>
        </w:rPr>
        <w:t>–</w:t>
      </w:r>
      <w:r w:rsidRPr="00AB3B4B">
        <w:rPr>
          <w:rFonts w:hint="cs"/>
          <w:rtl/>
        </w:rPr>
        <w:t xml:space="preserve"> יש לעשות זאת במסגרת תקנה מחודשת של הרבנות הראשית לישראל בלבד. </w:t>
      </w:r>
    </w:p>
    <w:p w:rsidR="00945246" w:rsidRPr="00AB3B4B" w:rsidRDefault="00945246" w:rsidP="00E37DA9">
      <w:pPr>
        <w:pStyle w:val="ae"/>
        <w:rPr>
          <w:lang w:eastAsia="he-IL"/>
        </w:rPr>
      </w:pPr>
      <w:r w:rsidRPr="00AB3B4B">
        <w:rPr>
          <w:rFonts w:hint="cs"/>
          <w:rtl/>
          <w:lang w:eastAsia="he-IL"/>
        </w:rPr>
        <w:t>לפיכך אין ספק שלפי ההלכה הנוהגת כעת חיוב המזונות עד גיל 18 אינו מדין צדקה והוא מוטל על האב בלבד.</w:t>
      </w:r>
    </w:p>
    <w:p w:rsidR="00945246" w:rsidRPr="00AB3B4B" w:rsidRDefault="00945246" w:rsidP="009403BE">
      <w:pPr>
        <w:pStyle w:val="af2"/>
        <w:rPr>
          <w:rtl/>
          <w:lang w:eastAsia="he-IL"/>
        </w:rPr>
      </w:pPr>
      <w:r w:rsidRPr="00AB3B4B">
        <w:rPr>
          <w:rFonts w:hint="cs"/>
          <w:rtl/>
          <w:lang w:eastAsia="he-IL"/>
        </w:rPr>
        <w:t>דיין א'</w:t>
      </w:r>
    </w:p>
    <w:p w:rsidR="00945246" w:rsidRPr="00AB3B4B" w:rsidRDefault="00945246" w:rsidP="009403BE">
      <w:pPr>
        <w:pStyle w:val="-0"/>
        <w:rPr>
          <w:rtl/>
          <w:lang w:eastAsia="he-IL"/>
        </w:rPr>
      </w:pPr>
      <w:r w:rsidRPr="00AB3B4B">
        <w:rPr>
          <w:rFonts w:hint="cs"/>
          <w:rtl/>
          <w:lang w:eastAsia="he-IL"/>
        </w:rPr>
        <w:t>נימוקי דיין ב':</w:t>
      </w:r>
    </w:p>
    <w:p w:rsidR="00945246" w:rsidRPr="00AB3B4B" w:rsidRDefault="00945246" w:rsidP="009403BE">
      <w:pPr>
        <w:pStyle w:val="ae"/>
        <w:rPr>
          <w:rtl/>
          <w:lang w:eastAsia="he-IL"/>
        </w:rPr>
      </w:pPr>
      <w:r w:rsidRPr="00AB3B4B">
        <w:rPr>
          <w:rFonts w:hint="cs"/>
          <w:rtl/>
          <w:lang w:eastAsia="he-IL"/>
        </w:rPr>
        <w:t>אוסיף בקצרה</w:t>
      </w:r>
      <w:r>
        <w:rPr>
          <w:rFonts w:hint="cs"/>
          <w:rtl/>
          <w:lang w:eastAsia="he-IL"/>
        </w:rPr>
        <w:t>,</w:t>
      </w:r>
      <w:r w:rsidRPr="00AB3B4B">
        <w:rPr>
          <w:rFonts w:hint="cs"/>
          <w:rtl/>
          <w:lang w:eastAsia="he-IL"/>
        </w:rPr>
        <w:t xml:space="preserve">שלענ"ד בלא להיכנס להכרעה בשאלת היסוד אותה העלה כב' דיין א' שליט"א, במקרה דנן </w:t>
      </w:r>
      <w:r>
        <w:rPr>
          <w:rFonts w:hint="cs"/>
          <w:rtl/>
          <w:lang w:eastAsia="he-IL"/>
        </w:rPr>
        <w:t>גם אם נקבל את שיטת הפוסקים שיש לחייב גם את האם בהשתתפות במזונות, אין הדברים אמורים במקרה זה</w:t>
      </w:r>
      <w:r w:rsidRPr="00AB3B4B">
        <w:rPr>
          <w:rFonts w:hint="cs"/>
          <w:rtl/>
          <w:lang w:eastAsia="he-IL"/>
        </w:rPr>
        <w:t>.</w:t>
      </w:r>
    </w:p>
    <w:p w:rsidR="00945246" w:rsidRPr="00AB3B4B" w:rsidRDefault="00945246" w:rsidP="009403BE">
      <w:pPr>
        <w:pStyle w:val="ae"/>
        <w:rPr>
          <w:rtl/>
          <w:lang w:eastAsia="he-IL"/>
        </w:rPr>
      </w:pPr>
      <w:r w:rsidRPr="00AB3B4B">
        <w:rPr>
          <w:rFonts w:hint="cs"/>
          <w:rtl/>
          <w:lang w:eastAsia="he-IL"/>
        </w:rPr>
        <w:t xml:space="preserve">ראשית אציין את נתוני השכר של הצדדים. קשה לערוך חיוב מדוייק בשל הסטיות הרבות בנתונים ומספר העבודות של האב </w:t>
      </w:r>
      <w:r w:rsidRPr="00130762">
        <w:rPr>
          <w:rFonts w:hint="cs"/>
          <w:sz w:val="24"/>
          <w:szCs w:val="24"/>
          <w:rtl/>
          <w:lang w:eastAsia="he-IL"/>
        </w:rPr>
        <w:t>(יש לציין להפקדת המחאות בחשבון בסכומים נכבדים, שלא נתברר מקורן)</w:t>
      </w:r>
      <w:r w:rsidRPr="00AB3B4B">
        <w:rPr>
          <w:rFonts w:hint="cs"/>
          <w:rtl/>
          <w:lang w:eastAsia="he-IL"/>
        </w:rPr>
        <w:t>.</w:t>
      </w:r>
    </w:p>
    <w:p w:rsidR="00945246" w:rsidRPr="00AB3B4B" w:rsidRDefault="00945246" w:rsidP="009403BE">
      <w:pPr>
        <w:pStyle w:val="ae"/>
        <w:rPr>
          <w:rtl/>
          <w:lang w:eastAsia="he-IL"/>
        </w:rPr>
      </w:pPr>
      <w:r w:rsidRPr="00AB3B4B">
        <w:rPr>
          <w:rFonts w:hint="cs"/>
          <w:rtl/>
          <w:lang w:eastAsia="he-IL"/>
        </w:rPr>
        <w:t>האב הגיש את תלושי השכר שלו, ופירוט חשבון הבנק, בדיון נאמר על יד</w:t>
      </w:r>
      <w:r w:rsidR="00130762">
        <w:rPr>
          <w:rFonts w:hint="cs"/>
          <w:rtl/>
          <w:lang w:eastAsia="he-IL"/>
        </w:rPr>
        <w:t>ו שמדובר בסכום ממוצע של 14,000 ש"ח</w:t>
      </w:r>
      <w:r w:rsidRPr="00AB3B4B">
        <w:rPr>
          <w:rFonts w:hint="cs"/>
          <w:rtl/>
          <w:lang w:eastAsia="he-IL"/>
        </w:rPr>
        <w:t>.</w:t>
      </w:r>
    </w:p>
    <w:p w:rsidR="00945246" w:rsidRPr="00AB3B4B" w:rsidRDefault="00130762" w:rsidP="009403BE">
      <w:pPr>
        <w:pStyle w:val="ae"/>
        <w:rPr>
          <w:rtl/>
          <w:lang w:eastAsia="he-IL"/>
        </w:rPr>
      </w:pPr>
      <w:r>
        <w:rPr>
          <w:rFonts w:hint="cs"/>
          <w:rtl/>
          <w:lang w:eastAsia="he-IL"/>
        </w:rPr>
        <w:t>האם משתכרת בדרך כלל כ -10,000 ש"ח</w:t>
      </w:r>
      <w:r w:rsidR="00945246" w:rsidRPr="00AB3B4B">
        <w:rPr>
          <w:rFonts w:hint="cs"/>
          <w:rtl/>
          <w:lang w:eastAsia="he-IL"/>
        </w:rPr>
        <w:t xml:space="preserve"> לחודש, ולעתים יותר עקב נסיבות שונות.</w:t>
      </w:r>
    </w:p>
    <w:p w:rsidR="00945246" w:rsidRPr="00AB3B4B" w:rsidRDefault="00945246" w:rsidP="009403BE">
      <w:pPr>
        <w:pStyle w:val="ae"/>
        <w:rPr>
          <w:rtl/>
          <w:lang w:eastAsia="he-IL"/>
        </w:rPr>
      </w:pPr>
      <w:r w:rsidRPr="00AB3B4B">
        <w:rPr>
          <w:rFonts w:hint="cs"/>
          <w:rtl/>
          <w:lang w:eastAsia="he-IL"/>
        </w:rPr>
        <w:t>שני הצדדים טוענים זה כנגד זה על מתן שיעורים פרטיים בהיקף מסויים, לא הומצאו הוכחות וקשה לעמוד על האמת בעניין.</w:t>
      </w:r>
    </w:p>
    <w:p w:rsidR="00945246" w:rsidRPr="00AB3B4B" w:rsidRDefault="00945246" w:rsidP="009403BE">
      <w:pPr>
        <w:pStyle w:val="ae"/>
        <w:rPr>
          <w:rtl/>
          <w:lang w:eastAsia="he-IL"/>
        </w:rPr>
      </w:pPr>
      <w:r w:rsidRPr="00AB3B4B">
        <w:rPr>
          <w:rFonts w:hint="cs"/>
          <w:rtl/>
          <w:lang w:eastAsia="he-IL"/>
        </w:rPr>
        <w:t>לפי נתונים אלו בסך הכל מצבו הכלכלי של האב בדרך עולה על האם וגם אם בחישובים מדוייקים יותר תימצא סטייה מהסכום הצגנו, בוודאי שהשתכרות האם תהיה לכל היותר שקולה לו.</w:t>
      </w:r>
    </w:p>
    <w:p w:rsidR="00945246" w:rsidRPr="00AB3B4B" w:rsidRDefault="00945246" w:rsidP="009403BE">
      <w:pPr>
        <w:pStyle w:val="ae"/>
        <w:rPr>
          <w:rtl/>
          <w:lang w:eastAsia="he-IL"/>
        </w:rPr>
      </w:pPr>
      <w:r w:rsidRPr="00AB3B4B">
        <w:rPr>
          <w:rFonts w:hint="cs"/>
          <w:rtl/>
          <w:lang w:eastAsia="he-IL"/>
        </w:rPr>
        <w:t>הפוסקים שמ</w:t>
      </w:r>
      <w:r>
        <w:rPr>
          <w:rFonts w:hint="cs"/>
          <w:rtl/>
          <w:lang w:eastAsia="he-IL"/>
        </w:rPr>
        <w:t>דבריהם משתמע שיש לחייב גם את האם</w:t>
      </w:r>
      <w:r w:rsidRPr="00AB3B4B">
        <w:rPr>
          <w:rFonts w:hint="cs"/>
          <w:rtl/>
          <w:lang w:eastAsia="he-IL"/>
        </w:rPr>
        <w:t xml:space="preserve"> במזונות הילדים, עוסקים במקרים בהם האם אמידה ואילו האב אינו אמיד, ואזי יש לפנות אל האם </w:t>
      </w:r>
      <w:r>
        <w:rPr>
          <w:rFonts w:hint="cs"/>
          <w:rtl/>
          <w:lang w:eastAsia="he-IL"/>
        </w:rPr>
        <w:t>שתתמוך גם היא ב</w:t>
      </w:r>
      <w:r w:rsidRPr="00AB3B4B">
        <w:rPr>
          <w:rFonts w:hint="cs"/>
          <w:rtl/>
          <w:lang w:eastAsia="he-IL"/>
        </w:rPr>
        <w:t>מזונות הילדים.</w:t>
      </w:r>
    </w:p>
    <w:p w:rsidR="00945246" w:rsidRPr="00AB3B4B" w:rsidRDefault="00945246" w:rsidP="009403BE">
      <w:pPr>
        <w:pStyle w:val="ae"/>
        <w:rPr>
          <w:rtl/>
          <w:lang w:eastAsia="he-IL"/>
        </w:rPr>
      </w:pPr>
      <w:r w:rsidRPr="00AB3B4B">
        <w:rPr>
          <w:rFonts w:hint="cs"/>
          <w:rtl/>
          <w:lang w:eastAsia="he-IL"/>
        </w:rPr>
        <w:t xml:space="preserve">כך לדוגמא כותב הראש"ל הרב עובדיה יוסף זצ"ל </w:t>
      </w:r>
      <w:r w:rsidRPr="00EE7757">
        <w:rPr>
          <w:rFonts w:hint="cs"/>
          <w:sz w:val="24"/>
          <w:szCs w:val="24"/>
          <w:rtl/>
          <w:lang w:eastAsia="he-IL"/>
        </w:rPr>
        <w:t>(שו"ת יביע אומר אה"ע יא,סז)</w:t>
      </w:r>
      <w:r w:rsidRPr="00AB3B4B">
        <w:rPr>
          <w:rFonts w:hint="cs"/>
          <w:rtl/>
          <w:lang w:eastAsia="he-IL"/>
        </w:rPr>
        <w:t>: "ואם האב אינו אמיד ופרנסתו מצומצמת והאם אמידה שתוכל לפרנס את הבן או הבת שהם למעלה מג</w:t>
      </w:r>
      <w:r>
        <w:rPr>
          <w:rFonts w:hint="cs"/>
          <w:rtl/>
          <w:lang w:eastAsia="he-IL"/>
        </w:rPr>
        <w:t>יל שש שנים יש לחייב את האם במזו</w:t>
      </w:r>
      <w:r w:rsidRPr="00AB3B4B">
        <w:rPr>
          <w:rFonts w:hint="cs"/>
          <w:rtl/>
          <w:lang w:eastAsia="he-IL"/>
        </w:rPr>
        <w:t>נות מדין צדקה..."</w:t>
      </w:r>
    </w:p>
    <w:p w:rsidR="00945246" w:rsidRPr="00AB3B4B" w:rsidRDefault="00945246" w:rsidP="009403BE">
      <w:pPr>
        <w:pStyle w:val="ae"/>
        <w:rPr>
          <w:rtl/>
          <w:lang w:eastAsia="he-IL"/>
        </w:rPr>
      </w:pPr>
      <w:r w:rsidRPr="00AB3B4B">
        <w:rPr>
          <w:rFonts w:hint="cs"/>
          <w:rtl/>
          <w:lang w:eastAsia="he-IL"/>
        </w:rPr>
        <w:t>כך גם נכתב בהחלטת מועצת הרבנות הראשית:</w:t>
      </w:r>
    </w:p>
    <w:p w:rsidR="00945246" w:rsidRDefault="00945246" w:rsidP="009403BE">
      <w:pPr>
        <w:pStyle w:val="aff"/>
        <w:rPr>
          <w:rtl/>
          <w:lang w:eastAsia="he-IL"/>
        </w:rPr>
      </w:pPr>
      <w:r w:rsidRPr="00AB3B4B">
        <w:rPr>
          <w:rFonts w:hint="cs"/>
          <w:rtl/>
          <w:lang w:eastAsia="he-IL"/>
        </w:rPr>
        <w:t>"על היושבים על מדין להוסיף לשיקול הדעת בפסיקת מזונות הילדים את היכולת הכלכלית של האם".</w:t>
      </w:r>
    </w:p>
    <w:p w:rsidR="00945246" w:rsidRPr="00AB3B4B" w:rsidRDefault="00945246" w:rsidP="009403BE">
      <w:pPr>
        <w:pStyle w:val="ae"/>
        <w:rPr>
          <w:rtl/>
          <w:lang w:eastAsia="he-IL"/>
        </w:rPr>
      </w:pPr>
      <w:r>
        <w:rPr>
          <w:rFonts w:hint="cs"/>
          <w:rtl/>
          <w:lang w:eastAsia="he-IL"/>
        </w:rPr>
        <w:lastRenderedPageBreak/>
        <w:t xml:space="preserve">מדבריהם עולה שיש מקרים בהם האב אינו מסוגל לפרנס ומאידך האם בעלת יכולות גבוהות ופרנסה מרווחת, ואזי יש להפחית את מחיוב המזונות של האב. </w:t>
      </w:r>
    </w:p>
    <w:p w:rsidR="00945246" w:rsidRPr="00AB3B4B" w:rsidRDefault="00945246" w:rsidP="009403BE">
      <w:pPr>
        <w:pStyle w:val="ae"/>
        <w:rPr>
          <w:rtl/>
          <w:lang w:eastAsia="he-IL"/>
        </w:rPr>
      </w:pPr>
      <w:r w:rsidRPr="00AB3B4B">
        <w:rPr>
          <w:rFonts w:hint="cs"/>
          <w:rtl/>
          <w:lang w:eastAsia="he-IL"/>
        </w:rPr>
        <w:t>במקרה דנן יש יתרון של האב על האם. ושיקול הדעת אינו נוטה</w:t>
      </w:r>
      <w:r>
        <w:rPr>
          <w:rFonts w:hint="cs"/>
          <w:rtl/>
          <w:lang w:eastAsia="he-IL"/>
        </w:rPr>
        <w:t>, בנתונים של מקרה דנן,</w:t>
      </w:r>
      <w:r w:rsidRPr="00AB3B4B">
        <w:rPr>
          <w:rFonts w:hint="cs"/>
          <w:rtl/>
          <w:lang w:eastAsia="he-IL"/>
        </w:rPr>
        <w:t xml:space="preserve"> להשמטת האחריות מכתפי האב לכתפיה של האם.</w:t>
      </w:r>
    </w:p>
    <w:p w:rsidR="00945246" w:rsidRPr="00AB3B4B" w:rsidRDefault="00945246" w:rsidP="009403BE">
      <w:pPr>
        <w:pStyle w:val="ae"/>
        <w:rPr>
          <w:rtl/>
          <w:lang w:eastAsia="he-IL"/>
        </w:rPr>
      </w:pPr>
      <w:r w:rsidRPr="00AB3B4B">
        <w:rPr>
          <w:rFonts w:hint="cs"/>
          <w:rtl/>
          <w:lang w:eastAsia="he-IL"/>
        </w:rPr>
        <w:t>בנוסף אני סבור שבדרך כלל בפסיקת מזונות</w:t>
      </w:r>
      <w:r>
        <w:rPr>
          <w:rFonts w:hint="cs"/>
          <w:rtl/>
          <w:lang w:eastAsia="he-IL"/>
        </w:rPr>
        <w:t xml:space="preserve"> המקובלת</w:t>
      </w:r>
      <w:r w:rsidRPr="00AB3B4B">
        <w:rPr>
          <w:rFonts w:hint="cs"/>
          <w:rtl/>
          <w:lang w:eastAsia="he-IL"/>
        </w:rPr>
        <w:t xml:space="preserve"> כבר מוטל חלק מהמזונות על האם</w:t>
      </w:r>
      <w:r>
        <w:rPr>
          <w:rFonts w:hint="cs"/>
          <w:rtl/>
          <w:lang w:eastAsia="he-IL"/>
        </w:rPr>
        <w:t>,</w:t>
      </w:r>
      <w:r w:rsidRPr="00AB3B4B">
        <w:rPr>
          <w:rFonts w:hint="cs"/>
          <w:rtl/>
          <w:lang w:eastAsia="he-IL"/>
        </w:rPr>
        <w:t xml:space="preserve"> שכן הסכומים המקובלים בפסיקה נמוכים יותר מאשר נתוני הלמ"ס לגבי הוצאות ילד במשפחה. </w:t>
      </w:r>
    </w:p>
    <w:p w:rsidR="00945246" w:rsidRDefault="00945246" w:rsidP="009403BE">
      <w:pPr>
        <w:pStyle w:val="ae"/>
        <w:rPr>
          <w:rtl/>
          <w:lang w:eastAsia="he-IL"/>
        </w:rPr>
      </w:pPr>
      <w:r>
        <w:rPr>
          <w:rFonts w:hint="cs"/>
          <w:rtl/>
          <w:lang w:eastAsia="he-IL"/>
        </w:rPr>
        <w:t>לנוכ</w:t>
      </w:r>
      <w:r w:rsidRPr="00AB3B4B">
        <w:rPr>
          <w:rFonts w:hint="cs"/>
          <w:rtl/>
          <w:lang w:eastAsia="he-IL"/>
        </w:rPr>
        <w:t>ח זאת הסכומים שנקבעו כעת</w:t>
      </w:r>
      <w:r>
        <w:rPr>
          <w:rFonts w:hint="cs"/>
          <w:rtl/>
          <w:lang w:eastAsia="he-IL"/>
        </w:rPr>
        <w:t xml:space="preserve">, כאשר הילדים במשמורת משותפת ועל כן חלק מהזמן הם אצל האב שדואג לצרכיהם בזמן שהם אצלו, ולגבי הזמן שהם אצל האם,נקבע </w:t>
      </w:r>
      <w:r w:rsidR="003A3FCA">
        <w:rPr>
          <w:rFonts w:hint="cs"/>
          <w:rtl/>
          <w:lang w:eastAsia="he-IL"/>
        </w:rPr>
        <w:t>בסך 900 ש"ח</w:t>
      </w:r>
      <w:r w:rsidRPr="00AB3B4B">
        <w:rPr>
          <w:rFonts w:hint="cs"/>
          <w:rtl/>
          <w:lang w:eastAsia="he-IL"/>
        </w:rPr>
        <w:t xml:space="preserve"> ל</w:t>
      </w:r>
      <w:r w:rsidR="003A3FCA">
        <w:rPr>
          <w:rFonts w:hint="cs"/>
          <w:rtl/>
          <w:lang w:eastAsia="he-IL"/>
        </w:rPr>
        <w:t>כל ילד, סך הכל 1,800 ש"ח</w:t>
      </w:r>
      <w:r>
        <w:rPr>
          <w:rFonts w:hint="cs"/>
          <w:rtl/>
          <w:lang w:eastAsia="he-IL"/>
        </w:rPr>
        <w:t xml:space="preserve"> לשני הילדים, מלבד</w:t>
      </w:r>
      <w:r w:rsidR="003A3FCA">
        <w:rPr>
          <w:rFonts w:hint="cs"/>
          <w:rtl/>
          <w:lang w:eastAsia="he-IL"/>
        </w:rPr>
        <w:t xml:space="preserve"> 1,100 ש"ח</w:t>
      </w:r>
      <w:r w:rsidRPr="00AB3B4B">
        <w:rPr>
          <w:rFonts w:hint="cs"/>
          <w:rtl/>
          <w:lang w:eastAsia="he-IL"/>
        </w:rPr>
        <w:t xml:space="preserve"> למדור</w:t>
      </w:r>
      <w:r>
        <w:rPr>
          <w:rFonts w:hint="cs"/>
          <w:rtl/>
          <w:lang w:eastAsia="he-IL"/>
        </w:rPr>
        <w:t>, והוצאות חריגות</w:t>
      </w:r>
      <w:r w:rsidRPr="00AB3B4B">
        <w:rPr>
          <w:rFonts w:hint="cs"/>
          <w:rtl/>
          <w:lang w:eastAsia="he-IL"/>
        </w:rPr>
        <w:t>, הם</w:t>
      </w:r>
      <w:r>
        <w:rPr>
          <w:rFonts w:hint="cs"/>
          <w:rtl/>
          <w:lang w:eastAsia="he-IL"/>
        </w:rPr>
        <w:t xml:space="preserve"> תואמים את צורכי הילדים ואת יכולות ההורים</w:t>
      </w:r>
      <w:r w:rsidRPr="00AB3B4B">
        <w:rPr>
          <w:rFonts w:hint="cs"/>
          <w:rtl/>
          <w:lang w:eastAsia="he-IL"/>
        </w:rPr>
        <w:t>.</w:t>
      </w:r>
    </w:p>
    <w:p w:rsidR="006C5736" w:rsidRDefault="00945246" w:rsidP="006F2345">
      <w:pPr>
        <w:pStyle w:val="-0"/>
        <w:jc w:val="center"/>
        <w:rPr>
          <w:rtl/>
          <w:lang w:eastAsia="he-IL"/>
        </w:rPr>
      </w:pPr>
      <w:r w:rsidRPr="00AB3B4B">
        <w:rPr>
          <w:rFonts w:hint="cs"/>
          <w:rtl/>
          <w:lang w:eastAsia="he-IL"/>
        </w:rPr>
        <w:t>דיין ב'</w:t>
      </w:r>
    </w:p>
    <w:p w:rsidR="0090493D" w:rsidRDefault="0090493D" w:rsidP="0090493D">
      <w:pPr>
        <w:pStyle w:val="ae"/>
        <w:rPr>
          <w:rtl/>
          <w:lang w:eastAsia="he-IL"/>
        </w:rPr>
      </w:pPr>
    </w:p>
    <w:p w:rsidR="0090493D" w:rsidRPr="00BD009C" w:rsidRDefault="0090493D" w:rsidP="00BD009C">
      <w:pPr>
        <w:pStyle w:val="ae"/>
        <w:rPr>
          <w:rtl/>
        </w:rPr>
      </w:pPr>
      <w:r w:rsidRPr="00BD009C">
        <w:rPr>
          <w:rFonts w:hint="cs"/>
          <w:rtl/>
        </w:rPr>
        <w:t>גם אני מצטרף לדעת חברי האמ</w:t>
      </w:r>
      <w:bookmarkStart w:id="0" w:name="_GoBack"/>
      <w:bookmarkEnd w:id="0"/>
      <w:r w:rsidRPr="00BD009C">
        <w:rPr>
          <w:rFonts w:hint="cs"/>
          <w:rtl/>
        </w:rPr>
        <w:t>ורים בטוב טעם ודעת.</w:t>
      </w:r>
    </w:p>
    <w:p w:rsidR="0090493D" w:rsidRDefault="0090493D" w:rsidP="0090493D">
      <w:pPr>
        <w:pStyle w:val="-0"/>
        <w:jc w:val="center"/>
        <w:rPr>
          <w:rtl/>
          <w:lang w:eastAsia="he-IL"/>
        </w:rPr>
      </w:pPr>
      <w:r>
        <w:rPr>
          <w:rFonts w:hint="cs"/>
          <w:rtl/>
          <w:lang w:eastAsia="he-IL"/>
        </w:rPr>
        <w:t>דיין ג</w:t>
      </w:r>
      <w:r w:rsidRPr="00AB3B4B">
        <w:rPr>
          <w:rFonts w:hint="cs"/>
          <w:rtl/>
          <w:lang w:eastAsia="he-IL"/>
        </w:rPr>
        <w:t>'</w:t>
      </w:r>
    </w:p>
    <w:p w:rsidR="003A3FCA" w:rsidRPr="003A3FCA" w:rsidRDefault="003A3FCA" w:rsidP="003A3FCA">
      <w:pPr>
        <w:rPr>
          <w:rtl/>
          <w:lang w:eastAsia="he-IL"/>
        </w:rPr>
      </w:pPr>
    </w:p>
    <w:p w:rsidR="006C5736" w:rsidRPr="006C5736" w:rsidRDefault="006C5736" w:rsidP="006C5736">
      <w:pPr>
        <w:pStyle w:val="ae"/>
        <w:rPr>
          <w:lang w:eastAsia="he-IL"/>
        </w:rPr>
      </w:pPr>
      <w:r w:rsidRPr="00AB3B4B">
        <w:rPr>
          <w:rtl/>
        </w:rPr>
        <w:t>ההחלטה מותרת לפרסום לאחר השמטת פרטי הזיהוי של הצדדים</w:t>
      </w:r>
      <w:r w:rsidR="00F15748">
        <w:rPr>
          <w:rFonts w:hint="cs"/>
          <w:rtl/>
          <w:lang w:eastAsia="he-IL"/>
        </w:rPr>
        <w:t>.</w:t>
      </w:r>
    </w:p>
    <w:p w:rsidR="003A3FCA" w:rsidRDefault="003A3FCA" w:rsidP="007F27C5">
      <w:pPr>
        <w:pStyle w:val="ae"/>
        <w:ind w:firstLine="0"/>
        <w:jc w:val="left"/>
        <w:rPr>
          <w:sz w:val="28"/>
          <w:rtl/>
        </w:rPr>
      </w:pPr>
    </w:p>
    <w:p w:rsidR="00F15748" w:rsidRDefault="00F15748" w:rsidP="007F27C5">
      <w:pPr>
        <w:pStyle w:val="ae"/>
        <w:ind w:firstLine="0"/>
        <w:jc w:val="left"/>
        <w:rPr>
          <w:sz w:val="28"/>
          <w:rtl/>
        </w:rPr>
      </w:pPr>
      <w:r>
        <w:rPr>
          <w:rFonts w:hint="cs"/>
          <w:sz w:val="28"/>
          <w:rtl/>
        </w:rPr>
        <w:t>ניתן ביום ט"ז באדר ב התשע"ט</w:t>
      </w:r>
      <w:r w:rsidRPr="004E715B">
        <w:rPr>
          <w:rFonts w:hint="cs"/>
          <w:sz w:val="24"/>
          <w:szCs w:val="24"/>
          <w:rtl/>
        </w:rPr>
        <w:t>(23/03/2019)</w:t>
      </w:r>
      <w:r>
        <w:rPr>
          <w:rFonts w:hint="cs"/>
          <w:sz w:val="28"/>
          <w:rtl/>
        </w:rPr>
        <w:t>.</w:t>
      </w:r>
    </w:p>
    <w:p w:rsidR="00945246" w:rsidRPr="002D35CA" w:rsidRDefault="00114C09" w:rsidP="00114C09">
      <w:pPr>
        <w:pStyle w:val="af2"/>
        <w:rPr>
          <w:rtl/>
        </w:rPr>
      </w:pPr>
      <w:r>
        <w:rPr>
          <w:rFonts w:hint="cs"/>
          <w:rtl/>
        </w:rPr>
        <w:t xml:space="preserve">הרב ישי בוכריס </w:t>
      </w:r>
      <w:r>
        <w:rPr>
          <w:rtl/>
        </w:rPr>
        <w:tab/>
      </w:r>
      <w:r>
        <w:rPr>
          <w:rFonts w:hint="cs"/>
          <w:rtl/>
        </w:rPr>
        <w:t>רב דניאל כ"ץ</w:t>
      </w:r>
      <w:r>
        <w:rPr>
          <w:rtl/>
        </w:rPr>
        <w:tab/>
      </w:r>
      <w:r>
        <w:rPr>
          <w:rFonts w:hint="cs"/>
          <w:rtl/>
        </w:rPr>
        <w:t>הרב עודד מכמן</w:t>
      </w:r>
    </w:p>
    <w:tbl>
      <w:tblPr>
        <w:tblStyle w:val="TableGrid1"/>
        <w:bidiVisual/>
        <w:tblW w:w="869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1"/>
        <w:gridCol w:w="2349"/>
        <w:gridCol w:w="1930"/>
        <w:gridCol w:w="2041"/>
      </w:tblGrid>
      <w:tr w:rsidR="00945246" w:rsidRPr="00371B63" w:rsidTr="00945246">
        <w:trPr>
          <w:trHeight w:val="291"/>
          <w:jc w:val="center"/>
        </w:trPr>
        <w:tc>
          <w:tcPr>
            <w:tcW w:w="2371" w:type="dxa"/>
          </w:tcPr>
          <w:p w:rsidR="00945246" w:rsidRPr="00371B63" w:rsidRDefault="00945246" w:rsidP="00945246">
            <w:pPr>
              <w:spacing w:after="0" w:line="240" w:lineRule="auto"/>
              <w:ind w:right="-459"/>
              <w:rPr>
                <w:rFonts w:cs="David"/>
                <w:sz w:val="24"/>
                <w:szCs w:val="24"/>
                <w:rtl/>
              </w:rPr>
            </w:pPr>
          </w:p>
        </w:tc>
        <w:sdt>
          <w:sdtPr>
            <w:rPr>
              <w:rtl/>
            </w:rPr>
            <w:tag w:val="Judge1Signature"/>
            <w:id w:val="368939589"/>
            <w:placeholder>
              <w:docPart w:val="29CDDEB9ED5D4FC0B44968F53B8F36B5"/>
            </w:placeholder>
          </w:sdtPr>
          <w:sdtContent>
            <w:tc>
              <w:tcPr>
                <w:tcW w:w="2349" w:type="dxa"/>
              </w:tcPr>
              <w:p w:rsidR="00945246" w:rsidRPr="00371B63" w:rsidRDefault="00945246" w:rsidP="00E724E5">
                <w:pPr>
                  <w:spacing w:after="0" w:line="240" w:lineRule="auto"/>
                  <w:ind w:right="-459"/>
                  <w:jc w:val="center"/>
                  <w:rPr>
                    <w:rFonts w:cs="David"/>
                    <w:sz w:val="24"/>
                    <w:szCs w:val="24"/>
                    <w:rtl/>
                  </w:rPr>
                </w:pPr>
              </w:p>
            </w:tc>
          </w:sdtContent>
        </w:sdt>
        <w:tc>
          <w:tcPr>
            <w:tcW w:w="1930" w:type="dxa"/>
          </w:tcPr>
          <w:p w:rsidR="00945246" w:rsidRPr="00371B63" w:rsidRDefault="00945246" w:rsidP="00945246">
            <w:pPr>
              <w:spacing w:after="0" w:line="240" w:lineRule="auto"/>
              <w:ind w:right="-459"/>
              <w:rPr>
                <w:rFonts w:cs="David"/>
                <w:sz w:val="24"/>
                <w:szCs w:val="24"/>
                <w:rtl/>
              </w:rPr>
            </w:pPr>
          </w:p>
        </w:tc>
        <w:tc>
          <w:tcPr>
            <w:tcW w:w="2041" w:type="dxa"/>
          </w:tcPr>
          <w:p w:rsidR="00945246" w:rsidRPr="00371B63" w:rsidRDefault="00945246" w:rsidP="00945246">
            <w:pPr>
              <w:spacing w:after="0" w:line="240" w:lineRule="auto"/>
              <w:ind w:right="-459"/>
              <w:rPr>
                <w:rFonts w:cs="David"/>
                <w:sz w:val="24"/>
                <w:szCs w:val="24"/>
                <w:rtl/>
              </w:rPr>
            </w:pPr>
          </w:p>
        </w:tc>
      </w:tr>
    </w:tbl>
    <w:p w:rsidR="00406EF8" w:rsidRPr="00D71637" w:rsidRDefault="00406EF8" w:rsidP="00114C09">
      <w:pPr>
        <w:pStyle w:val="ae"/>
        <w:ind w:firstLine="0"/>
        <w:rPr>
          <w:lang w:eastAsia="he-IL"/>
        </w:rPr>
      </w:pPr>
    </w:p>
    <w:sectPr w:rsidR="00406EF8" w:rsidRPr="00D71637" w:rsidSect="00945246">
      <w:headerReference w:type="default" r:id="rId7"/>
      <w:footerReference w:type="default" r:id="rId8"/>
      <w:pgSz w:w="11906" w:h="16838" w:code="9"/>
      <w:pgMar w:top="522" w:right="1797" w:bottom="1276" w:left="1418" w:header="425" w:footer="425"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51DA" w:rsidRDefault="002B51DA">
      <w:pPr>
        <w:spacing w:after="0" w:line="240" w:lineRule="auto"/>
      </w:pPr>
      <w:r>
        <w:separator/>
      </w:r>
    </w:p>
  </w:endnote>
  <w:endnote w:type="continuationSeparator" w:id="1">
    <w:p w:rsidR="002B51DA" w:rsidRDefault="002B51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530872724"/>
      <w:docPartObj>
        <w:docPartGallery w:val="Page Numbers (Bottom of Page)"/>
        <w:docPartUnique/>
      </w:docPartObj>
    </w:sdtPr>
    <w:sdtEndPr>
      <w:rPr>
        <w:cs/>
      </w:rPr>
    </w:sdtEndPr>
    <w:sdtContent>
      <w:p w:rsidR="0090493D" w:rsidRDefault="000A7E12">
        <w:pPr>
          <w:pStyle w:val="aa"/>
          <w:jc w:val="center"/>
          <w:rPr>
            <w:rtl/>
            <w:cs/>
          </w:rPr>
        </w:pPr>
        <w:r>
          <w:fldChar w:fldCharType="begin"/>
        </w:r>
        <w:r w:rsidR="0090493D">
          <w:rPr>
            <w:rtl/>
            <w:cs/>
          </w:rPr>
          <w:instrText>PAGE   \* MERGEFORMAT</w:instrText>
        </w:r>
        <w:r>
          <w:fldChar w:fldCharType="separate"/>
        </w:r>
        <w:r w:rsidR="00A35E14" w:rsidRPr="00A35E14">
          <w:rPr>
            <w:noProof/>
            <w:rtl/>
            <w:lang w:val="he-IL"/>
          </w:rPr>
          <w:t>7</w:t>
        </w:r>
        <w:r>
          <w:fldChar w:fldCharType="end"/>
        </w:r>
      </w:p>
    </w:sdtContent>
  </w:sdt>
  <w:p w:rsidR="0090493D" w:rsidRPr="003B28C0" w:rsidRDefault="000A7E12" w:rsidP="00E724E5">
    <w:pPr>
      <w:spacing w:after="0" w:line="240" w:lineRule="auto"/>
      <w:ind w:right="-709"/>
      <w:rPr>
        <w:rFonts w:asciiTheme="minorHAnsi" w:hAnsiTheme="minorHAnsi" w:cs="David"/>
        <w:sz w:val="10"/>
        <w:szCs w:val="10"/>
        <w:rtl/>
      </w:rPr>
    </w:pPr>
    <w:sdt>
      <w:sdtPr>
        <w:rPr>
          <w:rFonts w:cs="FrankRuehl"/>
          <w:sz w:val="16"/>
          <w:szCs w:val="16"/>
          <w:rtl/>
        </w:rPr>
        <w:id w:val="1112485046"/>
        <w:docPartObj>
          <w:docPartGallery w:val="Page Numbers (Top of Page)"/>
          <w:docPartUnique/>
        </w:docPartObj>
      </w:sdtPr>
      <w:sdtContent>
        <w:sdt>
          <w:sdtPr>
            <w:rPr>
              <w:rFonts w:cs="David"/>
              <w:color w:val="44546A" w:themeColor="text2"/>
              <w:rtl/>
            </w:rPr>
            <w:id w:val="250395305"/>
            <w:docPartObj>
              <w:docPartGallery w:val="Page Numbers (Top of Page)"/>
              <w:docPartUnique/>
            </w:docPartObj>
          </w:sdtPr>
          <w:sdtContent>
            <w:r w:rsidRPr="00907FC2">
              <w:rPr>
                <w:rFonts w:cs="FrankRuehl"/>
                <w:color w:val="44546A" w:themeColor="text2"/>
                <w:sz w:val="16"/>
                <w:szCs w:val="16"/>
              </w:rPr>
              <w:fldChar w:fldCharType="begin"/>
            </w:r>
            <w:r w:rsidR="0090493D" w:rsidRPr="00907FC2">
              <w:rPr>
                <w:rFonts w:cs="FrankRuehl"/>
                <w:color w:val="44546A" w:themeColor="text2"/>
                <w:sz w:val="16"/>
                <w:szCs w:val="16"/>
              </w:rPr>
              <w:instrText xml:space="preserve"> NUMPAGES  </w:instrText>
            </w:r>
            <w:r w:rsidRPr="00907FC2">
              <w:rPr>
                <w:rFonts w:cs="FrankRuehl"/>
                <w:color w:val="44546A" w:themeColor="text2"/>
                <w:sz w:val="16"/>
                <w:szCs w:val="16"/>
              </w:rPr>
              <w:fldChar w:fldCharType="separate"/>
            </w:r>
            <w:r w:rsidR="00A35E14">
              <w:rPr>
                <w:rFonts w:cs="FrankRuehl"/>
                <w:noProof/>
                <w:color w:val="44546A" w:themeColor="text2"/>
                <w:sz w:val="16"/>
                <w:szCs w:val="16"/>
                <w:rtl/>
              </w:rPr>
              <w:t>12</w:t>
            </w:r>
            <w:r w:rsidRPr="00907FC2">
              <w:rPr>
                <w:rFonts w:cs="FrankRuehl"/>
                <w:color w:val="44546A" w:themeColor="text2"/>
                <w:sz w:val="16"/>
                <w:szCs w:val="16"/>
              </w:rPr>
              <w:fldChar w:fldCharType="end"/>
            </w:r>
            <w:r w:rsidR="0090493D" w:rsidRPr="00907FC2">
              <w:rPr>
                <w:rFonts w:cs="FrankRuehl"/>
                <w:color w:val="44546A" w:themeColor="text2"/>
                <w:sz w:val="16"/>
                <w:szCs w:val="16"/>
              </w:rPr>
              <w:t>/</w:t>
            </w:r>
            <w:r w:rsidRPr="00907FC2">
              <w:rPr>
                <w:rFonts w:cs="FrankRuehl"/>
                <w:color w:val="44546A" w:themeColor="text2"/>
                <w:sz w:val="16"/>
                <w:szCs w:val="16"/>
              </w:rPr>
              <w:fldChar w:fldCharType="begin"/>
            </w:r>
            <w:r w:rsidR="0090493D" w:rsidRPr="00907FC2">
              <w:rPr>
                <w:rFonts w:cs="FrankRuehl"/>
                <w:color w:val="44546A" w:themeColor="text2"/>
                <w:sz w:val="16"/>
                <w:szCs w:val="16"/>
              </w:rPr>
              <w:instrText xml:space="preserve"> PAGE </w:instrText>
            </w:r>
            <w:r w:rsidRPr="00907FC2">
              <w:rPr>
                <w:rFonts w:cs="FrankRuehl"/>
                <w:color w:val="44546A" w:themeColor="text2"/>
                <w:sz w:val="16"/>
                <w:szCs w:val="16"/>
              </w:rPr>
              <w:fldChar w:fldCharType="separate"/>
            </w:r>
            <w:r w:rsidR="00A35E14">
              <w:rPr>
                <w:rFonts w:cs="FrankRuehl"/>
                <w:noProof/>
                <w:color w:val="44546A" w:themeColor="text2"/>
                <w:sz w:val="16"/>
                <w:szCs w:val="16"/>
                <w:rtl/>
              </w:rPr>
              <w:t>7</w:t>
            </w:r>
            <w:r w:rsidRPr="00907FC2">
              <w:rPr>
                <w:rFonts w:cs="FrankRuehl"/>
                <w:color w:val="44546A" w:themeColor="text2"/>
                <w:sz w:val="16"/>
                <w:szCs w:val="16"/>
              </w:rPr>
              <w:fldChar w:fldCharType="end"/>
            </w:r>
          </w:sdtContent>
        </w:sdt>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51DA" w:rsidRDefault="002B51DA">
      <w:pPr>
        <w:spacing w:after="0" w:line="240" w:lineRule="auto"/>
      </w:pPr>
      <w:r>
        <w:separator/>
      </w:r>
    </w:p>
  </w:footnote>
  <w:footnote w:type="continuationSeparator" w:id="1">
    <w:p w:rsidR="002B51DA" w:rsidRDefault="002B51D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93D" w:rsidRDefault="0090493D" w:rsidP="00E724E5">
    <w:pPr>
      <w:pStyle w:val="a8"/>
      <w:jc w:val="center"/>
      <w:rPr>
        <w:rFonts w:cs="David"/>
        <w:b/>
        <w:bCs/>
        <w:color w:val="44546A" w:themeColor="text2"/>
        <w:sz w:val="52"/>
        <w:szCs w:val="52"/>
        <w:rtl/>
      </w:rPr>
    </w:pPr>
    <w:r w:rsidRPr="000F286C">
      <w:rPr>
        <w:rFonts w:cs="David" w:hint="cs"/>
        <w:b/>
        <w:bCs/>
        <w:color w:val="44546A" w:themeColor="text2"/>
        <w:sz w:val="52"/>
        <w:szCs w:val="52"/>
        <w:rtl/>
      </w:rPr>
      <w:t>מדינת ישראל</w:t>
    </w:r>
  </w:p>
  <w:p w:rsidR="0090493D" w:rsidRPr="008D188E" w:rsidRDefault="0090493D" w:rsidP="00E724E5">
    <w:pPr>
      <w:pStyle w:val="a8"/>
      <w:spacing w:after="240"/>
      <w:jc w:val="center"/>
      <w:rPr>
        <w:rFonts w:cs="David"/>
        <w:b/>
        <w:bCs/>
        <w:color w:val="44546A" w:themeColor="text2"/>
        <w:sz w:val="32"/>
        <w:szCs w:val="32"/>
      </w:rPr>
    </w:pPr>
    <w:r>
      <w:rPr>
        <w:rFonts w:cs="David" w:hint="cs"/>
        <w:b/>
        <w:bCs/>
        <w:color w:val="44546A" w:themeColor="text2"/>
        <w:sz w:val="32"/>
        <w:szCs w:val="32"/>
        <w:rtl/>
      </w:rPr>
      <w:t>בתי הדין הרבניים</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DA30FB"/>
    <w:multiLevelType w:val="hybridMultilevel"/>
    <w:tmpl w:val="E3D6139A"/>
    <w:lvl w:ilvl="0" w:tplc="E398D71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A93AEA"/>
    <w:multiLevelType w:val="hybridMultilevel"/>
    <w:tmpl w:val="D32268AC"/>
    <w:lvl w:ilvl="0" w:tplc="52F037CC">
      <w:start w:val="1"/>
      <w:numFmt w:val="hebrew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2A32026"/>
    <w:multiLevelType w:val="hybridMultilevel"/>
    <w:tmpl w:val="D7C2D248"/>
    <w:lvl w:ilvl="0" w:tplc="4A52AF68">
      <w:start w:val="1"/>
      <w:numFmt w:val="hebrew1"/>
      <w:lvlText w:val="%1)"/>
      <w:lvlJc w:val="left"/>
      <w:pPr>
        <w:ind w:left="19" w:hanging="360"/>
      </w:pPr>
      <w:rPr>
        <w:rFonts w:hint="default"/>
      </w:rPr>
    </w:lvl>
    <w:lvl w:ilvl="1" w:tplc="04090019" w:tentative="1">
      <w:start w:val="1"/>
      <w:numFmt w:val="lowerLetter"/>
      <w:lvlText w:val="%2."/>
      <w:lvlJc w:val="left"/>
      <w:pPr>
        <w:ind w:left="739" w:hanging="360"/>
      </w:pPr>
    </w:lvl>
    <w:lvl w:ilvl="2" w:tplc="0409001B" w:tentative="1">
      <w:start w:val="1"/>
      <w:numFmt w:val="lowerRoman"/>
      <w:lvlText w:val="%3."/>
      <w:lvlJc w:val="right"/>
      <w:pPr>
        <w:ind w:left="1459" w:hanging="180"/>
      </w:pPr>
    </w:lvl>
    <w:lvl w:ilvl="3" w:tplc="0409000F" w:tentative="1">
      <w:start w:val="1"/>
      <w:numFmt w:val="decimal"/>
      <w:lvlText w:val="%4."/>
      <w:lvlJc w:val="left"/>
      <w:pPr>
        <w:ind w:left="2179" w:hanging="360"/>
      </w:pPr>
    </w:lvl>
    <w:lvl w:ilvl="4" w:tplc="04090019" w:tentative="1">
      <w:start w:val="1"/>
      <w:numFmt w:val="lowerLetter"/>
      <w:lvlText w:val="%5."/>
      <w:lvlJc w:val="left"/>
      <w:pPr>
        <w:ind w:left="2899" w:hanging="360"/>
      </w:pPr>
    </w:lvl>
    <w:lvl w:ilvl="5" w:tplc="0409001B" w:tentative="1">
      <w:start w:val="1"/>
      <w:numFmt w:val="lowerRoman"/>
      <w:lvlText w:val="%6."/>
      <w:lvlJc w:val="right"/>
      <w:pPr>
        <w:ind w:left="3619" w:hanging="180"/>
      </w:pPr>
    </w:lvl>
    <w:lvl w:ilvl="6" w:tplc="0409000F" w:tentative="1">
      <w:start w:val="1"/>
      <w:numFmt w:val="decimal"/>
      <w:lvlText w:val="%7."/>
      <w:lvlJc w:val="left"/>
      <w:pPr>
        <w:ind w:left="4339" w:hanging="360"/>
      </w:pPr>
    </w:lvl>
    <w:lvl w:ilvl="7" w:tplc="04090019" w:tentative="1">
      <w:start w:val="1"/>
      <w:numFmt w:val="lowerLetter"/>
      <w:lvlText w:val="%8."/>
      <w:lvlJc w:val="left"/>
      <w:pPr>
        <w:ind w:left="5059" w:hanging="360"/>
      </w:pPr>
    </w:lvl>
    <w:lvl w:ilvl="8" w:tplc="0409001B" w:tentative="1">
      <w:start w:val="1"/>
      <w:numFmt w:val="lowerRoman"/>
      <w:lvlText w:val="%9."/>
      <w:lvlJc w:val="right"/>
      <w:pPr>
        <w:ind w:left="5779" w:hanging="180"/>
      </w:pPr>
    </w:lvl>
  </w:abstractNum>
  <w:abstractNum w:abstractNumId="3">
    <w:nsid w:val="1E21103C"/>
    <w:multiLevelType w:val="hybridMultilevel"/>
    <w:tmpl w:val="A336DF42"/>
    <w:lvl w:ilvl="0" w:tplc="A9DC073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3C50D8"/>
    <w:multiLevelType w:val="multilevel"/>
    <w:tmpl w:val="CA42D256"/>
    <w:lvl w:ilvl="0">
      <w:start w:val="1"/>
      <w:numFmt w:val="hebrew1"/>
      <w:pStyle w:val="a"/>
      <w:lvlText w:val="%1."/>
      <w:lvlJc w:val="left"/>
      <w:pPr>
        <w:ind w:left="646" w:hanging="362"/>
      </w:pPr>
      <w:rPr>
        <w:rFonts w:hint="default"/>
      </w:rPr>
    </w:lvl>
    <w:lvl w:ilvl="1">
      <w:start w:val="1"/>
      <w:numFmt w:val="decimal"/>
      <w:lvlText w:val="(%2)"/>
      <w:lvlJc w:val="left"/>
      <w:pPr>
        <w:ind w:left="930" w:hanging="362"/>
      </w:pPr>
      <w:rPr>
        <w:rFonts w:cs="FrankRuehl" w:hint="cs"/>
        <w:szCs w:val="26"/>
      </w:rPr>
    </w:lvl>
    <w:lvl w:ilvl="2">
      <w:start w:val="1"/>
      <w:numFmt w:val="hebrew1"/>
      <w:lvlText w:val="(%3)"/>
      <w:lvlJc w:val="left"/>
      <w:pPr>
        <w:ind w:left="1214" w:hanging="362"/>
      </w:pPr>
      <w:rPr>
        <w:rFonts w:hint="default"/>
      </w:rPr>
    </w:lvl>
    <w:lvl w:ilvl="3">
      <w:start w:val="1"/>
      <w:numFmt w:val="decimal"/>
      <w:lvlText w:val="%4."/>
      <w:lvlJc w:val="left"/>
      <w:pPr>
        <w:ind w:left="1498" w:hanging="362"/>
      </w:pPr>
      <w:rPr>
        <w:rFonts w:hint="default"/>
      </w:rPr>
    </w:lvl>
    <w:lvl w:ilvl="4">
      <w:start w:val="1"/>
      <w:numFmt w:val="lowerLetter"/>
      <w:lvlText w:val="%5."/>
      <w:lvlJc w:val="left"/>
      <w:pPr>
        <w:ind w:left="1782" w:hanging="362"/>
      </w:pPr>
      <w:rPr>
        <w:rFonts w:hint="default"/>
      </w:rPr>
    </w:lvl>
    <w:lvl w:ilvl="5">
      <w:start w:val="1"/>
      <w:numFmt w:val="lowerRoman"/>
      <w:lvlText w:val="%6."/>
      <w:lvlJc w:val="right"/>
      <w:pPr>
        <w:ind w:left="2066" w:hanging="362"/>
      </w:pPr>
      <w:rPr>
        <w:rFonts w:hint="default"/>
      </w:rPr>
    </w:lvl>
    <w:lvl w:ilvl="6">
      <w:start w:val="1"/>
      <w:numFmt w:val="decimal"/>
      <w:lvlText w:val="%7."/>
      <w:lvlJc w:val="left"/>
      <w:pPr>
        <w:ind w:left="2350" w:hanging="362"/>
      </w:pPr>
      <w:rPr>
        <w:rFonts w:hint="default"/>
      </w:rPr>
    </w:lvl>
    <w:lvl w:ilvl="7">
      <w:start w:val="1"/>
      <w:numFmt w:val="lowerLetter"/>
      <w:lvlText w:val="%8."/>
      <w:lvlJc w:val="left"/>
      <w:pPr>
        <w:ind w:left="2634" w:hanging="362"/>
      </w:pPr>
      <w:rPr>
        <w:rFonts w:hint="default"/>
      </w:rPr>
    </w:lvl>
    <w:lvl w:ilvl="8">
      <w:start w:val="1"/>
      <w:numFmt w:val="lowerRoman"/>
      <w:lvlText w:val="%9."/>
      <w:lvlJc w:val="right"/>
      <w:pPr>
        <w:ind w:left="2918" w:hanging="362"/>
      </w:pPr>
      <w:rPr>
        <w:rFonts w:hint="default"/>
      </w:rPr>
    </w:lvl>
  </w:abstractNum>
  <w:abstractNum w:abstractNumId="5">
    <w:nsid w:val="2AD0193B"/>
    <w:multiLevelType w:val="hybridMultilevel"/>
    <w:tmpl w:val="926232AA"/>
    <w:lvl w:ilvl="0" w:tplc="2DC4434E">
      <w:start w:val="1"/>
      <w:numFmt w:val="hebrew1"/>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nsid w:val="30667B78"/>
    <w:multiLevelType w:val="hybridMultilevel"/>
    <w:tmpl w:val="D0B686A4"/>
    <w:lvl w:ilvl="0" w:tplc="1354BBAC">
      <w:start w:val="1"/>
      <w:numFmt w:val="decimal"/>
      <w:lvlText w:val="%1."/>
      <w:lvlJc w:val="left"/>
      <w:pPr>
        <w:tabs>
          <w:tab w:val="num" w:pos="720"/>
        </w:tabs>
        <w:ind w:left="720" w:right="720" w:hanging="360"/>
      </w:pPr>
    </w:lvl>
    <w:lvl w:ilvl="1" w:tplc="3E94FCA2" w:tentative="1">
      <w:start w:val="1"/>
      <w:numFmt w:val="lowerLetter"/>
      <w:lvlText w:val="%2."/>
      <w:lvlJc w:val="left"/>
      <w:pPr>
        <w:tabs>
          <w:tab w:val="num" w:pos="1440"/>
        </w:tabs>
        <w:ind w:left="1440" w:right="1440" w:hanging="360"/>
      </w:pPr>
    </w:lvl>
    <w:lvl w:ilvl="2" w:tplc="8132CFF2" w:tentative="1">
      <w:start w:val="1"/>
      <w:numFmt w:val="lowerRoman"/>
      <w:lvlText w:val="%3."/>
      <w:lvlJc w:val="right"/>
      <w:pPr>
        <w:tabs>
          <w:tab w:val="num" w:pos="2160"/>
        </w:tabs>
        <w:ind w:left="2160" w:right="2160" w:hanging="180"/>
      </w:pPr>
    </w:lvl>
    <w:lvl w:ilvl="3" w:tplc="35DED86C" w:tentative="1">
      <w:start w:val="1"/>
      <w:numFmt w:val="decimal"/>
      <w:lvlText w:val="%4."/>
      <w:lvlJc w:val="left"/>
      <w:pPr>
        <w:tabs>
          <w:tab w:val="num" w:pos="2880"/>
        </w:tabs>
        <w:ind w:left="2880" w:right="2880" w:hanging="360"/>
      </w:pPr>
    </w:lvl>
    <w:lvl w:ilvl="4" w:tplc="69F0B5CA" w:tentative="1">
      <w:start w:val="1"/>
      <w:numFmt w:val="lowerLetter"/>
      <w:lvlText w:val="%5."/>
      <w:lvlJc w:val="left"/>
      <w:pPr>
        <w:tabs>
          <w:tab w:val="num" w:pos="3600"/>
        </w:tabs>
        <w:ind w:left="3600" w:right="3600" w:hanging="360"/>
      </w:pPr>
    </w:lvl>
    <w:lvl w:ilvl="5" w:tplc="B0760CC8" w:tentative="1">
      <w:start w:val="1"/>
      <w:numFmt w:val="lowerRoman"/>
      <w:lvlText w:val="%6."/>
      <w:lvlJc w:val="right"/>
      <w:pPr>
        <w:tabs>
          <w:tab w:val="num" w:pos="4320"/>
        </w:tabs>
        <w:ind w:left="4320" w:right="4320" w:hanging="180"/>
      </w:pPr>
    </w:lvl>
    <w:lvl w:ilvl="6" w:tplc="B764EE7E" w:tentative="1">
      <w:start w:val="1"/>
      <w:numFmt w:val="decimal"/>
      <w:lvlText w:val="%7."/>
      <w:lvlJc w:val="left"/>
      <w:pPr>
        <w:tabs>
          <w:tab w:val="num" w:pos="5040"/>
        </w:tabs>
        <w:ind w:left="5040" w:right="5040" w:hanging="360"/>
      </w:pPr>
    </w:lvl>
    <w:lvl w:ilvl="7" w:tplc="20A007AA" w:tentative="1">
      <w:start w:val="1"/>
      <w:numFmt w:val="lowerLetter"/>
      <w:lvlText w:val="%8."/>
      <w:lvlJc w:val="left"/>
      <w:pPr>
        <w:tabs>
          <w:tab w:val="num" w:pos="5760"/>
        </w:tabs>
        <w:ind w:left="5760" w:right="5760" w:hanging="360"/>
      </w:pPr>
    </w:lvl>
    <w:lvl w:ilvl="8" w:tplc="592ED114" w:tentative="1">
      <w:start w:val="1"/>
      <w:numFmt w:val="lowerRoman"/>
      <w:lvlText w:val="%9."/>
      <w:lvlJc w:val="right"/>
      <w:pPr>
        <w:tabs>
          <w:tab w:val="num" w:pos="6480"/>
        </w:tabs>
        <w:ind w:left="6480" w:right="6480" w:hanging="180"/>
      </w:pPr>
    </w:lvl>
  </w:abstractNum>
  <w:abstractNum w:abstractNumId="7">
    <w:nsid w:val="31831E55"/>
    <w:multiLevelType w:val="hybridMultilevel"/>
    <w:tmpl w:val="5E601672"/>
    <w:lvl w:ilvl="0" w:tplc="04090013">
      <w:start w:val="1"/>
      <w:numFmt w:val="hebrew1"/>
      <w:lvlText w:val="%1."/>
      <w:lvlJc w:val="center"/>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35AA7FC2"/>
    <w:multiLevelType w:val="hybridMultilevel"/>
    <w:tmpl w:val="955437EE"/>
    <w:lvl w:ilvl="0" w:tplc="6F58EB26">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6BF0DB3"/>
    <w:multiLevelType w:val="multilevel"/>
    <w:tmpl w:val="0E66DBD2"/>
    <w:lvl w:ilvl="0">
      <w:start w:val="1"/>
      <w:numFmt w:val="decimal"/>
      <w:pStyle w:val="11"/>
      <w:lvlText w:val="%1."/>
      <w:lvlJc w:val="left"/>
      <w:pPr>
        <w:tabs>
          <w:tab w:val="num" w:pos="720"/>
        </w:tabs>
        <w:ind w:left="720" w:hanging="720"/>
      </w:pPr>
    </w:lvl>
    <w:lvl w:ilvl="1">
      <w:start w:val="1"/>
      <w:numFmt w:val="hebrew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hebrew1"/>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479B3DC4"/>
    <w:multiLevelType w:val="hybridMultilevel"/>
    <w:tmpl w:val="65CCD2AC"/>
    <w:lvl w:ilvl="0" w:tplc="1F70703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9AC0060"/>
    <w:multiLevelType w:val="hybridMultilevel"/>
    <w:tmpl w:val="3EFCCD0A"/>
    <w:lvl w:ilvl="0" w:tplc="A5F07B36">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C633DD8"/>
    <w:multiLevelType w:val="hybridMultilevel"/>
    <w:tmpl w:val="E7C04B46"/>
    <w:lvl w:ilvl="0" w:tplc="83A0F08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06D03AE"/>
    <w:multiLevelType w:val="hybridMultilevel"/>
    <w:tmpl w:val="9C864CDA"/>
    <w:lvl w:ilvl="0" w:tplc="3EF49242">
      <w:start w:val="1"/>
      <w:numFmt w:val="decimal"/>
      <w:lvlText w:val="%1."/>
      <w:lvlJc w:val="left"/>
      <w:pPr>
        <w:ind w:left="20" w:hanging="360"/>
      </w:pPr>
    </w:lvl>
    <w:lvl w:ilvl="1" w:tplc="04090019">
      <w:start w:val="1"/>
      <w:numFmt w:val="lowerLetter"/>
      <w:lvlText w:val="%2."/>
      <w:lvlJc w:val="left"/>
      <w:pPr>
        <w:ind w:left="740" w:hanging="360"/>
      </w:pPr>
    </w:lvl>
    <w:lvl w:ilvl="2" w:tplc="0409001B">
      <w:start w:val="1"/>
      <w:numFmt w:val="lowerRoman"/>
      <w:lvlText w:val="%3."/>
      <w:lvlJc w:val="right"/>
      <w:pPr>
        <w:ind w:left="1460" w:hanging="180"/>
      </w:pPr>
    </w:lvl>
    <w:lvl w:ilvl="3" w:tplc="0409000F">
      <w:start w:val="1"/>
      <w:numFmt w:val="decimal"/>
      <w:lvlText w:val="%4."/>
      <w:lvlJc w:val="left"/>
      <w:pPr>
        <w:ind w:left="2180" w:hanging="360"/>
      </w:pPr>
    </w:lvl>
    <w:lvl w:ilvl="4" w:tplc="04090019">
      <w:start w:val="1"/>
      <w:numFmt w:val="lowerLetter"/>
      <w:lvlText w:val="%5."/>
      <w:lvlJc w:val="left"/>
      <w:pPr>
        <w:ind w:left="2900" w:hanging="360"/>
      </w:pPr>
    </w:lvl>
    <w:lvl w:ilvl="5" w:tplc="0409001B">
      <w:start w:val="1"/>
      <w:numFmt w:val="lowerRoman"/>
      <w:lvlText w:val="%6."/>
      <w:lvlJc w:val="right"/>
      <w:pPr>
        <w:ind w:left="3620" w:hanging="180"/>
      </w:pPr>
    </w:lvl>
    <w:lvl w:ilvl="6" w:tplc="0409000F">
      <w:start w:val="1"/>
      <w:numFmt w:val="decimal"/>
      <w:lvlText w:val="%7."/>
      <w:lvlJc w:val="left"/>
      <w:pPr>
        <w:ind w:left="4340" w:hanging="360"/>
      </w:pPr>
    </w:lvl>
    <w:lvl w:ilvl="7" w:tplc="04090019">
      <w:start w:val="1"/>
      <w:numFmt w:val="lowerLetter"/>
      <w:lvlText w:val="%8."/>
      <w:lvlJc w:val="left"/>
      <w:pPr>
        <w:ind w:left="5060" w:hanging="360"/>
      </w:pPr>
    </w:lvl>
    <w:lvl w:ilvl="8" w:tplc="0409001B">
      <w:start w:val="1"/>
      <w:numFmt w:val="lowerRoman"/>
      <w:lvlText w:val="%9."/>
      <w:lvlJc w:val="right"/>
      <w:pPr>
        <w:ind w:left="5780" w:hanging="180"/>
      </w:pPr>
    </w:lvl>
  </w:abstractNum>
  <w:abstractNum w:abstractNumId="14">
    <w:nsid w:val="61247732"/>
    <w:multiLevelType w:val="multilevel"/>
    <w:tmpl w:val="C024A742"/>
    <w:lvl w:ilvl="0">
      <w:start w:val="1"/>
      <w:numFmt w:val="hebrew1"/>
      <w:pStyle w:val="1"/>
      <w:lvlText w:val="%1."/>
      <w:lvlJc w:val="left"/>
      <w:pPr>
        <w:tabs>
          <w:tab w:val="num" w:pos="397"/>
        </w:tabs>
        <w:ind w:left="397" w:hanging="397"/>
      </w:pPr>
      <w:rPr>
        <w:rFonts w:hint="default"/>
      </w:rPr>
    </w:lvl>
    <w:lvl w:ilvl="1">
      <w:start w:val="1"/>
      <w:numFmt w:val="decimal"/>
      <w:lvlText w:val="(%2)"/>
      <w:lvlJc w:val="left"/>
      <w:pPr>
        <w:tabs>
          <w:tab w:val="num" w:pos="794"/>
        </w:tabs>
        <w:ind w:left="794" w:hanging="397"/>
      </w:pPr>
      <w:rPr>
        <w:rFonts w:hint="default"/>
      </w:rPr>
    </w:lvl>
    <w:lvl w:ilvl="2">
      <w:start w:val="1"/>
      <w:numFmt w:val="hebrew1"/>
      <w:lvlText w:val="(%3)"/>
      <w:lvlJc w:val="left"/>
      <w:pPr>
        <w:tabs>
          <w:tab w:val="num" w:pos="1361"/>
        </w:tabs>
        <w:ind w:left="1191" w:hanging="397"/>
      </w:pPr>
      <w:rPr>
        <w:rFonts w:hint="default"/>
      </w:rPr>
    </w:lvl>
    <w:lvl w:ilvl="3">
      <w:start w:val="1"/>
      <w:numFmt w:val="decimal"/>
      <w:lvlText w:val="(%4)"/>
      <w:lvlJc w:val="left"/>
      <w:pPr>
        <w:tabs>
          <w:tab w:val="num" w:pos="1758"/>
        </w:tabs>
        <w:ind w:left="1588" w:hanging="397"/>
      </w:pPr>
      <w:rPr>
        <w:rFonts w:hint="default"/>
      </w:rPr>
    </w:lvl>
    <w:lvl w:ilvl="4">
      <w:start w:val="1"/>
      <w:numFmt w:val="decimal"/>
      <w:lvlText w:val="(%3)%4.%5."/>
      <w:lvlJc w:val="left"/>
      <w:pPr>
        <w:tabs>
          <w:tab w:val="num" w:pos="1928"/>
        </w:tabs>
        <w:ind w:left="1985" w:hanging="397"/>
      </w:pPr>
      <w:rPr>
        <w:rFonts w:hint="default"/>
      </w:rPr>
    </w:lvl>
    <w:lvl w:ilvl="5">
      <w:start w:val="1"/>
      <w:numFmt w:val="decimal"/>
      <w:lvlText w:val="(%3)%4.%5.%6."/>
      <w:lvlJc w:val="left"/>
      <w:pPr>
        <w:tabs>
          <w:tab w:val="num" w:pos="2325"/>
        </w:tabs>
        <w:ind w:left="2382" w:hanging="397"/>
      </w:pPr>
      <w:rPr>
        <w:rFonts w:hint="default"/>
      </w:rPr>
    </w:lvl>
    <w:lvl w:ilvl="6">
      <w:start w:val="1"/>
      <w:numFmt w:val="decimal"/>
      <w:lvlText w:val="(%3)%4.%5.%6.%7."/>
      <w:lvlJc w:val="left"/>
      <w:pPr>
        <w:tabs>
          <w:tab w:val="num" w:pos="2722"/>
        </w:tabs>
        <w:ind w:left="2779" w:hanging="397"/>
      </w:pPr>
      <w:rPr>
        <w:rFonts w:hint="default"/>
      </w:rPr>
    </w:lvl>
    <w:lvl w:ilvl="7">
      <w:start w:val="1"/>
      <w:numFmt w:val="decimal"/>
      <w:lvlText w:val="(%3)%4.%5.%6.%7.%8."/>
      <w:lvlJc w:val="left"/>
      <w:pPr>
        <w:tabs>
          <w:tab w:val="num" w:pos="3119"/>
        </w:tabs>
        <w:ind w:left="3176" w:hanging="397"/>
      </w:pPr>
      <w:rPr>
        <w:rFonts w:hint="default"/>
      </w:rPr>
    </w:lvl>
    <w:lvl w:ilvl="8">
      <w:start w:val="1"/>
      <w:numFmt w:val="decimal"/>
      <w:lvlText w:val="(%3)%4.%5.%6.%7.%8.%9."/>
      <w:lvlJc w:val="left"/>
      <w:pPr>
        <w:tabs>
          <w:tab w:val="num" w:pos="3516"/>
        </w:tabs>
        <w:ind w:left="3573" w:hanging="397"/>
      </w:pPr>
      <w:rPr>
        <w:rFonts w:hint="default"/>
      </w:rPr>
    </w:lvl>
  </w:abstractNum>
  <w:abstractNum w:abstractNumId="15">
    <w:nsid w:val="664D5B8B"/>
    <w:multiLevelType w:val="hybridMultilevel"/>
    <w:tmpl w:val="FB78DD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7E510DF"/>
    <w:multiLevelType w:val="multilevel"/>
    <w:tmpl w:val="B29E0AE8"/>
    <w:lvl w:ilvl="0">
      <w:start w:val="1"/>
      <w:numFmt w:val="hebrew1"/>
      <w:pStyle w:val="a0"/>
      <w:lvlText w:val="%1."/>
      <w:lvlJc w:val="left"/>
      <w:pPr>
        <w:tabs>
          <w:tab w:val="num" w:pos="360"/>
        </w:tabs>
        <w:ind w:left="360" w:hanging="360"/>
      </w:pPr>
      <w:rPr>
        <w:rFonts w:cs="Narkisim" w:hint="cs"/>
        <w:bCs/>
        <w:iCs w:val="0"/>
        <w:szCs w:val="24"/>
      </w:rPr>
    </w:lvl>
    <w:lvl w:ilvl="1">
      <w:start w:val="1"/>
      <w:numFmt w:val="hebrew1"/>
      <w:pStyle w:val="a1"/>
      <w:lvlText w:val="%2."/>
      <w:lvlJc w:val="left"/>
      <w:pPr>
        <w:tabs>
          <w:tab w:val="num" w:pos="794"/>
        </w:tabs>
        <w:ind w:left="397" w:hanging="397"/>
      </w:pPr>
      <w:rPr>
        <w:rFonts w:cs="Narkisim" w:hint="cs"/>
        <w:bCs/>
        <w:iCs w:val="0"/>
        <w:szCs w:val="24"/>
      </w:rPr>
    </w:lvl>
    <w:lvl w:ilvl="2">
      <w:start w:val="1"/>
      <w:numFmt w:val="decimal"/>
      <w:pStyle w:val="10"/>
      <w:lvlText w:val="(%3)"/>
      <w:lvlJc w:val="left"/>
      <w:pPr>
        <w:tabs>
          <w:tab w:val="num" w:pos="397"/>
        </w:tabs>
        <w:ind w:left="0" w:firstLine="0"/>
      </w:pPr>
      <w:rPr>
        <w:rFonts w:cs="Narkisim" w:hint="cs"/>
        <w:bCs/>
        <w:i/>
        <w:iCs w:val="0"/>
        <w:szCs w:val="22"/>
      </w:rPr>
    </w:lvl>
    <w:lvl w:ilvl="3">
      <w:start w:val="1"/>
      <w:numFmt w:val="hebrew1"/>
      <w:pStyle w:val="a2"/>
      <w:lvlText w:val="(%4)"/>
      <w:lvlJc w:val="left"/>
      <w:pPr>
        <w:tabs>
          <w:tab w:val="num" w:pos="397"/>
        </w:tabs>
        <w:ind w:left="0" w:firstLine="0"/>
      </w:pPr>
      <w:rPr>
        <w:rFonts w:hint="default"/>
        <w:bCs w:val="0"/>
        <w:iCs w:val="0"/>
        <w:szCs w:val="22"/>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69B6346A"/>
    <w:multiLevelType w:val="hybridMultilevel"/>
    <w:tmpl w:val="7C70491A"/>
    <w:lvl w:ilvl="0" w:tplc="FA7E540A">
      <w:start w:val="1"/>
      <w:numFmt w:val="hebrew1"/>
      <w:lvlText w:val="%1)"/>
      <w:lvlJc w:val="left"/>
      <w:pPr>
        <w:ind w:left="309" w:hanging="360"/>
      </w:pPr>
    </w:lvl>
    <w:lvl w:ilvl="1" w:tplc="04090019">
      <w:start w:val="1"/>
      <w:numFmt w:val="lowerLetter"/>
      <w:lvlText w:val="%2."/>
      <w:lvlJc w:val="left"/>
      <w:pPr>
        <w:ind w:left="1029" w:hanging="360"/>
      </w:pPr>
    </w:lvl>
    <w:lvl w:ilvl="2" w:tplc="0409001B">
      <w:start w:val="1"/>
      <w:numFmt w:val="lowerRoman"/>
      <w:lvlText w:val="%3."/>
      <w:lvlJc w:val="right"/>
      <w:pPr>
        <w:ind w:left="1749" w:hanging="180"/>
      </w:pPr>
    </w:lvl>
    <w:lvl w:ilvl="3" w:tplc="0409000F">
      <w:start w:val="1"/>
      <w:numFmt w:val="decimal"/>
      <w:lvlText w:val="%4."/>
      <w:lvlJc w:val="left"/>
      <w:pPr>
        <w:ind w:left="2469" w:hanging="360"/>
      </w:pPr>
    </w:lvl>
    <w:lvl w:ilvl="4" w:tplc="04090019">
      <w:start w:val="1"/>
      <w:numFmt w:val="lowerLetter"/>
      <w:lvlText w:val="%5."/>
      <w:lvlJc w:val="left"/>
      <w:pPr>
        <w:ind w:left="3189" w:hanging="360"/>
      </w:pPr>
    </w:lvl>
    <w:lvl w:ilvl="5" w:tplc="0409001B">
      <w:start w:val="1"/>
      <w:numFmt w:val="lowerRoman"/>
      <w:lvlText w:val="%6."/>
      <w:lvlJc w:val="right"/>
      <w:pPr>
        <w:ind w:left="3909" w:hanging="180"/>
      </w:pPr>
    </w:lvl>
    <w:lvl w:ilvl="6" w:tplc="0409000F">
      <w:start w:val="1"/>
      <w:numFmt w:val="decimal"/>
      <w:lvlText w:val="%7."/>
      <w:lvlJc w:val="left"/>
      <w:pPr>
        <w:ind w:left="4629" w:hanging="360"/>
      </w:pPr>
    </w:lvl>
    <w:lvl w:ilvl="7" w:tplc="04090019">
      <w:start w:val="1"/>
      <w:numFmt w:val="lowerLetter"/>
      <w:lvlText w:val="%8."/>
      <w:lvlJc w:val="left"/>
      <w:pPr>
        <w:ind w:left="5349" w:hanging="360"/>
      </w:pPr>
    </w:lvl>
    <w:lvl w:ilvl="8" w:tplc="0409001B">
      <w:start w:val="1"/>
      <w:numFmt w:val="lowerRoman"/>
      <w:lvlText w:val="%9."/>
      <w:lvlJc w:val="right"/>
      <w:pPr>
        <w:ind w:left="6069" w:hanging="180"/>
      </w:pPr>
    </w:lvl>
  </w:abstractNum>
  <w:abstractNum w:abstractNumId="18">
    <w:nsid w:val="6BD358BF"/>
    <w:multiLevelType w:val="hybridMultilevel"/>
    <w:tmpl w:val="B4AEF068"/>
    <w:lvl w:ilvl="0" w:tplc="04090003">
      <w:start w:val="1"/>
      <w:numFmt w:val="bullet"/>
      <w:lvlText w:val="o"/>
      <w:lvlJc w:val="left"/>
      <w:pPr>
        <w:ind w:left="379" w:hanging="360"/>
      </w:pPr>
      <w:rPr>
        <w:rFonts w:ascii="Courier New" w:hAnsi="Courier New" w:cs="Courier New" w:hint="default"/>
      </w:rPr>
    </w:lvl>
    <w:lvl w:ilvl="1" w:tplc="04090003" w:tentative="1">
      <w:start w:val="1"/>
      <w:numFmt w:val="bullet"/>
      <w:lvlText w:val="o"/>
      <w:lvlJc w:val="left"/>
      <w:pPr>
        <w:ind w:left="1099" w:hanging="360"/>
      </w:pPr>
      <w:rPr>
        <w:rFonts w:ascii="Courier New" w:hAnsi="Courier New" w:cs="Courier New" w:hint="default"/>
      </w:rPr>
    </w:lvl>
    <w:lvl w:ilvl="2" w:tplc="04090005" w:tentative="1">
      <w:start w:val="1"/>
      <w:numFmt w:val="bullet"/>
      <w:lvlText w:val=""/>
      <w:lvlJc w:val="left"/>
      <w:pPr>
        <w:ind w:left="1819" w:hanging="360"/>
      </w:pPr>
      <w:rPr>
        <w:rFonts w:ascii="Wingdings" w:hAnsi="Wingdings" w:hint="default"/>
      </w:rPr>
    </w:lvl>
    <w:lvl w:ilvl="3" w:tplc="04090001" w:tentative="1">
      <w:start w:val="1"/>
      <w:numFmt w:val="bullet"/>
      <w:lvlText w:val=""/>
      <w:lvlJc w:val="left"/>
      <w:pPr>
        <w:ind w:left="2539" w:hanging="360"/>
      </w:pPr>
      <w:rPr>
        <w:rFonts w:ascii="Symbol" w:hAnsi="Symbol" w:hint="default"/>
      </w:rPr>
    </w:lvl>
    <w:lvl w:ilvl="4" w:tplc="04090003" w:tentative="1">
      <w:start w:val="1"/>
      <w:numFmt w:val="bullet"/>
      <w:lvlText w:val="o"/>
      <w:lvlJc w:val="left"/>
      <w:pPr>
        <w:ind w:left="3259" w:hanging="360"/>
      </w:pPr>
      <w:rPr>
        <w:rFonts w:ascii="Courier New" w:hAnsi="Courier New" w:cs="Courier New" w:hint="default"/>
      </w:rPr>
    </w:lvl>
    <w:lvl w:ilvl="5" w:tplc="04090005" w:tentative="1">
      <w:start w:val="1"/>
      <w:numFmt w:val="bullet"/>
      <w:lvlText w:val=""/>
      <w:lvlJc w:val="left"/>
      <w:pPr>
        <w:ind w:left="3979" w:hanging="360"/>
      </w:pPr>
      <w:rPr>
        <w:rFonts w:ascii="Wingdings" w:hAnsi="Wingdings" w:hint="default"/>
      </w:rPr>
    </w:lvl>
    <w:lvl w:ilvl="6" w:tplc="04090001" w:tentative="1">
      <w:start w:val="1"/>
      <w:numFmt w:val="bullet"/>
      <w:lvlText w:val=""/>
      <w:lvlJc w:val="left"/>
      <w:pPr>
        <w:ind w:left="4699" w:hanging="360"/>
      </w:pPr>
      <w:rPr>
        <w:rFonts w:ascii="Symbol" w:hAnsi="Symbol" w:hint="default"/>
      </w:rPr>
    </w:lvl>
    <w:lvl w:ilvl="7" w:tplc="04090003" w:tentative="1">
      <w:start w:val="1"/>
      <w:numFmt w:val="bullet"/>
      <w:lvlText w:val="o"/>
      <w:lvlJc w:val="left"/>
      <w:pPr>
        <w:ind w:left="5419" w:hanging="360"/>
      </w:pPr>
      <w:rPr>
        <w:rFonts w:ascii="Courier New" w:hAnsi="Courier New" w:cs="Courier New" w:hint="default"/>
      </w:rPr>
    </w:lvl>
    <w:lvl w:ilvl="8" w:tplc="04090005" w:tentative="1">
      <w:start w:val="1"/>
      <w:numFmt w:val="bullet"/>
      <w:lvlText w:val=""/>
      <w:lvlJc w:val="left"/>
      <w:pPr>
        <w:ind w:left="6139" w:hanging="360"/>
      </w:pPr>
      <w:rPr>
        <w:rFonts w:ascii="Wingdings" w:hAnsi="Wingdings" w:hint="default"/>
      </w:rPr>
    </w:lvl>
  </w:abstractNum>
  <w:abstractNum w:abstractNumId="19">
    <w:nsid w:val="6CB11A54"/>
    <w:multiLevelType w:val="hybridMultilevel"/>
    <w:tmpl w:val="F88EE728"/>
    <w:lvl w:ilvl="0" w:tplc="A72E027E">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7B302D42"/>
    <w:multiLevelType w:val="hybridMultilevel"/>
    <w:tmpl w:val="AF840FF4"/>
    <w:lvl w:ilvl="0" w:tplc="67F0BD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3"/>
  </w:num>
  <w:num w:numId="2">
    <w:abstractNumId w:val="10"/>
  </w:num>
  <w:num w:numId="3">
    <w:abstractNumId w:val="8"/>
  </w:num>
  <w:num w:numId="4">
    <w:abstractNumId w:val="12"/>
  </w:num>
  <w:num w:numId="5">
    <w:abstractNumId w:val="0"/>
  </w:num>
  <w:num w:numId="6">
    <w:abstractNumId w:val="14"/>
  </w:num>
  <w:num w:numId="7">
    <w:abstractNumId w:val="16"/>
  </w:num>
  <w:num w:numId="8">
    <w:abstractNumId w:val="9"/>
    <w:lvlOverride w:ilvl="0">
      <w:lvl w:ilvl="0">
        <w:start w:val="1"/>
        <w:numFmt w:val="decimal"/>
        <w:pStyle w:val="11"/>
        <w:lvlText w:val="%1."/>
        <w:lvlJc w:val="left"/>
        <w:pPr>
          <w:tabs>
            <w:tab w:val="num" w:pos="397"/>
          </w:tabs>
          <w:ind w:left="397" w:hanging="397"/>
        </w:pPr>
        <w:rPr>
          <w:rFonts w:hint="default"/>
        </w:rPr>
      </w:lvl>
    </w:lvlOverride>
    <w:lvlOverride w:ilvl="1">
      <w:lvl w:ilvl="1">
        <w:start w:val="1"/>
        <w:numFmt w:val="hebrew1"/>
        <w:lvlText w:val="(%2)"/>
        <w:lvlJc w:val="left"/>
        <w:pPr>
          <w:tabs>
            <w:tab w:val="num" w:pos="964"/>
          </w:tabs>
          <w:ind w:left="794" w:hanging="397"/>
        </w:pPr>
        <w:rPr>
          <w:rFonts w:hint="default"/>
        </w:rPr>
      </w:lvl>
    </w:lvlOverride>
    <w:lvlOverride w:ilvl="2">
      <w:lvl w:ilvl="2">
        <w:start w:val="1"/>
        <w:numFmt w:val="decimal"/>
        <w:lvlText w:val="(%3)"/>
        <w:lvlJc w:val="left"/>
        <w:pPr>
          <w:tabs>
            <w:tab w:val="num" w:pos="1361"/>
          </w:tabs>
          <w:ind w:left="1191" w:hanging="397"/>
        </w:pPr>
        <w:rPr>
          <w:rFonts w:hint="default"/>
        </w:rPr>
      </w:lvl>
    </w:lvlOverride>
    <w:lvlOverride w:ilvl="3">
      <w:lvl w:ilvl="3">
        <w:start w:val="1"/>
        <w:numFmt w:val="hebrew1"/>
        <w:lvlText w:val="(%4)"/>
        <w:lvlJc w:val="left"/>
        <w:pPr>
          <w:tabs>
            <w:tab w:val="num" w:pos="1758"/>
          </w:tabs>
          <w:ind w:left="1588" w:hanging="397"/>
        </w:pPr>
        <w:rPr>
          <w:rFonts w:hint="default"/>
        </w:rPr>
      </w:lvl>
    </w:lvlOverride>
    <w:lvlOverride w:ilvl="4">
      <w:lvl w:ilvl="4">
        <w:start w:val="1"/>
        <w:numFmt w:val="decimal"/>
        <w:lvlText w:val="%5."/>
        <w:lvlJc w:val="left"/>
        <w:pPr>
          <w:tabs>
            <w:tab w:val="num" w:pos="2155"/>
          </w:tabs>
          <w:ind w:left="1985" w:hanging="397"/>
        </w:pPr>
        <w:rPr>
          <w:rFonts w:hint="default"/>
        </w:rPr>
      </w:lvl>
    </w:lvlOverride>
    <w:lvlOverride w:ilvl="5">
      <w:lvl w:ilvl="5">
        <w:start w:val="1"/>
        <w:numFmt w:val="decimal"/>
        <w:lvlText w:val="%6."/>
        <w:lvlJc w:val="left"/>
        <w:pPr>
          <w:tabs>
            <w:tab w:val="num" w:pos="2552"/>
          </w:tabs>
          <w:ind w:left="2382" w:hanging="397"/>
        </w:pPr>
        <w:rPr>
          <w:rFonts w:hint="default"/>
        </w:rPr>
      </w:lvl>
    </w:lvlOverride>
    <w:lvlOverride w:ilvl="6">
      <w:lvl w:ilvl="6">
        <w:start w:val="1"/>
        <w:numFmt w:val="decimal"/>
        <w:lvlText w:val="%7."/>
        <w:lvlJc w:val="left"/>
        <w:pPr>
          <w:tabs>
            <w:tab w:val="num" w:pos="2949"/>
          </w:tabs>
          <w:ind w:left="2779" w:hanging="397"/>
        </w:pPr>
        <w:rPr>
          <w:rFonts w:hint="default"/>
        </w:rPr>
      </w:lvl>
    </w:lvlOverride>
    <w:lvlOverride w:ilvl="7">
      <w:lvl w:ilvl="7">
        <w:start w:val="1"/>
        <w:numFmt w:val="decimal"/>
        <w:lvlText w:val="%8."/>
        <w:lvlJc w:val="left"/>
        <w:pPr>
          <w:tabs>
            <w:tab w:val="num" w:pos="3346"/>
          </w:tabs>
          <w:ind w:left="3176" w:hanging="397"/>
        </w:pPr>
        <w:rPr>
          <w:rFonts w:hint="default"/>
        </w:rPr>
      </w:lvl>
    </w:lvlOverride>
    <w:lvlOverride w:ilvl="8">
      <w:lvl w:ilvl="8">
        <w:start w:val="1"/>
        <w:numFmt w:val="decimal"/>
        <w:lvlText w:val="%9."/>
        <w:lvlJc w:val="left"/>
        <w:pPr>
          <w:tabs>
            <w:tab w:val="num" w:pos="3743"/>
          </w:tabs>
          <w:ind w:left="3573" w:hanging="397"/>
        </w:pPr>
        <w:rPr>
          <w:rFonts w:hint="default"/>
        </w:rPr>
      </w:lvl>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lvl w:ilvl="0">
        <w:start w:val="1"/>
        <w:numFmt w:val="decimal"/>
        <w:pStyle w:val="11"/>
        <w:lvlText w:val="%1."/>
        <w:lvlJc w:val="left"/>
        <w:pPr>
          <w:tabs>
            <w:tab w:val="num" w:pos="567"/>
          </w:tabs>
          <w:ind w:left="567" w:hanging="567"/>
        </w:pPr>
      </w:lvl>
    </w:lvlOverride>
    <w:lvlOverride w:ilvl="1">
      <w:lvl w:ilvl="1">
        <w:start w:val="1"/>
        <w:numFmt w:val="hebrew1"/>
        <w:lvlText w:val="(%2)"/>
        <w:lvlJc w:val="left"/>
        <w:pPr>
          <w:tabs>
            <w:tab w:val="num" w:pos="1134"/>
          </w:tabs>
          <w:ind w:left="1134" w:hanging="567"/>
        </w:pPr>
      </w:lvl>
    </w:lvlOverride>
    <w:lvlOverride w:ilvl="2">
      <w:lvl w:ilvl="2">
        <w:start w:val="1"/>
        <w:numFmt w:val="decimal"/>
        <w:lvlText w:val="(%3)"/>
        <w:lvlJc w:val="left"/>
        <w:pPr>
          <w:tabs>
            <w:tab w:val="num" w:pos="1701"/>
          </w:tabs>
          <w:ind w:left="1701" w:hanging="567"/>
        </w:pPr>
      </w:lvl>
    </w:lvlOverride>
    <w:lvlOverride w:ilvl="3">
      <w:lvl w:ilvl="3">
        <w:start w:val="1"/>
        <w:numFmt w:val="hebrew1"/>
        <w:lvlText w:val="(%4)"/>
        <w:lvlJc w:val="left"/>
        <w:pPr>
          <w:tabs>
            <w:tab w:val="num" w:pos="2268"/>
          </w:tabs>
          <w:ind w:left="2268" w:hanging="567"/>
        </w:pPr>
      </w:lvl>
    </w:lvlOverride>
    <w:lvlOverride w:ilvl="4">
      <w:lvl w:ilvl="4">
        <w:start w:val="1"/>
        <w:numFmt w:val="decimal"/>
        <w:lvlText w:val="%5."/>
        <w:lvlJc w:val="left"/>
        <w:pPr>
          <w:tabs>
            <w:tab w:val="num" w:pos="2835"/>
          </w:tabs>
          <w:ind w:left="2835" w:hanging="567"/>
        </w:pPr>
      </w:lvl>
    </w:lvlOverride>
    <w:lvlOverride w:ilvl="5">
      <w:lvl w:ilvl="5">
        <w:start w:val="1"/>
        <w:numFmt w:val="decimal"/>
        <w:lvlText w:val="%6."/>
        <w:lvlJc w:val="left"/>
        <w:pPr>
          <w:tabs>
            <w:tab w:val="num" w:pos="3402"/>
          </w:tabs>
          <w:ind w:left="3402" w:hanging="567"/>
        </w:pPr>
      </w:lvl>
    </w:lvlOverride>
    <w:lvlOverride w:ilvl="6">
      <w:lvl w:ilvl="6">
        <w:start w:val="1"/>
        <w:numFmt w:val="decimal"/>
        <w:lvlText w:val="%7."/>
        <w:lvlJc w:val="left"/>
        <w:pPr>
          <w:tabs>
            <w:tab w:val="num" w:pos="3969"/>
          </w:tabs>
          <w:ind w:left="3969" w:hanging="567"/>
        </w:pPr>
      </w:lvl>
    </w:lvlOverride>
    <w:lvlOverride w:ilvl="7">
      <w:lvl w:ilvl="7">
        <w:start w:val="1"/>
        <w:numFmt w:val="decimal"/>
        <w:lvlText w:val="%8."/>
        <w:lvlJc w:val="left"/>
        <w:pPr>
          <w:tabs>
            <w:tab w:val="num" w:pos="4536"/>
          </w:tabs>
          <w:ind w:left="4536" w:hanging="567"/>
        </w:pPr>
      </w:lvl>
    </w:lvlOverride>
    <w:lvlOverride w:ilvl="8">
      <w:lvl w:ilvl="8">
        <w:start w:val="1"/>
        <w:numFmt w:val="decimal"/>
        <w:lvlText w:val="%9."/>
        <w:lvlJc w:val="left"/>
        <w:pPr>
          <w:tabs>
            <w:tab w:val="num" w:pos="5103"/>
          </w:tabs>
          <w:ind w:left="5103" w:hanging="567"/>
        </w:pPr>
      </w:lvl>
    </w:lvlOverride>
  </w:num>
  <w:num w:numId="13">
    <w:abstractNumId w:val="9"/>
    <w:lvlOverride w:ilvl="0">
      <w:lvl w:ilvl="0">
        <w:start w:val="1"/>
        <w:numFmt w:val="decimal"/>
        <w:pStyle w:val="11"/>
        <w:lvlText w:val="%1."/>
        <w:lvlJc w:val="left"/>
        <w:pPr>
          <w:tabs>
            <w:tab w:val="num" w:pos="567"/>
          </w:tabs>
          <w:ind w:left="567" w:hanging="567"/>
        </w:pPr>
      </w:lvl>
    </w:lvlOverride>
    <w:lvlOverride w:ilvl="1">
      <w:lvl w:ilvl="1">
        <w:start w:val="1"/>
        <w:numFmt w:val="hebrew1"/>
        <w:lvlText w:val="(%2)"/>
        <w:lvlJc w:val="left"/>
        <w:pPr>
          <w:tabs>
            <w:tab w:val="num" w:pos="1134"/>
          </w:tabs>
          <w:ind w:left="1134" w:hanging="567"/>
        </w:pPr>
      </w:lvl>
    </w:lvlOverride>
    <w:lvlOverride w:ilvl="2">
      <w:lvl w:ilvl="2">
        <w:start w:val="1"/>
        <w:numFmt w:val="decimal"/>
        <w:lvlText w:val="(%3)"/>
        <w:lvlJc w:val="left"/>
        <w:pPr>
          <w:tabs>
            <w:tab w:val="num" w:pos="1701"/>
          </w:tabs>
          <w:ind w:left="1701" w:hanging="567"/>
        </w:pPr>
      </w:lvl>
    </w:lvlOverride>
    <w:lvlOverride w:ilvl="3">
      <w:lvl w:ilvl="3">
        <w:start w:val="1"/>
        <w:numFmt w:val="hebrew1"/>
        <w:lvlText w:val="(%4)"/>
        <w:lvlJc w:val="left"/>
        <w:pPr>
          <w:tabs>
            <w:tab w:val="num" w:pos="2268"/>
          </w:tabs>
          <w:ind w:left="2268" w:hanging="567"/>
        </w:pPr>
      </w:lvl>
    </w:lvlOverride>
    <w:lvlOverride w:ilvl="4">
      <w:lvl w:ilvl="4">
        <w:start w:val="1"/>
        <w:numFmt w:val="decimal"/>
        <w:lvlText w:val="%5."/>
        <w:lvlJc w:val="left"/>
        <w:pPr>
          <w:tabs>
            <w:tab w:val="num" w:pos="2835"/>
          </w:tabs>
          <w:ind w:left="2835" w:hanging="567"/>
        </w:pPr>
      </w:lvl>
    </w:lvlOverride>
    <w:lvlOverride w:ilvl="5">
      <w:lvl w:ilvl="5">
        <w:start w:val="1"/>
        <w:numFmt w:val="decimal"/>
        <w:lvlText w:val="%6."/>
        <w:lvlJc w:val="left"/>
        <w:pPr>
          <w:tabs>
            <w:tab w:val="num" w:pos="3402"/>
          </w:tabs>
          <w:ind w:left="3402" w:hanging="567"/>
        </w:pPr>
      </w:lvl>
    </w:lvlOverride>
    <w:lvlOverride w:ilvl="6">
      <w:lvl w:ilvl="6">
        <w:start w:val="1"/>
        <w:numFmt w:val="decimal"/>
        <w:lvlText w:val="%7."/>
        <w:lvlJc w:val="left"/>
        <w:pPr>
          <w:tabs>
            <w:tab w:val="num" w:pos="3969"/>
          </w:tabs>
          <w:ind w:left="3969" w:hanging="567"/>
        </w:pPr>
      </w:lvl>
    </w:lvlOverride>
    <w:lvlOverride w:ilvl="7">
      <w:lvl w:ilvl="7">
        <w:start w:val="1"/>
        <w:numFmt w:val="decimal"/>
        <w:lvlText w:val="%8."/>
        <w:lvlJc w:val="left"/>
        <w:pPr>
          <w:tabs>
            <w:tab w:val="num" w:pos="4536"/>
          </w:tabs>
          <w:ind w:left="4536" w:hanging="567"/>
        </w:pPr>
      </w:lvl>
    </w:lvlOverride>
    <w:lvlOverride w:ilvl="8">
      <w:lvl w:ilvl="8">
        <w:start w:val="1"/>
        <w:numFmt w:val="decimal"/>
        <w:lvlText w:val="%9."/>
        <w:lvlJc w:val="left"/>
        <w:pPr>
          <w:tabs>
            <w:tab w:val="num" w:pos="5103"/>
          </w:tabs>
          <w:ind w:left="5103" w:hanging="567"/>
        </w:pPr>
      </w:lvl>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lvl w:ilvl="0">
        <w:start w:val="1"/>
        <w:numFmt w:val="decimal"/>
        <w:pStyle w:val="11"/>
        <w:lvlText w:val="%1."/>
        <w:lvlJc w:val="left"/>
        <w:pPr>
          <w:tabs>
            <w:tab w:val="num" w:pos="567"/>
          </w:tabs>
          <w:ind w:left="567" w:hanging="567"/>
        </w:pPr>
      </w:lvl>
    </w:lvlOverride>
    <w:lvlOverride w:ilvl="1">
      <w:lvl w:ilvl="1">
        <w:start w:val="1"/>
        <w:numFmt w:val="hebrew1"/>
        <w:lvlText w:val="(%2)"/>
        <w:lvlJc w:val="left"/>
        <w:pPr>
          <w:tabs>
            <w:tab w:val="num" w:pos="1134"/>
          </w:tabs>
          <w:ind w:left="1134" w:hanging="567"/>
        </w:pPr>
      </w:lvl>
    </w:lvlOverride>
    <w:lvlOverride w:ilvl="2">
      <w:lvl w:ilvl="2">
        <w:start w:val="1"/>
        <w:numFmt w:val="decimal"/>
        <w:lvlText w:val="(%3)"/>
        <w:lvlJc w:val="left"/>
        <w:pPr>
          <w:tabs>
            <w:tab w:val="num" w:pos="1701"/>
          </w:tabs>
          <w:ind w:left="1701" w:hanging="567"/>
        </w:pPr>
      </w:lvl>
    </w:lvlOverride>
    <w:lvlOverride w:ilvl="3">
      <w:lvl w:ilvl="3">
        <w:start w:val="1"/>
        <w:numFmt w:val="hebrew1"/>
        <w:lvlText w:val="(%4)"/>
        <w:lvlJc w:val="left"/>
        <w:pPr>
          <w:tabs>
            <w:tab w:val="num" w:pos="2268"/>
          </w:tabs>
          <w:ind w:left="2268" w:hanging="567"/>
        </w:pPr>
      </w:lvl>
    </w:lvlOverride>
    <w:lvlOverride w:ilvl="4">
      <w:lvl w:ilvl="4">
        <w:start w:val="1"/>
        <w:numFmt w:val="decimal"/>
        <w:lvlText w:val="%5."/>
        <w:lvlJc w:val="left"/>
        <w:pPr>
          <w:tabs>
            <w:tab w:val="num" w:pos="2835"/>
          </w:tabs>
          <w:ind w:left="2835" w:hanging="567"/>
        </w:pPr>
      </w:lvl>
    </w:lvlOverride>
    <w:lvlOverride w:ilvl="5">
      <w:lvl w:ilvl="5">
        <w:start w:val="1"/>
        <w:numFmt w:val="decimal"/>
        <w:lvlText w:val="%6."/>
        <w:lvlJc w:val="left"/>
        <w:pPr>
          <w:tabs>
            <w:tab w:val="num" w:pos="3402"/>
          </w:tabs>
          <w:ind w:left="3402" w:hanging="567"/>
        </w:pPr>
      </w:lvl>
    </w:lvlOverride>
    <w:lvlOverride w:ilvl="6">
      <w:lvl w:ilvl="6">
        <w:start w:val="1"/>
        <w:numFmt w:val="decimal"/>
        <w:lvlText w:val="%7."/>
        <w:lvlJc w:val="left"/>
        <w:pPr>
          <w:tabs>
            <w:tab w:val="num" w:pos="3969"/>
          </w:tabs>
          <w:ind w:left="3969" w:hanging="567"/>
        </w:pPr>
      </w:lvl>
    </w:lvlOverride>
    <w:lvlOverride w:ilvl="7">
      <w:lvl w:ilvl="7">
        <w:start w:val="1"/>
        <w:numFmt w:val="decimal"/>
        <w:lvlText w:val="%8."/>
        <w:lvlJc w:val="left"/>
        <w:pPr>
          <w:tabs>
            <w:tab w:val="num" w:pos="4536"/>
          </w:tabs>
          <w:ind w:left="4536" w:hanging="567"/>
        </w:pPr>
      </w:lvl>
    </w:lvlOverride>
    <w:lvlOverride w:ilvl="8">
      <w:lvl w:ilvl="8">
        <w:start w:val="1"/>
        <w:numFmt w:val="decimal"/>
        <w:lvlText w:val="%9."/>
        <w:lvlJc w:val="left"/>
        <w:pPr>
          <w:tabs>
            <w:tab w:val="num" w:pos="5103"/>
          </w:tabs>
          <w:ind w:left="5103" w:hanging="567"/>
        </w:pPr>
      </w:lvl>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6"/>
    <w:lvlOverride w:ilvl="0">
      <w:lvl w:ilvl="0">
        <w:start w:val="1"/>
        <w:numFmt w:val="hebrew1"/>
        <w:pStyle w:val="a0"/>
        <w:lvlText w:val="%1."/>
        <w:lvlJc w:val="left"/>
        <w:pPr>
          <w:tabs>
            <w:tab w:val="num" w:pos="360"/>
          </w:tabs>
          <w:ind w:left="360" w:hanging="360"/>
        </w:pPr>
        <w:rPr>
          <w:rFonts w:cs="Narkisim" w:hint="cs"/>
          <w:bCs/>
          <w:iCs w:val="0"/>
          <w:szCs w:val="24"/>
        </w:rPr>
      </w:lvl>
    </w:lvlOverride>
    <w:lvlOverride w:ilvl="1">
      <w:lvl w:ilvl="1">
        <w:start w:val="1"/>
        <w:numFmt w:val="hebrew1"/>
        <w:pStyle w:val="a1"/>
        <w:lvlText w:val="%2."/>
        <w:lvlJc w:val="left"/>
        <w:pPr>
          <w:tabs>
            <w:tab w:val="num" w:pos="794"/>
          </w:tabs>
          <w:ind w:left="397" w:hanging="397"/>
        </w:pPr>
        <w:rPr>
          <w:rFonts w:cs="Narkisim" w:hint="cs"/>
          <w:bCs/>
          <w:iCs w:val="0"/>
          <w:szCs w:val="24"/>
        </w:rPr>
      </w:lvl>
    </w:lvlOverride>
    <w:lvlOverride w:ilvl="2">
      <w:lvl w:ilvl="2">
        <w:start w:val="1"/>
        <w:numFmt w:val="decimal"/>
        <w:pStyle w:val="10"/>
        <w:lvlText w:val="(%3)"/>
        <w:lvlJc w:val="left"/>
        <w:pPr>
          <w:tabs>
            <w:tab w:val="num" w:pos="397"/>
          </w:tabs>
          <w:ind w:left="0" w:firstLine="0"/>
        </w:pPr>
        <w:rPr>
          <w:rFonts w:cs="Narkisim" w:hint="cs"/>
          <w:bCs/>
          <w:i/>
          <w:iCs w:val="0"/>
          <w:szCs w:val="22"/>
        </w:rPr>
      </w:lvl>
    </w:lvlOverride>
    <w:lvlOverride w:ilvl="3">
      <w:lvl w:ilvl="3">
        <w:start w:val="1"/>
        <w:numFmt w:val="hebrew1"/>
        <w:pStyle w:val="a2"/>
        <w:lvlText w:val="(%4)"/>
        <w:lvlJc w:val="left"/>
        <w:pPr>
          <w:tabs>
            <w:tab w:val="num" w:pos="397"/>
          </w:tabs>
          <w:ind w:left="0" w:firstLine="0"/>
        </w:pPr>
        <w:rPr>
          <w:rFonts w:cs="Narkisim" w:hint="cs"/>
          <w:bCs/>
          <w:iCs/>
          <w:szCs w:val="18"/>
        </w:rPr>
      </w:lvl>
    </w:lvlOverride>
    <w:lvlOverride w:ilvl="4">
      <w:lvl w:ilvl="4">
        <w:start w:val="1"/>
        <w:numFmt w:val="lowerLetter"/>
        <w:lvlText w:val="(%5)"/>
        <w:lvlJc w:val="left"/>
        <w:pPr>
          <w:tabs>
            <w:tab w:val="num" w:pos="1800"/>
          </w:tabs>
          <w:ind w:left="1800" w:hanging="360"/>
        </w:pPr>
        <w:rPr>
          <w:rFonts w:hint="default"/>
        </w:rPr>
      </w:lvl>
    </w:lvlOverride>
    <w:lvlOverride w:ilvl="5">
      <w:lvl w:ilvl="5">
        <w:start w:val="1"/>
        <w:numFmt w:val="lowerRoman"/>
        <w:lvlText w:val="(%6)"/>
        <w:lvlJc w:val="left"/>
        <w:pPr>
          <w:tabs>
            <w:tab w:val="num" w:pos="2160"/>
          </w:tabs>
          <w:ind w:left="2160" w:hanging="360"/>
        </w:pPr>
        <w:rPr>
          <w:rFonts w:hint="default"/>
        </w:rPr>
      </w:lvl>
    </w:lvlOverride>
    <w:lvlOverride w:ilvl="6">
      <w:lvl w:ilvl="6">
        <w:start w:val="1"/>
        <w:numFmt w:val="decimal"/>
        <w:lvlText w:val="%7."/>
        <w:lvlJc w:val="left"/>
        <w:pPr>
          <w:tabs>
            <w:tab w:val="num" w:pos="2520"/>
          </w:tabs>
          <w:ind w:left="2520" w:hanging="360"/>
        </w:pPr>
        <w:rPr>
          <w:rFonts w:hint="default"/>
        </w:rPr>
      </w:lvl>
    </w:lvlOverride>
    <w:lvlOverride w:ilvl="7">
      <w:lvl w:ilvl="7">
        <w:start w:val="1"/>
        <w:numFmt w:val="lowerLetter"/>
        <w:lvlText w:val="%8."/>
        <w:lvlJc w:val="left"/>
        <w:pPr>
          <w:tabs>
            <w:tab w:val="num" w:pos="2880"/>
          </w:tabs>
          <w:ind w:left="2880" w:hanging="360"/>
        </w:pPr>
        <w:rPr>
          <w:rFonts w:hint="default"/>
        </w:rPr>
      </w:lvl>
    </w:lvlOverride>
    <w:lvlOverride w:ilvl="8">
      <w:lvl w:ilvl="8">
        <w:start w:val="1"/>
        <w:numFmt w:val="lowerRoman"/>
        <w:lvlText w:val="%9."/>
        <w:lvlJc w:val="left"/>
        <w:pPr>
          <w:tabs>
            <w:tab w:val="num" w:pos="3240"/>
          </w:tabs>
          <w:ind w:left="3240" w:hanging="360"/>
        </w:pPr>
        <w:rPr>
          <w:rFonts w:hint="default"/>
        </w:rPr>
      </w:lvl>
    </w:lvlOverride>
  </w:num>
  <w:num w:numId="19">
    <w:abstractNumId w:val="16"/>
    <w:lvlOverride w:ilvl="0">
      <w:lvl w:ilvl="0">
        <w:start w:val="1"/>
        <w:numFmt w:val="hebrew1"/>
        <w:pStyle w:val="a0"/>
        <w:lvlText w:val="%1."/>
        <w:lvlJc w:val="left"/>
        <w:pPr>
          <w:tabs>
            <w:tab w:val="num" w:pos="360"/>
          </w:tabs>
          <w:ind w:left="360" w:hanging="360"/>
        </w:pPr>
        <w:rPr>
          <w:rFonts w:cs="Narkisim" w:hint="cs"/>
          <w:bCs/>
          <w:iCs w:val="0"/>
          <w:szCs w:val="24"/>
        </w:rPr>
      </w:lvl>
    </w:lvlOverride>
    <w:lvlOverride w:ilvl="1">
      <w:lvl w:ilvl="1">
        <w:start w:val="1"/>
        <w:numFmt w:val="hebrew1"/>
        <w:pStyle w:val="a1"/>
        <w:lvlText w:val="%2."/>
        <w:lvlJc w:val="left"/>
        <w:pPr>
          <w:tabs>
            <w:tab w:val="num" w:pos="794"/>
          </w:tabs>
          <w:ind w:left="397" w:hanging="397"/>
        </w:pPr>
        <w:rPr>
          <w:rFonts w:cs="Narkisim" w:hint="cs"/>
          <w:bCs/>
          <w:iCs w:val="0"/>
          <w:szCs w:val="24"/>
        </w:rPr>
      </w:lvl>
    </w:lvlOverride>
    <w:lvlOverride w:ilvl="2">
      <w:lvl w:ilvl="2">
        <w:start w:val="1"/>
        <w:numFmt w:val="decimal"/>
        <w:pStyle w:val="10"/>
        <w:lvlText w:val="(%3)"/>
        <w:lvlJc w:val="left"/>
        <w:pPr>
          <w:tabs>
            <w:tab w:val="num" w:pos="397"/>
          </w:tabs>
          <w:ind w:left="0" w:firstLine="0"/>
        </w:pPr>
        <w:rPr>
          <w:rFonts w:cs="Narkisim" w:hint="cs"/>
          <w:bCs/>
          <w:i/>
          <w:iCs w:val="0"/>
          <w:szCs w:val="22"/>
        </w:rPr>
      </w:lvl>
    </w:lvlOverride>
    <w:lvlOverride w:ilvl="3">
      <w:lvl w:ilvl="3">
        <w:start w:val="1"/>
        <w:numFmt w:val="hebrew1"/>
        <w:pStyle w:val="a2"/>
        <w:lvlText w:val="(%4)"/>
        <w:lvlJc w:val="left"/>
        <w:pPr>
          <w:tabs>
            <w:tab w:val="num" w:pos="397"/>
          </w:tabs>
          <w:ind w:left="0" w:firstLine="0"/>
        </w:pPr>
        <w:rPr>
          <w:rFonts w:hint="default"/>
          <w:bCs w:val="0"/>
          <w:iCs/>
          <w:szCs w:val="22"/>
        </w:rPr>
      </w:lvl>
    </w:lvlOverride>
    <w:lvlOverride w:ilvl="4">
      <w:lvl w:ilvl="4">
        <w:start w:val="1"/>
        <w:numFmt w:val="lowerLetter"/>
        <w:lvlText w:val="(%5)"/>
        <w:lvlJc w:val="left"/>
        <w:pPr>
          <w:tabs>
            <w:tab w:val="num" w:pos="1800"/>
          </w:tabs>
          <w:ind w:left="1800" w:hanging="360"/>
        </w:pPr>
        <w:rPr>
          <w:rFonts w:hint="default"/>
        </w:rPr>
      </w:lvl>
    </w:lvlOverride>
    <w:lvlOverride w:ilvl="5">
      <w:lvl w:ilvl="5">
        <w:start w:val="1"/>
        <w:numFmt w:val="lowerRoman"/>
        <w:lvlText w:val="(%6)"/>
        <w:lvlJc w:val="left"/>
        <w:pPr>
          <w:tabs>
            <w:tab w:val="num" w:pos="2160"/>
          </w:tabs>
          <w:ind w:left="2160" w:hanging="360"/>
        </w:pPr>
        <w:rPr>
          <w:rFonts w:hint="default"/>
        </w:rPr>
      </w:lvl>
    </w:lvlOverride>
    <w:lvlOverride w:ilvl="6">
      <w:lvl w:ilvl="6">
        <w:start w:val="1"/>
        <w:numFmt w:val="decimal"/>
        <w:lvlText w:val="%7."/>
        <w:lvlJc w:val="left"/>
        <w:pPr>
          <w:tabs>
            <w:tab w:val="num" w:pos="2520"/>
          </w:tabs>
          <w:ind w:left="2520" w:hanging="360"/>
        </w:pPr>
        <w:rPr>
          <w:rFonts w:hint="default"/>
        </w:rPr>
      </w:lvl>
    </w:lvlOverride>
    <w:lvlOverride w:ilvl="7">
      <w:lvl w:ilvl="7">
        <w:start w:val="1"/>
        <w:numFmt w:val="lowerLetter"/>
        <w:lvlText w:val="%8."/>
        <w:lvlJc w:val="left"/>
        <w:pPr>
          <w:tabs>
            <w:tab w:val="num" w:pos="2880"/>
          </w:tabs>
          <w:ind w:left="2880" w:hanging="360"/>
        </w:pPr>
        <w:rPr>
          <w:rFonts w:hint="default"/>
        </w:rPr>
      </w:lvl>
    </w:lvlOverride>
    <w:lvlOverride w:ilvl="8">
      <w:lvl w:ilvl="8">
        <w:start w:val="1"/>
        <w:numFmt w:val="lowerRoman"/>
        <w:lvlText w:val="%9."/>
        <w:lvlJc w:val="left"/>
        <w:pPr>
          <w:tabs>
            <w:tab w:val="num" w:pos="3240"/>
          </w:tabs>
          <w:ind w:left="3240" w:hanging="360"/>
        </w:pPr>
        <w:rPr>
          <w:rFonts w:hint="default"/>
        </w:rPr>
      </w:lvl>
    </w:lvlOverride>
  </w:num>
  <w:num w:numId="20">
    <w:abstractNumId w:val="6"/>
  </w:num>
  <w:num w:numId="21">
    <w:abstractNumId w:val="1"/>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8"/>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אבישי בן נון ונונו">
    <w15:presenceInfo w15:providerId="None" w15:userId="אבישי בן נון ונונו"/>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945246"/>
    <w:rsid w:val="00010CFE"/>
    <w:rsid w:val="00047065"/>
    <w:rsid w:val="000716B2"/>
    <w:rsid w:val="00092CA1"/>
    <w:rsid w:val="000A404D"/>
    <w:rsid w:val="000A7E12"/>
    <w:rsid w:val="000B7BAA"/>
    <w:rsid w:val="000E6889"/>
    <w:rsid w:val="000E7C8B"/>
    <w:rsid w:val="00114C09"/>
    <w:rsid w:val="001218A6"/>
    <w:rsid w:val="001225FF"/>
    <w:rsid w:val="00130762"/>
    <w:rsid w:val="0013545E"/>
    <w:rsid w:val="00145788"/>
    <w:rsid w:val="00277684"/>
    <w:rsid w:val="002B51DA"/>
    <w:rsid w:val="002B575F"/>
    <w:rsid w:val="002D15BC"/>
    <w:rsid w:val="002D30EC"/>
    <w:rsid w:val="002E4A51"/>
    <w:rsid w:val="0031025D"/>
    <w:rsid w:val="00320A6F"/>
    <w:rsid w:val="0032746B"/>
    <w:rsid w:val="00361EFE"/>
    <w:rsid w:val="00371C4C"/>
    <w:rsid w:val="00396D45"/>
    <w:rsid w:val="003A3FCA"/>
    <w:rsid w:val="003B5104"/>
    <w:rsid w:val="003B763A"/>
    <w:rsid w:val="003F441B"/>
    <w:rsid w:val="00404096"/>
    <w:rsid w:val="00406EF8"/>
    <w:rsid w:val="004255E7"/>
    <w:rsid w:val="00433575"/>
    <w:rsid w:val="004A5405"/>
    <w:rsid w:val="004B19D4"/>
    <w:rsid w:val="004D5B35"/>
    <w:rsid w:val="004E5C58"/>
    <w:rsid w:val="004E715B"/>
    <w:rsid w:val="004F65EA"/>
    <w:rsid w:val="00516029"/>
    <w:rsid w:val="00575EA4"/>
    <w:rsid w:val="00581821"/>
    <w:rsid w:val="00590772"/>
    <w:rsid w:val="005961C5"/>
    <w:rsid w:val="005A2816"/>
    <w:rsid w:val="00623551"/>
    <w:rsid w:val="00667DE9"/>
    <w:rsid w:val="006B3479"/>
    <w:rsid w:val="006C5736"/>
    <w:rsid w:val="006F2345"/>
    <w:rsid w:val="006F5FD6"/>
    <w:rsid w:val="007109AA"/>
    <w:rsid w:val="00721F08"/>
    <w:rsid w:val="00733F87"/>
    <w:rsid w:val="00774981"/>
    <w:rsid w:val="007D32D2"/>
    <w:rsid w:val="007E2AE3"/>
    <w:rsid w:val="007F27C5"/>
    <w:rsid w:val="00805C57"/>
    <w:rsid w:val="0082607D"/>
    <w:rsid w:val="00843799"/>
    <w:rsid w:val="008E3C49"/>
    <w:rsid w:val="008E5B5B"/>
    <w:rsid w:val="009038D9"/>
    <w:rsid w:val="0090468B"/>
    <w:rsid w:val="0090493D"/>
    <w:rsid w:val="009157C6"/>
    <w:rsid w:val="009403BE"/>
    <w:rsid w:val="00945246"/>
    <w:rsid w:val="0098608E"/>
    <w:rsid w:val="009925DB"/>
    <w:rsid w:val="009C1959"/>
    <w:rsid w:val="009F22CB"/>
    <w:rsid w:val="00A35E14"/>
    <w:rsid w:val="00A67F47"/>
    <w:rsid w:val="00A92F20"/>
    <w:rsid w:val="00A97040"/>
    <w:rsid w:val="00AA1370"/>
    <w:rsid w:val="00AD4B7B"/>
    <w:rsid w:val="00AD4CD8"/>
    <w:rsid w:val="00AE4703"/>
    <w:rsid w:val="00AF04E4"/>
    <w:rsid w:val="00B0655D"/>
    <w:rsid w:val="00B16543"/>
    <w:rsid w:val="00B23165"/>
    <w:rsid w:val="00B2596D"/>
    <w:rsid w:val="00B471CE"/>
    <w:rsid w:val="00B822B4"/>
    <w:rsid w:val="00B96B72"/>
    <w:rsid w:val="00BA0FD5"/>
    <w:rsid w:val="00BC7A46"/>
    <w:rsid w:val="00BD009C"/>
    <w:rsid w:val="00BE508A"/>
    <w:rsid w:val="00C15B39"/>
    <w:rsid w:val="00C70823"/>
    <w:rsid w:val="00C767BE"/>
    <w:rsid w:val="00C87D98"/>
    <w:rsid w:val="00C96541"/>
    <w:rsid w:val="00D346E1"/>
    <w:rsid w:val="00D51321"/>
    <w:rsid w:val="00D71637"/>
    <w:rsid w:val="00DA3A0C"/>
    <w:rsid w:val="00E17B1D"/>
    <w:rsid w:val="00E37DA9"/>
    <w:rsid w:val="00E724E5"/>
    <w:rsid w:val="00ED1F11"/>
    <w:rsid w:val="00EE7757"/>
    <w:rsid w:val="00EF781A"/>
    <w:rsid w:val="00F07A22"/>
    <w:rsid w:val="00F15748"/>
  </w:rsids>
  <m:mathPr>
    <m:mathFont m:val="Cambria Math"/>
    <m:brkBin m:val="before"/>
    <m:brkBinSub m:val="--"/>
    <m:smallFrac/>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45246"/>
    <w:pPr>
      <w:bidi/>
      <w:spacing w:after="200" w:line="276" w:lineRule="auto"/>
    </w:pPr>
    <w:rPr>
      <w:rFonts w:ascii="Calibri" w:eastAsia="Calibri" w:hAnsi="Calibri" w:cs="Arial"/>
    </w:rPr>
  </w:style>
  <w:style w:type="paragraph" w:styleId="2">
    <w:name w:val="heading 2"/>
    <w:basedOn w:val="a3"/>
    <w:next w:val="a3"/>
    <w:link w:val="20"/>
    <w:uiPriority w:val="9"/>
    <w:unhideWhenUsed/>
    <w:qFormat/>
    <w:rsid w:val="0094524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3"/>
    <w:next w:val="a3"/>
    <w:link w:val="50"/>
    <w:uiPriority w:val="9"/>
    <w:semiHidden/>
    <w:unhideWhenUsed/>
    <w:qFormat/>
    <w:rsid w:val="0098608E"/>
    <w:pPr>
      <w:keepNext/>
      <w:keepLines/>
      <w:spacing w:before="200" w:after="0" w:line="240" w:lineRule="auto"/>
      <w:jc w:val="both"/>
      <w:outlineLvl w:val="4"/>
    </w:pPr>
    <w:rPr>
      <w:rFonts w:asciiTheme="majorHAnsi" w:eastAsiaTheme="majorEastAsia" w:hAnsiTheme="majorHAnsi" w:cstheme="majorBidi"/>
      <w:color w:val="1F4D78" w:themeColor="accent1" w:themeShade="7F"/>
      <w:szCs w:val="28"/>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0">
    <w:name w:val="כותרת 2 תו"/>
    <w:basedOn w:val="a4"/>
    <w:link w:val="2"/>
    <w:uiPriority w:val="9"/>
    <w:rsid w:val="00945246"/>
    <w:rPr>
      <w:rFonts w:asciiTheme="majorHAnsi" w:eastAsiaTheme="majorEastAsia" w:hAnsiTheme="majorHAnsi" w:cstheme="majorBidi"/>
      <w:color w:val="2E74B5" w:themeColor="accent1" w:themeShade="BF"/>
      <w:sz w:val="26"/>
      <w:szCs w:val="26"/>
    </w:rPr>
  </w:style>
  <w:style w:type="table" w:styleId="a7">
    <w:name w:val="Table Grid"/>
    <w:basedOn w:val="a5"/>
    <w:uiPriority w:val="59"/>
    <w:rsid w:val="00945246"/>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header"/>
    <w:basedOn w:val="a3"/>
    <w:link w:val="a9"/>
    <w:uiPriority w:val="99"/>
    <w:unhideWhenUsed/>
    <w:rsid w:val="00945246"/>
    <w:pPr>
      <w:tabs>
        <w:tab w:val="center" w:pos="4153"/>
        <w:tab w:val="right" w:pos="8306"/>
      </w:tabs>
      <w:spacing w:after="0" w:line="240" w:lineRule="auto"/>
    </w:pPr>
  </w:style>
  <w:style w:type="character" w:customStyle="1" w:styleId="a9">
    <w:name w:val="כותרת עליונה תו"/>
    <w:basedOn w:val="a4"/>
    <w:link w:val="a8"/>
    <w:uiPriority w:val="99"/>
    <w:rsid w:val="00945246"/>
    <w:rPr>
      <w:rFonts w:ascii="Calibri" w:eastAsia="Calibri" w:hAnsi="Calibri" w:cs="Arial"/>
    </w:rPr>
  </w:style>
  <w:style w:type="paragraph" w:styleId="aa">
    <w:name w:val="footer"/>
    <w:basedOn w:val="a3"/>
    <w:link w:val="ab"/>
    <w:uiPriority w:val="99"/>
    <w:unhideWhenUsed/>
    <w:rsid w:val="00945246"/>
    <w:pPr>
      <w:tabs>
        <w:tab w:val="center" w:pos="4153"/>
        <w:tab w:val="right" w:pos="8306"/>
      </w:tabs>
      <w:spacing w:after="0" w:line="240" w:lineRule="auto"/>
    </w:pPr>
  </w:style>
  <w:style w:type="character" w:customStyle="1" w:styleId="ab">
    <w:name w:val="כותרת תחתונה תו"/>
    <w:basedOn w:val="a4"/>
    <w:link w:val="aa"/>
    <w:uiPriority w:val="99"/>
    <w:rsid w:val="00945246"/>
    <w:rPr>
      <w:rFonts w:ascii="Calibri" w:eastAsia="Calibri" w:hAnsi="Calibri" w:cs="Arial"/>
    </w:rPr>
  </w:style>
  <w:style w:type="character" w:customStyle="1" w:styleId="ac">
    <w:name w:val="פסקת פתיחה תו"/>
    <w:link w:val="ad"/>
    <w:locked/>
    <w:rsid w:val="00945246"/>
    <w:rPr>
      <w:rFonts w:eastAsia="Times New Roman" w:cs="FrankRuehl"/>
      <w:sz w:val="28"/>
      <w:szCs w:val="28"/>
      <w:lang w:eastAsia="he-IL"/>
    </w:rPr>
  </w:style>
  <w:style w:type="paragraph" w:customStyle="1" w:styleId="ae">
    <w:name w:val="פסקה רגילה"/>
    <w:basedOn w:val="a3"/>
    <w:link w:val="af"/>
    <w:qFormat/>
    <w:rsid w:val="00945246"/>
    <w:pPr>
      <w:snapToGrid w:val="0"/>
      <w:spacing w:after="120"/>
      <w:ind w:firstLine="397"/>
      <w:jc w:val="both"/>
    </w:pPr>
    <w:rPr>
      <w:rFonts w:ascii="Times New Roman" w:hAnsi="Times New Roman" w:cs="FrankRuehl"/>
      <w:kern w:val="28"/>
      <w:szCs w:val="28"/>
    </w:rPr>
  </w:style>
  <w:style w:type="paragraph" w:customStyle="1" w:styleId="ad">
    <w:name w:val="פסקת פתיחה"/>
    <w:basedOn w:val="a3"/>
    <w:next w:val="ae"/>
    <w:link w:val="ac"/>
    <w:qFormat/>
    <w:rsid w:val="00945246"/>
    <w:pPr>
      <w:spacing w:before="120" w:after="120"/>
      <w:jc w:val="both"/>
    </w:pPr>
    <w:rPr>
      <w:rFonts w:asciiTheme="minorHAnsi" w:eastAsia="Times New Roman" w:hAnsiTheme="minorHAnsi" w:cs="FrankRuehl"/>
      <w:sz w:val="28"/>
      <w:szCs w:val="28"/>
      <w:lang w:eastAsia="he-IL"/>
    </w:rPr>
  </w:style>
  <w:style w:type="character" w:customStyle="1" w:styleId="af">
    <w:name w:val="פסקה רגילה תו"/>
    <w:basedOn w:val="a4"/>
    <w:link w:val="ae"/>
    <w:locked/>
    <w:rsid w:val="00945246"/>
    <w:rPr>
      <w:rFonts w:ascii="Times New Roman" w:eastAsia="Calibri" w:hAnsi="Times New Roman" w:cs="FrankRuehl"/>
      <w:kern w:val="28"/>
      <w:szCs w:val="28"/>
    </w:rPr>
  </w:style>
  <w:style w:type="character" w:customStyle="1" w:styleId="af0">
    <w:name w:val="פסק דין תו"/>
    <w:basedOn w:val="a4"/>
    <w:link w:val="af1"/>
    <w:locked/>
    <w:rsid w:val="00945246"/>
    <w:rPr>
      <w:rFonts w:ascii="Arial" w:hAnsi="Arial" w:cs="FrankRuehl"/>
      <w:bCs/>
      <w:spacing w:val="20"/>
      <w:kern w:val="28"/>
      <w:sz w:val="24"/>
      <w:szCs w:val="32"/>
    </w:rPr>
  </w:style>
  <w:style w:type="paragraph" w:customStyle="1" w:styleId="af1">
    <w:name w:val="פסק דין"/>
    <w:basedOn w:val="a3"/>
    <w:next w:val="ad"/>
    <w:link w:val="af0"/>
    <w:qFormat/>
    <w:rsid w:val="00945246"/>
    <w:pPr>
      <w:keepNext/>
      <w:overflowPunct w:val="0"/>
      <w:autoSpaceDE w:val="0"/>
      <w:autoSpaceDN w:val="0"/>
      <w:adjustRightInd w:val="0"/>
      <w:spacing w:before="360" w:after="240" w:line="276" w:lineRule="exact"/>
      <w:jc w:val="center"/>
    </w:pPr>
    <w:rPr>
      <w:rFonts w:ascii="Arial" w:eastAsiaTheme="minorHAnsi" w:hAnsi="Arial" w:cs="FrankRuehl"/>
      <w:bCs/>
      <w:spacing w:val="20"/>
      <w:kern w:val="28"/>
      <w:sz w:val="24"/>
      <w:szCs w:val="32"/>
    </w:rPr>
  </w:style>
  <w:style w:type="paragraph" w:customStyle="1" w:styleId="af2">
    <w:name w:val="שמות הדיינים"/>
    <w:basedOn w:val="a3"/>
    <w:next w:val="a3"/>
    <w:link w:val="af3"/>
    <w:qFormat/>
    <w:rsid w:val="00945246"/>
    <w:pPr>
      <w:tabs>
        <w:tab w:val="center" w:pos="4153"/>
        <w:tab w:val="right" w:pos="8306"/>
      </w:tabs>
      <w:overflowPunct w:val="0"/>
      <w:autoSpaceDE w:val="0"/>
      <w:autoSpaceDN w:val="0"/>
      <w:adjustRightInd w:val="0"/>
      <w:spacing w:after="360" w:line="276" w:lineRule="exact"/>
      <w:jc w:val="center"/>
      <w:textAlignment w:val="baseline"/>
    </w:pPr>
    <w:rPr>
      <w:rFonts w:ascii="Times New Roman" w:hAnsi="Times New Roman" w:cs="Narkisim"/>
      <w:b/>
      <w:bCs/>
      <w:kern w:val="28"/>
      <w:sz w:val="23"/>
      <w:szCs w:val="23"/>
    </w:rPr>
  </w:style>
  <w:style w:type="character" w:customStyle="1" w:styleId="af3">
    <w:name w:val="שמות הדיינים תו"/>
    <w:basedOn w:val="a4"/>
    <w:link w:val="af2"/>
    <w:rsid w:val="00945246"/>
    <w:rPr>
      <w:rFonts w:ascii="Times New Roman" w:eastAsia="Calibri" w:hAnsi="Times New Roman" w:cs="Narkisim"/>
      <w:b/>
      <w:bCs/>
      <w:kern w:val="28"/>
      <w:sz w:val="23"/>
      <w:szCs w:val="23"/>
    </w:rPr>
  </w:style>
  <w:style w:type="paragraph" w:customStyle="1" w:styleId="af4">
    <w:name w:val="פלוני"/>
    <w:basedOn w:val="a3"/>
    <w:link w:val="af5"/>
    <w:qFormat/>
    <w:rsid w:val="00945246"/>
    <w:pPr>
      <w:overflowPunct w:val="0"/>
      <w:autoSpaceDE w:val="0"/>
      <w:autoSpaceDN w:val="0"/>
      <w:adjustRightInd w:val="0"/>
      <w:spacing w:after="100" w:line="240" w:lineRule="exact"/>
      <w:jc w:val="both"/>
      <w:textAlignment w:val="baseline"/>
    </w:pPr>
    <w:rPr>
      <w:rFonts w:ascii="Times New Roman" w:eastAsia="Times New Roman" w:hAnsi="Times New Roman" w:cs="FrankRuehl"/>
      <w:sz w:val="26"/>
      <w:szCs w:val="32"/>
      <w:lang w:eastAsia="he-IL"/>
    </w:rPr>
  </w:style>
  <w:style w:type="character" w:customStyle="1" w:styleId="af5">
    <w:name w:val="פלוני תו"/>
    <w:basedOn w:val="a4"/>
    <w:link w:val="af4"/>
    <w:rsid w:val="00945246"/>
    <w:rPr>
      <w:rFonts w:ascii="Times New Roman" w:eastAsia="Times New Roman" w:hAnsi="Times New Roman" w:cs="FrankRuehl"/>
      <w:sz w:val="26"/>
      <w:szCs w:val="32"/>
      <w:lang w:eastAsia="he-IL"/>
    </w:rPr>
  </w:style>
  <w:style w:type="paragraph" w:customStyle="1" w:styleId="af6">
    <w:name w:val="כותרת הנידון ומסקנות"/>
    <w:basedOn w:val="a3"/>
    <w:next w:val="a3"/>
    <w:link w:val="af7"/>
    <w:qFormat/>
    <w:rsid w:val="00945246"/>
    <w:pPr>
      <w:spacing w:before="360" w:after="120"/>
      <w:jc w:val="center"/>
    </w:pPr>
    <w:rPr>
      <w:rFonts w:ascii="Cambria" w:eastAsia="Times New Roman" w:hAnsi="Cambria" w:cs="Narkisim"/>
      <w:b/>
      <w:noProof/>
      <w:sz w:val="26"/>
      <w:szCs w:val="26"/>
      <w:lang w:eastAsia="he-IL"/>
    </w:rPr>
  </w:style>
  <w:style w:type="character" w:customStyle="1" w:styleId="af7">
    <w:name w:val="כותרת הנידון ומסקנות תו"/>
    <w:basedOn w:val="a4"/>
    <w:link w:val="af6"/>
    <w:rsid w:val="00945246"/>
    <w:rPr>
      <w:rFonts w:ascii="Cambria" w:eastAsia="Times New Roman" w:hAnsi="Cambria" w:cs="Narkisim"/>
      <w:b/>
      <w:noProof/>
      <w:sz w:val="26"/>
      <w:szCs w:val="26"/>
      <w:lang w:eastAsia="he-IL"/>
    </w:rPr>
  </w:style>
  <w:style w:type="paragraph" w:customStyle="1" w:styleId="af8">
    <w:name w:val="בבית הדין הרבני"/>
    <w:basedOn w:val="a3"/>
    <w:next w:val="af9"/>
    <w:link w:val="afa"/>
    <w:rsid w:val="00945246"/>
    <w:pPr>
      <w:overflowPunct w:val="0"/>
      <w:autoSpaceDE w:val="0"/>
      <w:autoSpaceDN w:val="0"/>
      <w:adjustRightInd w:val="0"/>
      <w:spacing w:before="360" w:after="120" w:line="276" w:lineRule="exact"/>
      <w:jc w:val="center"/>
      <w:textAlignment w:val="baseline"/>
    </w:pPr>
    <w:rPr>
      <w:rFonts w:ascii="Times New Roman" w:eastAsia="Times New Roman" w:hAnsi="Times New Roman" w:cs="FrankRuehl"/>
      <w:b/>
      <w:bCs/>
      <w:sz w:val="24"/>
      <w:szCs w:val="28"/>
      <w:lang w:eastAsia="he-IL"/>
    </w:rPr>
  </w:style>
  <w:style w:type="paragraph" w:customStyle="1" w:styleId="af9">
    <w:name w:val="לפני כבוד הדיינים"/>
    <w:basedOn w:val="a3"/>
    <w:next w:val="af2"/>
    <w:link w:val="afb"/>
    <w:qFormat/>
    <w:rsid w:val="00945246"/>
    <w:pPr>
      <w:overflowPunct w:val="0"/>
      <w:autoSpaceDE w:val="0"/>
      <w:autoSpaceDN w:val="0"/>
      <w:adjustRightInd w:val="0"/>
      <w:spacing w:after="120" w:line="276" w:lineRule="exact"/>
      <w:jc w:val="center"/>
      <w:textAlignment w:val="baseline"/>
    </w:pPr>
    <w:rPr>
      <w:rFonts w:ascii="Times New Roman" w:eastAsia="Times New Roman" w:hAnsi="Times New Roman" w:cs="FrankRuehl"/>
      <w:szCs w:val="26"/>
      <w:lang w:eastAsia="he-IL"/>
    </w:rPr>
  </w:style>
  <w:style w:type="character" w:customStyle="1" w:styleId="afb">
    <w:name w:val="לפני כבוד הדיינים תו"/>
    <w:basedOn w:val="a4"/>
    <w:link w:val="af9"/>
    <w:rsid w:val="00945246"/>
    <w:rPr>
      <w:rFonts w:ascii="Times New Roman" w:eastAsia="Times New Roman" w:hAnsi="Times New Roman" w:cs="FrankRuehl"/>
      <w:szCs w:val="26"/>
      <w:lang w:eastAsia="he-IL"/>
    </w:rPr>
  </w:style>
  <w:style w:type="character" w:customStyle="1" w:styleId="afa">
    <w:name w:val="בבית הדין הרבני תו"/>
    <w:basedOn w:val="a4"/>
    <w:link w:val="af8"/>
    <w:rsid w:val="00945246"/>
    <w:rPr>
      <w:rFonts w:ascii="Times New Roman" w:eastAsia="Times New Roman" w:hAnsi="Times New Roman" w:cs="FrankRuehl"/>
      <w:b/>
      <w:bCs/>
      <w:sz w:val="24"/>
      <w:szCs w:val="28"/>
      <w:lang w:eastAsia="he-IL"/>
    </w:rPr>
  </w:style>
  <w:style w:type="table" w:customStyle="1" w:styleId="TableGrid1">
    <w:name w:val="Table Grid1"/>
    <w:basedOn w:val="a5"/>
    <w:next w:val="a7"/>
    <w:uiPriority w:val="59"/>
    <w:rsid w:val="0094524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50">
    <w:name w:val="כותרת 5 תו"/>
    <w:basedOn w:val="a4"/>
    <w:link w:val="5"/>
    <w:uiPriority w:val="9"/>
    <w:semiHidden/>
    <w:rsid w:val="0098608E"/>
    <w:rPr>
      <w:rFonts w:asciiTheme="majorHAnsi" w:eastAsiaTheme="majorEastAsia" w:hAnsiTheme="majorHAnsi" w:cstheme="majorBidi"/>
      <w:color w:val="1F4D78" w:themeColor="accent1" w:themeShade="7F"/>
      <w:szCs w:val="28"/>
    </w:rPr>
  </w:style>
  <w:style w:type="paragraph" w:styleId="afc">
    <w:name w:val="footnote text"/>
    <w:basedOn w:val="a3"/>
    <w:link w:val="afd"/>
    <w:semiHidden/>
    <w:unhideWhenUsed/>
    <w:rsid w:val="0098608E"/>
    <w:pPr>
      <w:tabs>
        <w:tab w:val="left" w:pos="284"/>
      </w:tabs>
      <w:spacing w:before="40" w:after="40"/>
      <w:ind w:left="284" w:hanging="284"/>
      <w:jc w:val="both"/>
    </w:pPr>
    <w:rPr>
      <w:rFonts w:ascii="Times New Roman" w:eastAsia="Times New Roman" w:hAnsi="Times New Roman" w:cs="FrankRuehl"/>
      <w:sz w:val="18"/>
      <w:szCs w:val="24"/>
      <w:lang w:eastAsia="he-IL"/>
    </w:rPr>
  </w:style>
  <w:style w:type="character" w:customStyle="1" w:styleId="afd">
    <w:name w:val="טקסט הערת שוליים תו"/>
    <w:basedOn w:val="a4"/>
    <w:link w:val="afc"/>
    <w:semiHidden/>
    <w:rsid w:val="0098608E"/>
    <w:rPr>
      <w:rFonts w:ascii="Times New Roman" w:eastAsia="Times New Roman" w:hAnsi="Times New Roman" w:cs="FrankRuehl"/>
      <w:sz w:val="18"/>
      <w:szCs w:val="24"/>
      <w:lang w:eastAsia="he-IL"/>
    </w:rPr>
  </w:style>
  <w:style w:type="paragraph" w:styleId="afe">
    <w:name w:val="List Paragraph"/>
    <w:basedOn w:val="a3"/>
    <w:uiPriority w:val="34"/>
    <w:qFormat/>
    <w:rsid w:val="0098608E"/>
    <w:pPr>
      <w:spacing w:after="0"/>
      <w:ind w:left="720"/>
      <w:contextualSpacing/>
      <w:jc w:val="both"/>
    </w:pPr>
    <w:rPr>
      <w:rFonts w:ascii="Times New Roman" w:eastAsiaTheme="minorHAnsi" w:hAnsi="Times New Roman" w:cs="FrankRuehl"/>
      <w:szCs w:val="28"/>
    </w:rPr>
  </w:style>
  <w:style w:type="paragraph" w:styleId="aff">
    <w:name w:val="Quote"/>
    <w:basedOn w:val="a3"/>
    <w:link w:val="aff0"/>
    <w:uiPriority w:val="29"/>
    <w:qFormat/>
    <w:rsid w:val="0098608E"/>
    <w:pPr>
      <w:snapToGrid w:val="0"/>
      <w:spacing w:after="120" w:line="240" w:lineRule="auto"/>
      <w:ind w:left="851" w:right="851"/>
      <w:jc w:val="both"/>
    </w:pPr>
    <w:rPr>
      <w:rFonts w:ascii="Times New Roman" w:hAnsi="Times New Roman" w:cs="FrankRuehl"/>
      <w:i/>
      <w:color w:val="000000" w:themeColor="text1"/>
      <w:kern w:val="28"/>
      <w:szCs w:val="28"/>
    </w:rPr>
  </w:style>
  <w:style w:type="character" w:customStyle="1" w:styleId="aff0">
    <w:name w:val="הצעת מחיר תו"/>
    <w:basedOn w:val="a4"/>
    <w:link w:val="aff"/>
    <w:uiPriority w:val="29"/>
    <w:rsid w:val="0098608E"/>
    <w:rPr>
      <w:rFonts w:ascii="Times New Roman" w:eastAsia="Calibri" w:hAnsi="Times New Roman" w:cs="FrankRuehl"/>
      <w:i/>
      <w:color w:val="000000" w:themeColor="text1"/>
      <w:kern w:val="28"/>
      <w:szCs w:val="28"/>
    </w:rPr>
  </w:style>
  <w:style w:type="paragraph" w:customStyle="1" w:styleId="aff1">
    <w:name w:val="פרטי תיק פס''ד"/>
    <w:basedOn w:val="a3"/>
    <w:qFormat/>
    <w:rsid w:val="0098608E"/>
    <w:pPr>
      <w:spacing w:after="0" w:line="360" w:lineRule="auto"/>
      <w:jc w:val="both"/>
    </w:pPr>
    <w:rPr>
      <w:rFonts w:ascii="Times New Roman" w:eastAsiaTheme="minorHAnsi" w:hAnsi="Times New Roman" w:cs="David"/>
      <w:b/>
      <w:bCs/>
      <w:sz w:val="24"/>
      <w:szCs w:val="24"/>
    </w:rPr>
  </w:style>
  <w:style w:type="paragraph" w:customStyle="1" w:styleId="aff2">
    <w:name w:val="כותרת אזור בית הדין הרבני"/>
    <w:basedOn w:val="a3"/>
    <w:qFormat/>
    <w:rsid w:val="0098608E"/>
    <w:pPr>
      <w:spacing w:before="120" w:after="240" w:line="360" w:lineRule="auto"/>
      <w:jc w:val="both"/>
    </w:pPr>
    <w:rPr>
      <w:rFonts w:asciiTheme="minorBidi" w:hAnsiTheme="minorBidi" w:cs="David"/>
      <w:b/>
      <w:bCs/>
      <w:color w:val="002B82"/>
      <w:sz w:val="28"/>
      <w:szCs w:val="28"/>
    </w:rPr>
  </w:style>
  <w:style w:type="character" w:customStyle="1" w:styleId="aff3">
    <w:name w:val="ציטוט בתוך ציטוט תו"/>
    <w:basedOn w:val="a4"/>
    <w:link w:val="aff4"/>
    <w:locked/>
    <w:rsid w:val="0098608E"/>
    <w:rPr>
      <w:rFonts w:ascii="Calibri" w:eastAsia="Calibri" w:hAnsi="Calibri" w:cs="FrankRuehl"/>
      <w:i/>
      <w:color w:val="000000" w:themeColor="text1"/>
      <w:kern w:val="28"/>
      <w:sz w:val="28"/>
      <w:szCs w:val="28"/>
    </w:rPr>
  </w:style>
  <w:style w:type="paragraph" w:customStyle="1" w:styleId="aff4">
    <w:name w:val="ציטוט בתוך ציטוט"/>
    <w:basedOn w:val="a3"/>
    <w:link w:val="aff3"/>
    <w:qFormat/>
    <w:rsid w:val="0098608E"/>
    <w:pPr>
      <w:snapToGrid w:val="0"/>
      <w:spacing w:after="120" w:line="240" w:lineRule="auto"/>
      <w:ind w:left="1418" w:right="851"/>
      <w:jc w:val="both"/>
    </w:pPr>
    <w:rPr>
      <w:rFonts w:cs="FrankRuehl"/>
      <w:i/>
      <w:color w:val="000000" w:themeColor="text1"/>
      <w:kern w:val="28"/>
      <w:sz w:val="28"/>
      <w:szCs w:val="28"/>
    </w:rPr>
  </w:style>
  <w:style w:type="character" w:customStyle="1" w:styleId="aff5">
    <w:name w:val="כותרת המאמר תו"/>
    <w:basedOn w:val="a4"/>
    <w:link w:val="aff6"/>
    <w:locked/>
    <w:rsid w:val="0098608E"/>
    <w:rPr>
      <w:rFonts w:eastAsia="Times New Roman" w:cs="Narkisim"/>
      <w:b/>
      <w:bCs/>
      <w:sz w:val="32"/>
      <w:szCs w:val="32"/>
      <w:lang w:eastAsia="he-IL"/>
    </w:rPr>
  </w:style>
  <w:style w:type="paragraph" w:customStyle="1" w:styleId="aff7">
    <w:name w:val="כותרת שם כותב המאמר"/>
    <w:basedOn w:val="a3"/>
    <w:next w:val="aff8"/>
    <w:link w:val="aff9"/>
    <w:qFormat/>
    <w:rsid w:val="0098608E"/>
    <w:pPr>
      <w:tabs>
        <w:tab w:val="left" w:pos="284"/>
        <w:tab w:val="left" w:pos="567"/>
      </w:tabs>
      <w:overflowPunct w:val="0"/>
      <w:autoSpaceDE w:val="0"/>
      <w:autoSpaceDN w:val="0"/>
      <w:adjustRightInd w:val="0"/>
      <w:spacing w:before="360" w:after="240" w:line="240" w:lineRule="auto"/>
      <w:jc w:val="center"/>
      <w:outlineLvl w:val="3"/>
    </w:pPr>
    <w:rPr>
      <w:rFonts w:ascii="Times New Roman" w:eastAsia="Times New Roman" w:hAnsi="Times New Roman" w:cs="Narkisim"/>
      <w:b/>
      <w:bCs/>
      <w:sz w:val="24"/>
      <w:szCs w:val="28"/>
      <w:lang w:eastAsia="he-IL"/>
    </w:rPr>
  </w:style>
  <w:style w:type="paragraph" w:customStyle="1" w:styleId="aff6">
    <w:name w:val="כותרת המאמר"/>
    <w:basedOn w:val="a3"/>
    <w:next w:val="aff7"/>
    <w:link w:val="aff5"/>
    <w:rsid w:val="0098608E"/>
    <w:pPr>
      <w:keepNext/>
      <w:spacing w:before="840" w:after="120"/>
      <w:jc w:val="center"/>
      <w:outlineLvl w:val="2"/>
    </w:pPr>
    <w:rPr>
      <w:rFonts w:asciiTheme="minorHAnsi" w:eastAsia="Times New Roman" w:hAnsiTheme="minorHAnsi" w:cs="Narkisim"/>
      <w:b/>
      <w:bCs/>
      <w:sz w:val="32"/>
      <w:szCs w:val="32"/>
      <w:lang w:eastAsia="he-IL"/>
    </w:rPr>
  </w:style>
  <w:style w:type="character" w:customStyle="1" w:styleId="aff9">
    <w:name w:val="כותרת שם כותב המאמר תו"/>
    <w:basedOn w:val="a4"/>
    <w:link w:val="aff7"/>
    <w:locked/>
    <w:rsid w:val="0098608E"/>
    <w:rPr>
      <w:rFonts w:ascii="Times New Roman" w:eastAsia="Times New Roman" w:hAnsi="Times New Roman" w:cs="Narkisim"/>
      <w:b/>
      <w:bCs/>
      <w:sz w:val="24"/>
      <w:szCs w:val="28"/>
      <w:lang w:eastAsia="he-IL"/>
    </w:rPr>
  </w:style>
  <w:style w:type="paragraph" w:customStyle="1" w:styleId="aff8">
    <w:name w:val="כותרת תפקיד כותב המאמר"/>
    <w:basedOn w:val="a3"/>
    <w:next w:val="ad"/>
    <w:link w:val="affa"/>
    <w:qFormat/>
    <w:rsid w:val="0098608E"/>
    <w:pPr>
      <w:overflowPunct w:val="0"/>
      <w:autoSpaceDE w:val="0"/>
      <w:autoSpaceDN w:val="0"/>
      <w:adjustRightInd w:val="0"/>
      <w:spacing w:before="240" w:after="600"/>
      <w:jc w:val="center"/>
      <w:outlineLvl w:val="5"/>
    </w:pPr>
    <w:rPr>
      <w:rFonts w:ascii="Times New Roman" w:eastAsia="Times New Roman" w:hAnsi="Times New Roman" w:cs="Narkisim"/>
      <w:b/>
      <w:bCs/>
      <w:sz w:val="26"/>
      <w:szCs w:val="26"/>
      <w:lang w:eastAsia="he-IL"/>
    </w:rPr>
  </w:style>
  <w:style w:type="character" w:customStyle="1" w:styleId="affa">
    <w:name w:val="כותרת תפקיד כותב המאמר תו"/>
    <w:basedOn w:val="a4"/>
    <w:link w:val="aff8"/>
    <w:locked/>
    <w:rsid w:val="0098608E"/>
    <w:rPr>
      <w:rFonts w:ascii="Times New Roman" w:eastAsia="Times New Roman" w:hAnsi="Times New Roman" w:cs="Narkisim"/>
      <w:b/>
      <w:bCs/>
      <w:sz w:val="26"/>
      <w:szCs w:val="26"/>
      <w:lang w:eastAsia="he-IL"/>
    </w:rPr>
  </w:style>
  <w:style w:type="character" w:customStyle="1" w:styleId="12">
    <w:name w:val="רשימה א(1)(א) מדורגת תו"/>
    <w:basedOn w:val="a4"/>
    <w:link w:val="1"/>
    <w:locked/>
    <w:rsid w:val="0098608E"/>
    <w:rPr>
      <w:rFonts w:ascii="David" w:eastAsia="Calibri" w:hAnsi="David" w:cs="FrankRuehl"/>
      <w:kern w:val="28"/>
      <w:sz w:val="36"/>
      <w:szCs w:val="28"/>
    </w:rPr>
  </w:style>
  <w:style w:type="paragraph" w:customStyle="1" w:styleId="1">
    <w:name w:val="רשימה א(1)(א) מדורגת"/>
    <w:basedOn w:val="a3"/>
    <w:link w:val="12"/>
    <w:qFormat/>
    <w:rsid w:val="0098608E"/>
    <w:pPr>
      <w:numPr>
        <w:numId w:val="6"/>
      </w:numPr>
      <w:snapToGrid w:val="0"/>
      <w:spacing w:before="120" w:after="120"/>
      <w:jc w:val="both"/>
    </w:pPr>
    <w:rPr>
      <w:rFonts w:ascii="David" w:hAnsi="David" w:cs="FrankRuehl"/>
      <w:kern w:val="28"/>
      <w:sz w:val="36"/>
      <w:szCs w:val="28"/>
    </w:rPr>
  </w:style>
  <w:style w:type="paragraph" w:customStyle="1" w:styleId="a0">
    <w:name w:val="כותרת משנה אמצע ממוספרת"/>
    <w:basedOn w:val="a3"/>
    <w:next w:val="ad"/>
    <w:rsid w:val="0098608E"/>
    <w:pPr>
      <w:keepNext/>
      <w:numPr>
        <w:numId w:val="7"/>
      </w:numPr>
      <w:tabs>
        <w:tab w:val="left" w:pos="397"/>
      </w:tabs>
      <w:spacing w:before="360" w:after="120"/>
      <w:jc w:val="center"/>
      <w:outlineLvl w:val="2"/>
    </w:pPr>
    <w:rPr>
      <w:rFonts w:ascii="Times New Roman" w:eastAsia="Times New Roman" w:hAnsi="Times New Roman" w:cs="Narkisim"/>
      <w:b/>
      <w:bCs/>
      <w:sz w:val="26"/>
      <w:szCs w:val="26"/>
      <w:lang w:eastAsia="he-IL"/>
    </w:rPr>
  </w:style>
  <w:style w:type="character" w:customStyle="1" w:styleId="110">
    <w:name w:val="רשימה 1(א)(1) מדורגת תו"/>
    <w:basedOn w:val="a4"/>
    <w:link w:val="11"/>
    <w:locked/>
    <w:rsid w:val="0098608E"/>
    <w:rPr>
      <w:rFonts w:ascii="David" w:eastAsia="Calibri" w:hAnsi="David" w:cs="FrankRuehl"/>
      <w:kern w:val="28"/>
      <w:sz w:val="28"/>
      <w:szCs w:val="28"/>
      <w:lang w:eastAsia="he-IL"/>
    </w:rPr>
  </w:style>
  <w:style w:type="paragraph" w:customStyle="1" w:styleId="11">
    <w:name w:val="רשימה 1(א)(1) מדורגת"/>
    <w:basedOn w:val="a3"/>
    <w:link w:val="110"/>
    <w:qFormat/>
    <w:rsid w:val="0098608E"/>
    <w:pPr>
      <w:numPr>
        <w:numId w:val="8"/>
      </w:numPr>
      <w:snapToGrid w:val="0"/>
      <w:spacing w:before="120" w:after="120"/>
      <w:jc w:val="both"/>
    </w:pPr>
    <w:rPr>
      <w:rFonts w:ascii="David" w:hAnsi="David" w:cs="FrankRuehl"/>
      <w:kern w:val="28"/>
      <w:sz w:val="28"/>
      <w:szCs w:val="28"/>
      <w:lang w:eastAsia="he-IL"/>
    </w:rPr>
  </w:style>
  <w:style w:type="character" w:customStyle="1" w:styleId="affb">
    <w:name w:val="כותרת [א.] צד תו"/>
    <w:basedOn w:val="a4"/>
    <w:link w:val="a1"/>
    <w:locked/>
    <w:rsid w:val="0098608E"/>
    <w:rPr>
      <w:rFonts w:ascii="Arial" w:eastAsia="Times New Roman" w:hAnsi="Arial" w:cs="Narkisim"/>
      <w:b/>
      <w:bCs/>
      <w:sz w:val="24"/>
      <w:szCs w:val="24"/>
    </w:rPr>
  </w:style>
  <w:style w:type="paragraph" w:customStyle="1" w:styleId="a1">
    <w:name w:val="כותרת [א.] צד"/>
    <w:basedOn w:val="a3"/>
    <w:next w:val="ad"/>
    <w:link w:val="affb"/>
    <w:qFormat/>
    <w:rsid w:val="0098608E"/>
    <w:pPr>
      <w:keepNext/>
      <w:numPr>
        <w:ilvl w:val="1"/>
        <w:numId w:val="7"/>
      </w:numPr>
      <w:tabs>
        <w:tab w:val="left" w:pos="397"/>
      </w:tabs>
      <w:spacing w:before="360" w:after="120"/>
      <w:jc w:val="both"/>
      <w:outlineLvl w:val="3"/>
    </w:pPr>
    <w:rPr>
      <w:rFonts w:ascii="Arial" w:eastAsia="Times New Roman" w:hAnsi="Arial" w:cs="Narkisim"/>
      <w:b/>
      <w:bCs/>
      <w:sz w:val="24"/>
      <w:szCs w:val="24"/>
    </w:rPr>
  </w:style>
  <w:style w:type="character" w:customStyle="1" w:styleId="-">
    <w:name w:val="כותרת [-] צד תו"/>
    <w:basedOn w:val="a4"/>
    <w:link w:val="-0"/>
    <w:locked/>
    <w:rsid w:val="0098608E"/>
    <w:rPr>
      <w:rFonts w:ascii="Arial" w:eastAsia="Times New Roman" w:hAnsi="Arial" w:cs="Narkisim"/>
      <w:b/>
      <w:bCs/>
      <w:sz w:val="24"/>
      <w:szCs w:val="24"/>
    </w:rPr>
  </w:style>
  <w:style w:type="paragraph" w:customStyle="1" w:styleId="-0">
    <w:name w:val="כותרת [-] צד"/>
    <w:next w:val="a3"/>
    <w:link w:val="-"/>
    <w:qFormat/>
    <w:rsid w:val="0098608E"/>
    <w:pPr>
      <w:keepNext/>
      <w:tabs>
        <w:tab w:val="left" w:pos="454"/>
      </w:tabs>
      <w:bidi/>
      <w:spacing w:before="360" w:after="120" w:line="240" w:lineRule="auto"/>
      <w:jc w:val="both"/>
      <w:outlineLvl w:val="3"/>
    </w:pPr>
    <w:rPr>
      <w:rFonts w:ascii="Arial" w:eastAsia="Times New Roman" w:hAnsi="Arial" w:cs="Narkisim"/>
      <w:b/>
      <w:bCs/>
      <w:sz w:val="24"/>
      <w:szCs w:val="24"/>
    </w:rPr>
  </w:style>
  <w:style w:type="character" w:customStyle="1" w:styleId="13">
    <w:name w:val="כותרת [(1)] צד תו"/>
    <w:basedOn w:val="a4"/>
    <w:link w:val="10"/>
    <w:locked/>
    <w:rsid w:val="0098608E"/>
    <w:rPr>
      <w:rFonts w:ascii="Arial" w:eastAsia="Times New Roman" w:hAnsi="Arial" w:cs="Narkisim"/>
      <w:b/>
      <w:bCs/>
    </w:rPr>
  </w:style>
  <w:style w:type="paragraph" w:customStyle="1" w:styleId="10">
    <w:name w:val="כותרת [(1)] צד"/>
    <w:basedOn w:val="a1"/>
    <w:next w:val="ad"/>
    <w:link w:val="13"/>
    <w:qFormat/>
    <w:rsid w:val="0098608E"/>
    <w:pPr>
      <w:numPr>
        <w:ilvl w:val="2"/>
      </w:numPr>
      <w:spacing w:before="240"/>
      <w:outlineLvl w:val="4"/>
    </w:pPr>
    <w:rPr>
      <w:sz w:val="22"/>
      <w:szCs w:val="22"/>
    </w:rPr>
  </w:style>
  <w:style w:type="character" w:customStyle="1" w:styleId="affc">
    <w:name w:val="כותרת [(א)] צד תו"/>
    <w:basedOn w:val="13"/>
    <w:link w:val="a2"/>
    <w:locked/>
    <w:rsid w:val="0098608E"/>
    <w:rPr>
      <w:rFonts w:ascii="Arial" w:eastAsia="Times New Roman" w:hAnsi="Arial" w:cs="Narkisim"/>
      <w:b w:val="0"/>
      <w:bCs w:val="0"/>
      <w:i/>
      <w:iCs/>
    </w:rPr>
  </w:style>
  <w:style w:type="paragraph" w:customStyle="1" w:styleId="a2">
    <w:name w:val="כותרת [(א)] צד"/>
    <w:basedOn w:val="10"/>
    <w:next w:val="ad"/>
    <w:link w:val="affc"/>
    <w:qFormat/>
    <w:rsid w:val="0098608E"/>
    <w:pPr>
      <w:numPr>
        <w:ilvl w:val="3"/>
      </w:numPr>
      <w:outlineLvl w:val="5"/>
    </w:pPr>
    <w:rPr>
      <w:b w:val="0"/>
      <w:bCs w:val="0"/>
      <w:i/>
      <w:iCs/>
    </w:rPr>
  </w:style>
  <w:style w:type="character" w:styleId="affd">
    <w:name w:val="footnote reference"/>
    <w:aliases w:val="Footnote Reference"/>
    <w:semiHidden/>
    <w:unhideWhenUsed/>
    <w:qFormat/>
    <w:rsid w:val="0098608E"/>
    <w:rPr>
      <w:rFonts w:ascii="Times New Roman" w:hAnsi="Times New Roman" w:cs="FrankRuehl" w:hint="default"/>
      <w:kern w:val="0"/>
      <w:position w:val="0"/>
      <w:sz w:val="20"/>
      <w:szCs w:val="28"/>
      <w:vertAlign w:val="superscript"/>
    </w:rPr>
  </w:style>
  <w:style w:type="character" w:styleId="affe">
    <w:name w:val="Book Title"/>
    <w:basedOn w:val="a4"/>
    <w:uiPriority w:val="33"/>
    <w:qFormat/>
    <w:rsid w:val="0098608E"/>
    <w:rPr>
      <w:b/>
      <w:bCs/>
      <w:smallCaps/>
      <w:spacing w:val="5"/>
    </w:rPr>
  </w:style>
  <w:style w:type="paragraph" w:customStyle="1" w:styleId="afff">
    <w:name w:val="רשימה רגילה"/>
    <w:basedOn w:val="1"/>
    <w:next w:val="ae"/>
    <w:link w:val="afff0"/>
    <w:qFormat/>
    <w:rsid w:val="0098608E"/>
    <w:pPr>
      <w:ind w:left="0" w:firstLine="0"/>
    </w:pPr>
  </w:style>
  <w:style w:type="character" w:customStyle="1" w:styleId="afff0">
    <w:name w:val="רשימה רגילה תו"/>
    <w:basedOn w:val="12"/>
    <w:link w:val="afff"/>
    <w:rsid w:val="0098608E"/>
    <w:rPr>
      <w:rFonts w:ascii="David" w:eastAsia="Calibri" w:hAnsi="David" w:cs="FrankRuehl"/>
      <w:kern w:val="28"/>
      <w:sz w:val="36"/>
      <w:szCs w:val="28"/>
    </w:rPr>
  </w:style>
  <w:style w:type="character" w:customStyle="1" w:styleId="14">
    <w:name w:val="כותרת [א.] צד תו1"/>
    <w:basedOn w:val="a4"/>
    <w:rsid w:val="0098608E"/>
    <w:rPr>
      <w:rFonts w:ascii="Arial" w:eastAsia="Times New Roman" w:hAnsi="Arial" w:cs="Narkisim"/>
      <w:b/>
      <w:bCs/>
      <w:sz w:val="24"/>
      <w:szCs w:val="24"/>
    </w:rPr>
  </w:style>
  <w:style w:type="paragraph" w:customStyle="1" w:styleId="afff1">
    <w:name w:val="מספר תיק"/>
    <w:basedOn w:val="a3"/>
    <w:link w:val="afff2"/>
    <w:qFormat/>
    <w:rsid w:val="0098608E"/>
    <w:pPr>
      <w:overflowPunct w:val="0"/>
      <w:autoSpaceDE w:val="0"/>
      <w:autoSpaceDN w:val="0"/>
      <w:adjustRightInd w:val="0"/>
      <w:spacing w:after="240" w:line="276" w:lineRule="exact"/>
      <w:jc w:val="right"/>
      <w:textAlignment w:val="baseline"/>
    </w:pPr>
    <w:rPr>
      <w:rFonts w:ascii="Times New Roman" w:eastAsia="Times New Roman" w:hAnsi="Times New Roman" w:cs="FrankRuehl"/>
      <w:sz w:val="24"/>
      <w:szCs w:val="32"/>
      <w:lang w:eastAsia="he-IL"/>
    </w:rPr>
  </w:style>
  <w:style w:type="character" w:customStyle="1" w:styleId="afff2">
    <w:name w:val="מספר תיק תו"/>
    <w:basedOn w:val="a4"/>
    <w:link w:val="afff1"/>
    <w:rsid w:val="0098608E"/>
    <w:rPr>
      <w:rFonts w:ascii="Times New Roman" w:eastAsia="Times New Roman" w:hAnsi="Times New Roman" w:cs="FrankRuehl"/>
      <w:sz w:val="24"/>
      <w:szCs w:val="32"/>
      <w:lang w:eastAsia="he-IL"/>
    </w:rPr>
  </w:style>
  <w:style w:type="paragraph" w:customStyle="1" w:styleId="afff3">
    <w:name w:val="תקציר פתיחה"/>
    <w:basedOn w:val="a3"/>
    <w:next w:val="a3"/>
    <w:link w:val="afff4"/>
    <w:qFormat/>
    <w:rsid w:val="0098608E"/>
    <w:pPr>
      <w:overflowPunct w:val="0"/>
      <w:autoSpaceDE w:val="0"/>
      <w:autoSpaceDN w:val="0"/>
      <w:adjustRightInd w:val="0"/>
      <w:spacing w:before="120" w:after="120" w:line="250" w:lineRule="exact"/>
      <w:jc w:val="both"/>
      <w:textAlignment w:val="baseline"/>
    </w:pPr>
    <w:rPr>
      <w:rFonts w:ascii="Times New Roman" w:eastAsia="Times New Roman" w:hAnsi="Times New Roman" w:cs="FrankRuehl"/>
      <w:sz w:val="20"/>
      <w:szCs w:val="24"/>
      <w:lang w:eastAsia="he-IL"/>
    </w:rPr>
  </w:style>
  <w:style w:type="character" w:customStyle="1" w:styleId="afff4">
    <w:name w:val="תקציר פתיחה תו"/>
    <w:basedOn w:val="a4"/>
    <w:link w:val="afff3"/>
    <w:rsid w:val="0098608E"/>
    <w:rPr>
      <w:rFonts w:ascii="Times New Roman" w:eastAsia="Times New Roman" w:hAnsi="Times New Roman" w:cs="FrankRuehl"/>
      <w:sz w:val="20"/>
      <w:szCs w:val="24"/>
      <w:lang w:eastAsia="he-IL"/>
    </w:rPr>
  </w:style>
  <w:style w:type="paragraph" w:customStyle="1" w:styleId="afff5">
    <w:name w:val="מסקנות [א.] תוכן"/>
    <w:basedOn w:val="a3"/>
    <w:link w:val="afff6"/>
    <w:qFormat/>
    <w:rsid w:val="0098608E"/>
    <w:pPr>
      <w:tabs>
        <w:tab w:val="left" w:pos="340"/>
        <w:tab w:val="left" w:pos="680"/>
      </w:tabs>
      <w:overflowPunct w:val="0"/>
      <w:autoSpaceDE w:val="0"/>
      <w:autoSpaceDN w:val="0"/>
      <w:adjustRightInd w:val="0"/>
      <w:spacing w:before="120" w:after="120" w:line="250" w:lineRule="exact"/>
      <w:ind w:left="340" w:hanging="340"/>
      <w:jc w:val="both"/>
      <w:textAlignment w:val="baseline"/>
    </w:pPr>
    <w:rPr>
      <w:rFonts w:ascii="Times New Roman" w:eastAsia="Times New Roman" w:hAnsi="Times New Roman" w:cs="FrankRuehl"/>
      <w:sz w:val="20"/>
      <w:szCs w:val="24"/>
      <w:lang w:eastAsia="he-IL"/>
    </w:rPr>
  </w:style>
  <w:style w:type="character" w:customStyle="1" w:styleId="afff6">
    <w:name w:val="מסקנות [א.] תוכן תו"/>
    <w:basedOn w:val="a4"/>
    <w:link w:val="afff5"/>
    <w:rsid w:val="0098608E"/>
    <w:rPr>
      <w:rFonts w:ascii="Times New Roman" w:eastAsia="Times New Roman" w:hAnsi="Times New Roman" w:cs="FrankRuehl"/>
      <w:sz w:val="20"/>
      <w:szCs w:val="24"/>
      <w:lang w:eastAsia="he-IL"/>
    </w:rPr>
  </w:style>
  <w:style w:type="paragraph" w:customStyle="1" w:styleId="15">
    <w:name w:val="מסקנות [א.(1)] תוכן"/>
    <w:basedOn w:val="a3"/>
    <w:link w:val="16"/>
    <w:qFormat/>
    <w:rsid w:val="0098608E"/>
    <w:pPr>
      <w:tabs>
        <w:tab w:val="left" w:pos="340"/>
        <w:tab w:val="left" w:pos="680"/>
      </w:tabs>
      <w:overflowPunct w:val="0"/>
      <w:autoSpaceDE w:val="0"/>
      <w:autoSpaceDN w:val="0"/>
      <w:adjustRightInd w:val="0"/>
      <w:spacing w:before="120" w:after="120" w:line="250" w:lineRule="exact"/>
      <w:ind w:left="680" w:hanging="680"/>
      <w:jc w:val="both"/>
      <w:textAlignment w:val="baseline"/>
    </w:pPr>
    <w:rPr>
      <w:rFonts w:ascii="Times New Roman" w:eastAsia="Times New Roman" w:hAnsi="Times New Roman" w:cs="FrankRuehl"/>
      <w:sz w:val="24"/>
      <w:szCs w:val="24"/>
      <w:lang w:eastAsia="he-IL"/>
    </w:rPr>
  </w:style>
  <w:style w:type="character" w:customStyle="1" w:styleId="16">
    <w:name w:val="מסקנות [א.(1)] תוכן תו"/>
    <w:basedOn w:val="a4"/>
    <w:link w:val="15"/>
    <w:rsid w:val="0098608E"/>
    <w:rPr>
      <w:rFonts w:ascii="Times New Roman" w:eastAsia="Times New Roman" w:hAnsi="Times New Roman" w:cs="FrankRuehl"/>
      <w:sz w:val="24"/>
      <w:szCs w:val="24"/>
      <w:lang w:eastAsia="he-IL"/>
    </w:rPr>
  </w:style>
  <w:style w:type="paragraph" w:customStyle="1" w:styleId="a">
    <w:name w:val="כללי [א.] ממוספר"/>
    <w:basedOn w:val="a3"/>
    <w:qFormat/>
    <w:rsid w:val="0098608E"/>
    <w:pPr>
      <w:numPr>
        <w:numId w:val="22"/>
      </w:numPr>
      <w:overflowPunct w:val="0"/>
      <w:autoSpaceDE w:val="0"/>
      <w:autoSpaceDN w:val="0"/>
      <w:adjustRightInd w:val="0"/>
      <w:spacing w:after="120"/>
      <w:ind w:left="794" w:hanging="397"/>
      <w:jc w:val="both"/>
      <w:textAlignment w:val="baseline"/>
    </w:pPr>
    <w:rPr>
      <w:rFonts w:ascii="Times New Roman" w:eastAsia="Times New Roman" w:hAnsi="Times New Roman" w:cs="FrankRuehl"/>
      <w:kern w:val="28"/>
      <w:szCs w:val="26"/>
    </w:rPr>
  </w:style>
  <w:style w:type="paragraph" w:customStyle="1" w:styleId="afff7">
    <w:name w:val="ראשי פרקים"/>
    <w:basedOn w:val="afff3"/>
    <w:link w:val="afff8"/>
    <w:qFormat/>
    <w:rsid w:val="0098608E"/>
    <w:pPr>
      <w:tabs>
        <w:tab w:val="center" w:pos="3289"/>
      </w:tabs>
      <w:spacing w:before="240" w:after="240" w:line="360" w:lineRule="auto"/>
    </w:pPr>
    <w:rPr>
      <w:rFonts w:cs="Narkisim"/>
    </w:rPr>
  </w:style>
  <w:style w:type="character" w:customStyle="1" w:styleId="afff8">
    <w:name w:val="ראשי פרקים תו"/>
    <w:basedOn w:val="afff4"/>
    <w:link w:val="afff7"/>
    <w:rsid w:val="0098608E"/>
    <w:rPr>
      <w:rFonts w:ascii="Times New Roman" w:eastAsia="Times New Roman" w:hAnsi="Times New Roman" w:cs="Narkisim"/>
      <w:sz w:val="20"/>
      <w:szCs w:val="24"/>
      <w:lang w:eastAsia="he-IL"/>
    </w:rPr>
  </w:style>
  <w:style w:type="paragraph" w:styleId="afff9">
    <w:name w:val="Balloon Text"/>
    <w:basedOn w:val="a3"/>
    <w:link w:val="afffa"/>
    <w:uiPriority w:val="99"/>
    <w:semiHidden/>
    <w:unhideWhenUsed/>
    <w:rsid w:val="0098608E"/>
    <w:pPr>
      <w:spacing w:after="0" w:line="240" w:lineRule="auto"/>
    </w:pPr>
    <w:rPr>
      <w:rFonts w:ascii="Tahoma" w:eastAsiaTheme="minorHAnsi" w:hAnsi="Tahoma" w:cs="Tahoma"/>
      <w:sz w:val="16"/>
      <w:szCs w:val="16"/>
    </w:rPr>
  </w:style>
  <w:style w:type="character" w:customStyle="1" w:styleId="afffa">
    <w:name w:val="טקסט בלונים תו"/>
    <w:basedOn w:val="a4"/>
    <w:link w:val="afff9"/>
    <w:uiPriority w:val="99"/>
    <w:semiHidden/>
    <w:rsid w:val="0098608E"/>
    <w:rPr>
      <w:rFonts w:ascii="Tahoma" w:hAnsi="Tahoma" w:cs="Tahoma"/>
      <w:sz w:val="16"/>
      <w:szCs w:val="16"/>
    </w:rPr>
  </w:style>
  <w:style w:type="character" w:styleId="afffb">
    <w:name w:val="Placeholder Text"/>
    <w:basedOn w:val="a4"/>
    <w:uiPriority w:val="99"/>
    <w:semiHidden/>
    <w:rsid w:val="0098608E"/>
    <w:rPr>
      <w:color w:val="808080"/>
    </w:rPr>
  </w:style>
  <w:style w:type="paragraph" w:styleId="NormalWeb">
    <w:name w:val="Normal (Web)"/>
    <w:basedOn w:val="a3"/>
    <w:uiPriority w:val="99"/>
    <w:semiHidden/>
    <w:unhideWhenUsed/>
    <w:rsid w:val="0098608E"/>
    <w:pPr>
      <w:bidi w:val="0"/>
      <w:spacing w:before="100" w:beforeAutospacing="1" w:after="100" w:afterAutospacing="1" w:line="240" w:lineRule="auto"/>
      <w:jc w:val="both"/>
    </w:pPr>
    <w:rPr>
      <w:rFonts w:ascii="Times New Roman" w:eastAsia="Times New Roman" w:hAnsi="Times New Roman" w:cs="Times New Roman"/>
      <w:sz w:val="40"/>
      <w:szCs w:val="40"/>
    </w:rPr>
  </w:style>
  <w:style w:type="paragraph" w:customStyle="1" w:styleId="afffc">
    <w:name w:val="פרדס"/>
    <w:basedOn w:val="a3"/>
    <w:link w:val="afffd"/>
    <w:qFormat/>
    <w:rsid w:val="0098608E"/>
    <w:pPr>
      <w:spacing w:after="0" w:line="360" w:lineRule="auto"/>
      <w:jc w:val="both"/>
    </w:pPr>
    <w:rPr>
      <w:rFonts w:cs="FrankRuehl"/>
      <w:sz w:val="28"/>
      <w:szCs w:val="28"/>
    </w:rPr>
  </w:style>
  <w:style w:type="character" w:customStyle="1" w:styleId="afffd">
    <w:name w:val="פרדס תו"/>
    <w:basedOn w:val="a4"/>
    <w:link w:val="afffc"/>
    <w:rsid w:val="0098608E"/>
    <w:rPr>
      <w:rFonts w:ascii="Calibri" w:eastAsia="Calibri" w:hAnsi="Calibri" w:cs="FrankRuehl"/>
      <w:sz w:val="28"/>
      <w:szCs w:val="28"/>
    </w:rPr>
  </w:style>
  <w:style w:type="table" w:customStyle="1" w:styleId="17">
    <w:name w:val="רשת טבלה1"/>
    <w:basedOn w:val="a5"/>
    <w:next w:val="a7"/>
    <w:uiPriority w:val="59"/>
    <w:rsid w:val="0098608E"/>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29CDDEB9ED5D4FC0B44968F53B8F36B5"/>
        <w:category>
          <w:name w:val="כללי"/>
          <w:gallery w:val="placeholder"/>
        </w:category>
        <w:types>
          <w:type w:val="bbPlcHdr"/>
        </w:types>
        <w:behaviors>
          <w:behavior w:val="content"/>
        </w:behaviors>
        <w:guid w:val="{D75E8C2B-15DE-4223-984A-04B5F95175FE}"/>
      </w:docPartPr>
      <w:docPartBody>
        <w:p w:rsidR="00A250FD" w:rsidRDefault="00A250FD" w:rsidP="00A250FD">
          <w:pPr>
            <w:pStyle w:val="29CDDEB9ED5D4FC0B44968F53B8F36B5"/>
          </w:pPr>
          <w:r w:rsidRPr="003D528A">
            <w:rPr>
              <w:rStyle w:val="a3"/>
            </w:rPr>
            <w:t>Click here to enter text.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A250FD"/>
    <w:rsid w:val="001C4A17"/>
    <w:rsid w:val="00301173"/>
    <w:rsid w:val="00A250FD"/>
    <w:rsid w:val="00E52319"/>
  </w:rsids>
  <m:mathPr>
    <m:mathFont m:val="Cambria Math"/>
    <m:brkBin m:val="before"/>
    <m:brkBinSub m:val="--"/>
    <m:smallFrac/>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1173"/>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8623DB173EE41AA95A6D79FE43BCB40">
    <w:name w:val="78623DB173EE41AA95A6D79FE43BCB40"/>
    <w:rsid w:val="00A250FD"/>
    <w:pPr>
      <w:bidi/>
    </w:pPr>
  </w:style>
  <w:style w:type="character" w:styleId="a3">
    <w:name w:val="Placeholder Text"/>
    <w:basedOn w:val="a0"/>
    <w:uiPriority w:val="99"/>
    <w:semiHidden/>
    <w:rsid w:val="00A250FD"/>
    <w:rPr>
      <w:color w:val="808080"/>
    </w:rPr>
  </w:style>
  <w:style w:type="paragraph" w:customStyle="1" w:styleId="003F6FAC2ACA41AC9E9D01461421ACEB">
    <w:name w:val="003F6FAC2ACA41AC9E9D01461421ACEB"/>
    <w:rsid w:val="00A250FD"/>
    <w:pPr>
      <w:bidi/>
    </w:pPr>
  </w:style>
  <w:style w:type="paragraph" w:customStyle="1" w:styleId="4E2B0185B16145CBBA57CBE338E3DF82">
    <w:name w:val="4E2B0185B16145CBBA57CBE338E3DF82"/>
    <w:rsid w:val="00A250FD"/>
    <w:pPr>
      <w:bidi/>
    </w:pPr>
  </w:style>
  <w:style w:type="paragraph" w:customStyle="1" w:styleId="6B2E2D5AEE574CECB3AAC41E943254A7">
    <w:name w:val="6B2E2D5AEE574CECB3AAC41E943254A7"/>
    <w:rsid w:val="00A250FD"/>
    <w:pPr>
      <w:bidi/>
    </w:pPr>
  </w:style>
  <w:style w:type="paragraph" w:customStyle="1" w:styleId="BFFE9E49DE2D477C8B6ED889684CC10F">
    <w:name w:val="BFFE9E49DE2D477C8B6ED889684CC10F"/>
    <w:rsid w:val="00A250FD"/>
    <w:pPr>
      <w:bidi/>
    </w:pPr>
  </w:style>
  <w:style w:type="paragraph" w:customStyle="1" w:styleId="F13E6D3EBCA345B88A94D20535F44203">
    <w:name w:val="F13E6D3EBCA345B88A94D20535F44203"/>
    <w:rsid w:val="00A250FD"/>
    <w:pPr>
      <w:bidi/>
    </w:pPr>
  </w:style>
  <w:style w:type="paragraph" w:customStyle="1" w:styleId="04565C47A683419E999F824856E1E982">
    <w:name w:val="04565C47A683419E999F824856E1E982"/>
    <w:rsid w:val="00A250FD"/>
    <w:pPr>
      <w:bidi/>
    </w:pPr>
  </w:style>
  <w:style w:type="paragraph" w:customStyle="1" w:styleId="A1D8C38226FF4DECAFC8937B596F2B7F">
    <w:name w:val="A1D8C38226FF4DECAFC8937B596F2B7F"/>
    <w:rsid w:val="00A250FD"/>
    <w:pPr>
      <w:bidi/>
    </w:pPr>
  </w:style>
  <w:style w:type="paragraph" w:customStyle="1" w:styleId="DF7337B91537452283F08E8BA2E48FFA">
    <w:name w:val="DF7337B91537452283F08E8BA2E48FFA"/>
    <w:rsid w:val="00A250FD"/>
    <w:pPr>
      <w:bidi/>
    </w:pPr>
  </w:style>
  <w:style w:type="paragraph" w:customStyle="1" w:styleId="A4DD4ABAF8494A8BACB8BE66E298DFCF">
    <w:name w:val="A4DD4ABAF8494A8BACB8BE66E298DFCF"/>
    <w:rsid w:val="00A250FD"/>
    <w:pPr>
      <w:bidi/>
    </w:pPr>
  </w:style>
  <w:style w:type="paragraph" w:customStyle="1" w:styleId="EC1BB78F86C54F03838607CA78699065">
    <w:name w:val="EC1BB78F86C54F03838607CA78699065"/>
    <w:rsid w:val="00A250FD"/>
    <w:pPr>
      <w:bidi/>
    </w:pPr>
  </w:style>
  <w:style w:type="paragraph" w:customStyle="1" w:styleId="B34818423D044B729F7B3A3990C0EBC4">
    <w:name w:val="B34818423D044B729F7B3A3990C0EBC4"/>
    <w:rsid w:val="00A250FD"/>
    <w:pPr>
      <w:bidi/>
    </w:pPr>
  </w:style>
  <w:style w:type="paragraph" w:customStyle="1" w:styleId="AA2EE48B3DAF4813954AAE109F33CD8A">
    <w:name w:val="AA2EE48B3DAF4813954AAE109F33CD8A"/>
    <w:rsid w:val="00A250FD"/>
    <w:pPr>
      <w:bidi/>
    </w:pPr>
  </w:style>
  <w:style w:type="paragraph" w:customStyle="1" w:styleId="19BEF6A4283C46E383467E1A0814C931">
    <w:name w:val="19BEF6A4283C46E383467E1A0814C931"/>
    <w:rsid w:val="00A250FD"/>
    <w:pPr>
      <w:bidi/>
    </w:pPr>
  </w:style>
  <w:style w:type="paragraph" w:customStyle="1" w:styleId="0D2E76C53BE24798AF5D925114B9E7E7">
    <w:name w:val="0D2E76C53BE24798AF5D925114B9E7E7"/>
    <w:rsid w:val="00A250FD"/>
    <w:pPr>
      <w:bidi/>
    </w:pPr>
  </w:style>
  <w:style w:type="paragraph" w:customStyle="1" w:styleId="FA8FCDF9733C49DE92D715BBEE813897">
    <w:name w:val="FA8FCDF9733C49DE92D715BBEE813897"/>
    <w:rsid w:val="00A250FD"/>
    <w:pPr>
      <w:bidi/>
    </w:pPr>
  </w:style>
  <w:style w:type="paragraph" w:customStyle="1" w:styleId="0B0C7E9A5747428D8579844E73A8F65C">
    <w:name w:val="0B0C7E9A5747428D8579844E73A8F65C"/>
    <w:rsid w:val="00A250FD"/>
    <w:pPr>
      <w:bidi/>
    </w:pPr>
  </w:style>
  <w:style w:type="paragraph" w:customStyle="1" w:styleId="2118D0F4573549D8A26A5A30610073CA">
    <w:name w:val="2118D0F4573549D8A26A5A30610073CA"/>
    <w:rsid w:val="00A250FD"/>
    <w:pPr>
      <w:bidi/>
    </w:pPr>
  </w:style>
  <w:style w:type="paragraph" w:customStyle="1" w:styleId="105AADC6F52E4F31922CF623F35BCE9B">
    <w:name w:val="105AADC6F52E4F31922CF623F35BCE9B"/>
    <w:rsid w:val="00A250FD"/>
    <w:pPr>
      <w:bidi/>
    </w:pPr>
  </w:style>
  <w:style w:type="paragraph" w:customStyle="1" w:styleId="4A5E0C226CC34637859065DDA34EDB66">
    <w:name w:val="4A5E0C226CC34637859065DDA34EDB66"/>
    <w:rsid w:val="00A250FD"/>
    <w:pPr>
      <w:bidi/>
    </w:pPr>
  </w:style>
  <w:style w:type="paragraph" w:customStyle="1" w:styleId="1E8E8F8B38694830A20DBC134F12804C">
    <w:name w:val="1E8E8F8B38694830A20DBC134F12804C"/>
    <w:rsid w:val="00A250FD"/>
    <w:pPr>
      <w:bidi/>
    </w:pPr>
  </w:style>
  <w:style w:type="paragraph" w:customStyle="1" w:styleId="FF441A3101CF4B9F99202C1D704EE823">
    <w:name w:val="FF441A3101CF4B9F99202C1D704EE823"/>
    <w:rsid w:val="00A250FD"/>
    <w:pPr>
      <w:bidi/>
    </w:pPr>
  </w:style>
  <w:style w:type="paragraph" w:customStyle="1" w:styleId="6F064553115B4BF4B0520F59BDFEF281">
    <w:name w:val="6F064553115B4BF4B0520F59BDFEF281"/>
    <w:rsid w:val="00A250FD"/>
    <w:pPr>
      <w:bidi/>
    </w:pPr>
  </w:style>
  <w:style w:type="paragraph" w:customStyle="1" w:styleId="F7D56C70C8144B999FA23F7A763E7517">
    <w:name w:val="F7D56C70C8144B999FA23F7A763E7517"/>
    <w:rsid w:val="00A250FD"/>
    <w:pPr>
      <w:bidi/>
    </w:pPr>
  </w:style>
  <w:style w:type="paragraph" w:customStyle="1" w:styleId="19F65D006BCC40A4B823EA7A90E728CD">
    <w:name w:val="19F65D006BCC40A4B823EA7A90E728CD"/>
    <w:rsid w:val="00A250FD"/>
    <w:pPr>
      <w:bidi/>
    </w:pPr>
  </w:style>
  <w:style w:type="paragraph" w:customStyle="1" w:styleId="0738EA0853124DD09A86B5338308E9D7">
    <w:name w:val="0738EA0853124DD09A86B5338308E9D7"/>
    <w:rsid w:val="00A250FD"/>
    <w:pPr>
      <w:bidi/>
    </w:pPr>
  </w:style>
  <w:style w:type="paragraph" w:customStyle="1" w:styleId="2F494B9D87CD4469BD7435904B7F0775">
    <w:name w:val="2F494B9D87CD4469BD7435904B7F0775"/>
    <w:rsid w:val="00A250FD"/>
    <w:pPr>
      <w:bidi/>
    </w:pPr>
  </w:style>
  <w:style w:type="paragraph" w:customStyle="1" w:styleId="29CDDEB9ED5D4FC0B44968F53B8F36B5">
    <w:name w:val="29CDDEB9ED5D4FC0B44968F53B8F36B5"/>
    <w:rsid w:val="00A250FD"/>
    <w:pPr>
      <w:bidi/>
    </w:pPr>
  </w:style>
  <w:style w:type="paragraph" w:customStyle="1" w:styleId="1934EF89D95541E599DB19836C7AB7DA">
    <w:name w:val="1934EF89D95541E599DB19836C7AB7DA"/>
    <w:rsid w:val="00A250FD"/>
    <w:pPr>
      <w:bidi/>
    </w:pPr>
  </w:style>
  <w:style w:type="paragraph" w:customStyle="1" w:styleId="DC4C397B27714A34B7B1309ED86FF217">
    <w:name w:val="DC4C397B27714A34B7B1309ED86FF217"/>
    <w:rsid w:val="00A250FD"/>
    <w:pPr>
      <w:bidi/>
    </w:pPr>
  </w:style>
  <w:style w:type="paragraph" w:customStyle="1" w:styleId="6A7CF14C44F646A4B70EA6C4F37F95B2">
    <w:name w:val="6A7CF14C44F646A4B70EA6C4F37F95B2"/>
    <w:rsid w:val="00A250FD"/>
    <w:pPr>
      <w:bidi/>
    </w:pPr>
  </w:style>
  <w:style w:type="paragraph" w:customStyle="1" w:styleId="418A9D301CBA45AF8CBE195F6372C4D0">
    <w:name w:val="418A9D301CBA45AF8CBE195F6372C4D0"/>
    <w:rsid w:val="00A250FD"/>
    <w:pPr>
      <w:bidi/>
    </w:pPr>
  </w:style>
  <w:style w:type="paragraph" w:customStyle="1" w:styleId="6B3699917FD14B1DB9FCBFDEF559C28E">
    <w:name w:val="6B3699917FD14B1DB9FCBFDEF559C28E"/>
    <w:rsid w:val="00A250FD"/>
    <w:pPr>
      <w:bidi/>
    </w:pPr>
  </w:style>
  <w:style w:type="paragraph" w:customStyle="1" w:styleId="6001EE81A40A4963ABD3EDEDA8A48390">
    <w:name w:val="6001EE81A40A4963ABD3EDEDA8A48390"/>
    <w:rsid w:val="00A250FD"/>
    <w:pPr>
      <w:bidi/>
    </w:pPr>
  </w:style>
  <w:style w:type="paragraph" w:customStyle="1" w:styleId="B25E0B45247F42FE8258E6CCC6415A26">
    <w:name w:val="B25E0B45247F42FE8258E6CCC6415A26"/>
    <w:rsid w:val="00A250FD"/>
    <w:pPr>
      <w:bidi/>
    </w:pPr>
  </w:style>
  <w:style w:type="paragraph" w:customStyle="1" w:styleId="EE9AA3EAC915493A9F8B1FE4DD877D93">
    <w:name w:val="EE9AA3EAC915493A9F8B1FE4DD877D93"/>
    <w:rsid w:val="00A250FD"/>
    <w:pPr>
      <w:bidi/>
    </w:pPr>
  </w:style>
  <w:style w:type="paragraph" w:customStyle="1" w:styleId="68544AAFDA5944D2AD48896833210E97">
    <w:name w:val="68544AAFDA5944D2AD48896833210E97"/>
    <w:rsid w:val="00A250FD"/>
    <w:pPr>
      <w:bidi/>
    </w:pPr>
  </w:style>
  <w:style w:type="paragraph" w:customStyle="1" w:styleId="554112AF42FB4E2984FF70E6B1079376">
    <w:name w:val="554112AF42FB4E2984FF70E6B1079376"/>
    <w:rsid w:val="00A250FD"/>
    <w:pPr>
      <w:bidi/>
    </w:pPr>
  </w:style>
  <w:style w:type="paragraph" w:customStyle="1" w:styleId="95EF55F939DF4D178859B47468663270">
    <w:name w:val="95EF55F939DF4D178859B47468663270"/>
    <w:rsid w:val="00A250FD"/>
    <w:pPr>
      <w:bidi/>
    </w:p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12</Pages>
  <Words>4435</Words>
  <Characters>22179</Characters>
  <Application>Microsoft Office Word</Application>
  <DocSecurity>0</DocSecurity>
  <Lines>184</Lines>
  <Paragraphs>53</Paragraphs>
  <ScaleCrop>false</ScaleCrop>
  <HeadingPairs>
    <vt:vector size="2" baseType="variant">
      <vt:variant>
        <vt:lpstr>שם</vt:lpstr>
      </vt:variant>
      <vt:variant>
        <vt:i4>1</vt:i4>
      </vt:variant>
    </vt:vector>
  </HeadingPairs>
  <TitlesOfParts>
    <vt:vector size="1" baseType="lpstr">
      <vt:lpstr>מזונות ילדים</vt:lpstr>
    </vt:vector>
  </TitlesOfParts>
  <Company>RBC</Company>
  <LinksUpToDate>false</LinksUpToDate>
  <CharactersWithSpaces>26561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מזונות ילדים</dc:title>
  <dc:creator>הרב ישי בוכריס אב"ד, הרב דניאל כ"ץ, הרב עודד מיכמן</dc:creator>
  <cp:keywords>מזונות ילדים, משמורת משותפת, תקנת הרבנות הראשית, חובת האם במזונות ילדים</cp:keywords>
  <cp:lastModifiedBy>Windows User</cp:lastModifiedBy>
  <cp:revision>2</cp:revision>
  <dcterms:created xsi:type="dcterms:W3CDTF">2019-05-06T08:46:00Z</dcterms:created>
  <dcterms:modified xsi:type="dcterms:W3CDTF">2019-05-06T08:46:00Z</dcterms:modified>
</cp:coreProperties>
</file>