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40" w:rsidRPr="00D93CE5" w:rsidRDefault="006E7140" w:rsidP="003D0A52">
      <w:pPr>
        <w:pStyle w:val="ae"/>
      </w:pPr>
      <w:r w:rsidRPr="00D93CE5">
        <w:rPr>
          <w:rFonts w:hint="cs"/>
          <w:rtl/>
        </w:rPr>
        <w:t>ב"ה</w:t>
      </w:r>
    </w:p>
    <w:p w:rsidR="006E7140" w:rsidRPr="003D0A52" w:rsidRDefault="006E7140" w:rsidP="00617429">
      <w:pPr>
        <w:pStyle w:val="aff9"/>
        <w:rPr>
          <w:rtl/>
        </w:rPr>
      </w:pPr>
      <w:r w:rsidRPr="003D0A52">
        <w:rPr>
          <w:rFonts w:hint="cs"/>
          <w:rtl/>
        </w:rPr>
        <w:t xml:space="preserve">תיק </w:t>
      </w:r>
      <w:r w:rsidR="00617429" w:rsidRPr="00617429">
        <w:rPr>
          <w:rtl/>
        </w:rPr>
        <w:t>1149772/</w:t>
      </w:r>
      <w:r w:rsidR="00BC4900">
        <w:rPr>
          <w:rFonts w:hint="cs"/>
          <w:rtl/>
        </w:rPr>
        <w:t>4</w:t>
      </w:r>
    </w:p>
    <w:p w:rsidR="006E7140" w:rsidRPr="003D0A52" w:rsidRDefault="006E7140" w:rsidP="00617429">
      <w:pPr>
        <w:pStyle w:val="afff3"/>
        <w:rPr>
          <w:rtl/>
        </w:rPr>
      </w:pPr>
      <w:r w:rsidRPr="003D0A52">
        <w:rPr>
          <w:rFonts w:hint="cs"/>
          <w:rtl/>
        </w:rPr>
        <w:t xml:space="preserve">בבית הדין הרבני </w:t>
      </w:r>
      <w:r w:rsidR="00617429" w:rsidRPr="00617429">
        <w:rPr>
          <w:rtl/>
        </w:rPr>
        <w:t>הגדול ירושלים</w:t>
      </w:r>
    </w:p>
    <w:p w:rsidR="006E7140" w:rsidRPr="00D93CE5" w:rsidRDefault="006E7140" w:rsidP="006E7140">
      <w:pPr>
        <w:pStyle w:val="afff4"/>
        <w:rPr>
          <w:rtl/>
        </w:rPr>
      </w:pPr>
      <w:r w:rsidRPr="00D93CE5">
        <w:rPr>
          <w:rFonts w:hint="cs"/>
          <w:rtl/>
        </w:rPr>
        <w:t>לפני כבוד הדיינים:</w:t>
      </w:r>
    </w:p>
    <w:p w:rsidR="006E7140" w:rsidRPr="00D93CE5" w:rsidRDefault="006E7140" w:rsidP="00D02377">
      <w:pPr>
        <w:pStyle w:val="aff1"/>
        <w:rPr>
          <w:rtl/>
        </w:rPr>
      </w:pPr>
      <w:r>
        <w:rPr>
          <w:rFonts w:hint="cs"/>
          <w:rtl/>
        </w:rPr>
        <w:t xml:space="preserve">הרב </w:t>
      </w:r>
      <w:r w:rsidR="00BC4900" w:rsidRPr="00BC4900">
        <w:rPr>
          <w:rtl/>
        </w:rPr>
        <w:t>אליעזר איגרא</w:t>
      </w:r>
      <w:r w:rsidR="00BC4900">
        <w:rPr>
          <w:rFonts w:hint="cs"/>
          <w:rtl/>
        </w:rPr>
        <w:t xml:space="preserve">, </w:t>
      </w:r>
      <w:r w:rsidR="00BC4900" w:rsidRPr="00BC4900">
        <w:rPr>
          <w:rtl/>
        </w:rPr>
        <w:t>הרב א' אהרן כץ</w:t>
      </w:r>
      <w:r w:rsidR="00BC4900">
        <w:rPr>
          <w:rFonts w:hint="cs"/>
          <w:rtl/>
        </w:rPr>
        <w:t xml:space="preserve">, </w:t>
      </w:r>
      <w:r w:rsidR="00BC4900" w:rsidRPr="00BC4900">
        <w:rPr>
          <w:rtl/>
        </w:rPr>
        <w:t>הרב שלמה שפירא</w:t>
      </w:r>
    </w:p>
    <w:p w:rsidR="006E7140" w:rsidRPr="00D026AD" w:rsidRDefault="00D026AD" w:rsidP="00D026AD">
      <w:pPr>
        <w:pStyle w:val="affb"/>
        <w:rPr>
          <w:sz w:val="22"/>
          <w:szCs w:val="28"/>
          <w:rtl/>
        </w:rPr>
      </w:pPr>
      <w:r>
        <w:rPr>
          <w:rFonts w:hint="cs"/>
          <w:rtl/>
        </w:rPr>
        <w:t>המערער</w:t>
      </w:r>
      <w:r w:rsidR="006E7140" w:rsidRPr="003D0A52">
        <w:rPr>
          <w:rFonts w:hint="cs"/>
          <w:rtl/>
        </w:rPr>
        <w:t>:</w:t>
      </w:r>
      <w:r w:rsidR="006E7140" w:rsidRPr="003D0A52">
        <w:rPr>
          <w:rtl/>
        </w:rPr>
        <w:tab/>
      </w:r>
      <w:r w:rsidR="006E7140" w:rsidRPr="003D0A52">
        <w:rPr>
          <w:rFonts w:hint="cs"/>
          <w:rtl/>
        </w:rPr>
        <w:t>פלוני</w:t>
      </w:r>
      <w:r w:rsidR="006E7140" w:rsidRPr="003D0A52">
        <w:rPr>
          <w:rtl/>
        </w:rPr>
        <w:tab/>
      </w:r>
      <w:r w:rsidR="006E7140" w:rsidRPr="003D0A52">
        <w:rPr>
          <w:sz w:val="22"/>
          <w:szCs w:val="28"/>
          <w:rtl/>
        </w:rPr>
        <w:t>(</w:t>
      </w:r>
      <w:r w:rsidR="006E7140" w:rsidRPr="003D0A52">
        <w:rPr>
          <w:rFonts w:hint="cs"/>
          <w:sz w:val="22"/>
          <w:szCs w:val="28"/>
          <w:rtl/>
        </w:rPr>
        <w:t>ע"י ב"כ עו"</w:t>
      </w:r>
      <w:r>
        <w:rPr>
          <w:rFonts w:hint="cs"/>
          <w:sz w:val="22"/>
          <w:szCs w:val="28"/>
          <w:rtl/>
        </w:rPr>
        <w:t>ד</w:t>
      </w:r>
      <w:r w:rsidRPr="00D026AD">
        <w:rPr>
          <w:sz w:val="22"/>
          <w:szCs w:val="28"/>
          <w:rtl/>
        </w:rPr>
        <w:t>אברהם ריבקיןועו"ד אריאל שריג</w:t>
      </w:r>
      <w:r w:rsidR="006E7140" w:rsidRPr="003D0A52">
        <w:rPr>
          <w:rFonts w:hint="cs"/>
          <w:sz w:val="22"/>
          <w:szCs w:val="28"/>
          <w:rtl/>
        </w:rPr>
        <w:t>)</w:t>
      </w:r>
    </w:p>
    <w:p w:rsidR="006E7140" w:rsidRPr="00AD3F81" w:rsidRDefault="006E7140" w:rsidP="003D0A52">
      <w:pPr>
        <w:pStyle w:val="affb"/>
        <w:rPr>
          <w:rtl/>
        </w:rPr>
      </w:pPr>
      <w:r w:rsidRPr="00D93CE5">
        <w:rPr>
          <w:rtl/>
        </w:rPr>
        <w:t>נגד</w:t>
      </w:r>
    </w:p>
    <w:p w:rsidR="006E7140" w:rsidRDefault="00D026AD" w:rsidP="00D026AD">
      <w:pPr>
        <w:pStyle w:val="affb"/>
        <w:rPr>
          <w:rtl/>
        </w:rPr>
      </w:pPr>
      <w:r>
        <w:rPr>
          <w:rFonts w:hint="cs"/>
          <w:rtl/>
        </w:rPr>
        <w:t>המשיבה</w:t>
      </w:r>
      <w:r w:rsidR="006E7140">
        <w:rPr>
          <w:rFonts w:hint="cs"/>
          <w:rtl/>
        </w:rPr>
        <w:t>:</w:t>
      </w:r>
      <w:r w:rsidR="006E7140">
        <w:rPr>
          <w:rtl/>
        </w:rPr>
        <w:tab/>
      </w:r>
      <w:r w:rsidR="006E7140">
        <w:rPr>
          <w:rFonts w:hint="cs"/>
          <w:rtl/>
        </w:rPr>
        <w:t>פלונית</w:t>
      </w:r>
      <w:r w:rsidR="006E7140">
        <w:rPr>
          <w:rtl/>
        </w:rPr>
        <w:tab/>
      </w:r>
      <w:r w:rsidR="006E7140" w:rsidRPr="003D0A52">
        <w:rPr>
          <w:sz w:val="22"/>
          <w:szCs w:val="28"/>
          <w:rtl/>
        </w:rPr>
        <w:t>(</w:t>
      </w:r>
      <w:r w:rsidR="006E7140" w:rsidRPr="003D0A52">
        <w:rPr>
          <w:rFonts w:hint="cs"/>
          <w:sz w:val="22"/>
          <w:szCs w:val="28"/>
          <w:rtl/>
        </w:rPr>
        <w:t xml:space="preserve">ע"י ב"כ </w:t>
      </w:r>
      <w:r w:rsidRPr="00D026AD">
        <w:rPr>
          <w:sz w:val="22"/>
          <w:szCs w:val="28"/>
          <w:rtl/>
        </w:rPr>
        <w:t>טו"ר אברהם גולובנציץ</w:t>
      </w:r>
      <w:r w:rsidR="006E7140" w:rsidRPr="003D0A52">
        <w:rPr>
          <w:rFonts w:hint="cs"/>
          <w:sz w:val="22"/>
          <w:szCs w:val="28"/>
          <w:rtl/>
        </w:rPr>
        <w:t>)</w:t>
      </w:r>
    </w:p>
    <w:p w:rsidR="006E7140" w:rsidRPr="003D0A52" w:rsidRDefault="006E7140" w:rsidP="00D02377">
      <w:pPr>
        <w:pStyle w:val="affd"/>
        <w:rPr>
          <w:rtl/>
        </w:rPr>
      </w:pPr>
      <w:r w:rsidRPr="003D0A52">
        <w:rPr>
          <w:rtl/>
        </w:rPr>
        <w:t>הנדון:</w:t>
      </w:r>
      <w:r w:rsidR="00836161">
        <w:rPr>
          <w:rFonts w:hint="cs"/>
          <w:rtl/>
        </w:rPr>
        <w:t xml:space="preserve">כריכה בתביעת גירושין שלפי סעיף </w:t>
      </w:r>
      <w:r w:rsidR="00836161" w:rsidRPr="00836161">
        <w:rPr>
          <w:rtl/>
        </w:rPr>
        <w:t>4א לחוק שיפוט בתי דין רבניים, תשי"ג – 1953</w:t>
      </w:r>
      <w:r w:rsidR="00836161">
        <w:rPr>
          <w:rFonts w:hint="cs"/>
          <w:rtl/>
        </w:rPr>
        <w:t xml:space="preserve">; סמכות במזונות "שלא אגב גירושין" </w:t>
      </w:r>
      <w:r w:rsidR="00836161">
        <w:rPr>
          <w:rtl/>
        </w:rPr>
        <w:t>–</w:t>
      </w:r>
      <w:r w:rsidR="00836161">
        <w:rPr>
          <w:rFonts w:hint="cs"/>
          <w:rtl/>
        </w:rPr>
        <w:t xml:space="preserve"> פרשנות וסייגים</w:t>
      </w:r>
    </w:p>
    <w:p w:rsidR="006E7140" w:rsidRPr="003D0A52" w:rsidRDefault="006E7140" w:rsidP="003D0A52">
      <w:pPr>
        <w:pStyle w:val="afb"/>
        <w:rPr>
          <w:rtl/>
        </w:rPr>
      </w:pPr>
      <w:r w:rsidRPr="003D0A52">
        <w:rPr>
          <w:rFonts w:hint="cs"/>
          <w:rtl/>
        </w:rPr>
        <w:t>פסק דין</w:t>
      </w:r>
    </w:p>
    <w:p w:rsidR="002876DB" w:rsidRPr="002876DB" w:rsidRDefault="002876DB" w:rsidP="00D53492">
      <w:pPr>
        <w:pStyle w:val="ae"/>
        <w:rPr>
          <w:rtl/>
        </w:rPr>
      </w:pPr>
      <w:r w:rsidRPr="002876DB">
        <w:rPr>
          <w:rFonts w:hint="cs"/>
          <w:rtl/>
        </w:rPr>
        <w:t>לפנינו ערעור על החלטת בי</w:t>
      </w:r>
      <w:r w:rsidR="00D53492">
        <w:rPr>
          <w:rFonts w:hint="cs"/>
          <w:rtl/>
        </w:rPr>
        <w:t>ת ה</w:t>
      </w:r>
      <w:r w:rsidRPr="002876DB">
        <w:rPr>
          <w:rFonts w:hint="cs"/>
          <w:rtl/>
        </w:rPr>
        <w:t>ד</w:t>
      </w:r>
      <w:r w:rsidR="00D53492">
        <w:rPr>
          <w:rFonts w:hint="cs"/>
          <w:rtl/>
        </w:rPr>
        <w:t>ין</w:t>
      </w:r>
      <w:r w:rsidRPr="002876DB">
        <w:rPr>
          <w:rFonts w:hint="cs"/>
          <w:rtl/>
        </w:rPr>
        <w:t xml:space="preserve"> בחיפה מיום כ"ג ב</w:t>
      </w:r>
      <w:r w:rsidR="00D53492">
        <w:rPr>
          <w:rFonts w:hint="cs"/>
          <w:rtl/>
        </w:rPr>
        <w:t>מר</w:t>
      </w:r>
      <w:r w:rsidRPr="002876DB">
        <w:rPr>
          <w:rFonts w:hint="cs"/>
          <w:rtl/>
        </w:rPr>
        <w:t>חש</w:t>
      </w:r>
      <w:r w:rsidR="00D53492">
        <w:rPr>
          <w:rFonts w:hint="cs"/>
          <w:rtl/>
        </w:rPr>
        <w:t>ו</w:t>
      </w:r>
      <w:r w:rsidRPr="002876DB">
        <w:rPr>
          <w:rFonts w:hint="cs"/>
          <w:rtl/>
        </w:rPr>
        <w:t>ון תשע"ח (12</w:t>
      </w:r>
      <w:r w:rsidR="00D53492">
        <w:rPr>
          <w:rFonts w:hint="cs"/>
          <w:rtl/>
        </w:rPr>
        <w:t>.11.17) ש</w:t>
      </w:r>
      <w:r w:rsidRPr="002876DB">
        <w:rPr>
          <w:rFonts w:hint="cs"/>
          <w:rtl/>
        </w:rPr>
        <w:t xml:space="preserve">חייב את האיש לתת גט לאשתו באומרו: </w:t>
      </w:r>
    </w:p>
    <w:p w:rsidR="002876DB" w:rsidRPr="002876DB" w:rsidRDefault="002876DB" w:rsidP="00D53492">
      <w:pPr>
        <w:pStyle w:val="aa"/>
        <w:rPr>
          <w:rtl/>
          <w:lang w:eastAsia="he-IL"/>
        </w:rPr>
      </w:pPr>
      <w:r w:rsidRPr="002876DB">
        <w:rPr>
          <w:rtl/>
        </w:rPr>
        <w:t xml:space="preserve">לדעת בית הדין האיש אינו ציית דינא, </w:t>
      </w:r>
      <w:r w:rsidR="00D53492">
        <w:rPr>
          <w:rFonts w:hint="cs"/>
          <w:rtl/>
        </w:rPr>
        <w:t xml:space="preserve">הוא </w:t>
      </w:r>
      <w:r w:rsidRPr="002876DB">
        <w:rPr>
          <w:rtl/>
        </w:rPr>
        <w:t xml:space="preserve">אלים ואף </w:t>
      </w:r>
      <w:r w:rsidR="00D53492">
        <w:rPr>
          <w:rFonts w:hint="cs"/>
          <w:rtl/>
        </w:rPr>
        <w:t>'</w:t>
      </w:r>
      <w:r w:rsidRPr="002876DB">
        <w:rPr>
          <w:rtl/>
        </w:rPr>
        <w:t>רועה זונות</w:t>
      </w:r>
      <w:r w:rsidR="00D53492">
        <w:rPr>
          <w:rFonts w:hint="cs"/>
          <w:rtl/>
        </w:rPr>
        <w:t>'</w:t>
      </w:r>
      <w:r w:rsidRPr="002876DB">
        <w:rPr>
          <w:rtl/>
        </w:rPr>
        <w:t xml:space="preserve"> כפי שיבואר להלן. כמו כן ישנו חשש גדול לעגינות הא</w:t>
      </w:r>
      <w:r w:rsidR="00D53492">
        <w:rPr>
          <w:rFonts w:hint="cs"/>
          <w:rtl/>
        </w:rPr>
        <w:t>י</w:t>
      </w:r>
      <w:r w:rsidRPr="002876DB">
        <w:rPr>
          <w:rtl/>
        </w:rPr>
        <w:t>שה. משכך בית הדין קובע שהסמכות נתונה לבית הדין הרבני לדון בכל תביעות הא</w:t>
      </w:r>
      <w:r w:rsidR="00D53492">
        <w:rPr>
          <w:rFonts w:hint="cs"/>
          <w:rtl/>
        </w:rPr>
        <w:t>י</w:t>
      </w:r>
      <w:r w:rsidRPr="002876DB">
        <w:rPr>
          <w:rtl/>
        </w:rPr>
        <w:t>שה</w:t>
      </w:r>
      <w:r w:rsidR="00D53492">
        <w:rPr>
          <w:rFonts w:hint="cs"/>
          <w:rtl/>
        </w:rPr>
        <w:t xml:space="preserve"> [</w:t>
      </w:r>
      <w:r w:rsidRPr="002876DB">
        <w:rPr>
          <w:rtl/>
        </w:rPr>
        <w:t>...</w:t>
      </w:r>
      <w:r w:rsidR="00D53492">
        <w:rPr>
          <w:rFonts w:hint="cs"/>
          <w:rtl/>
          <w:lang w:eastAsia="he-IL"/>
        </w:rPr>
        <w:t>]</w:t>
      </w:r>
    </w:p>
    <w:p w:rsidR="002876DB" w:rsidRPr="002876DB" w:rsidRDefault="002876DB" w:rsidP="00D53492">
      <w:pPr>
        <w:pStyle w:val="-0"/>
        <w:rPr>
          <w:rFonts w:eastAsia="Calibri"/>
          <w:rtl/>
          <w:lang w:eastAsia="he-IL"/>
        </w:rPr>
      </w:pPr>
      <w:r w:rsidRPr="002876DB">
        <w:rPr>
          <w:rFonts w:eastAsia="Calibri" w:hint="cs"/>
          <w:rtl/>
          <w:lang w:eastAsia="he-IL"/>
        </w:rPr>
        <w:t>תמצית העובדות הנצרכות לעניין</w:t>
      </w:r>
    </w:p>
    <w:p w:rsidR="002876DB" w:rsidRPr="002876DB" w:rsidRDefault="002876DB" w:rsidP="000255C8">
      <w:pPr>
        <w:pStyle w:val="ae"/>
        <w:rPr>
          <w:rFonts w:eastAsia="Calibri"/>
          <w:rtl/>
        </w:rPr>
      </w:pPr>
      <w:r w:rsidRPr="002876DB">
        <w:rPr>
          <w:rFonts w:eastAsia="Calibri" w:hint="cs"/>
          <w:rtl/>
        </w:rPr>
        <w:t xml:space="preserve">המדובר בבני זוג אשר נישאו כדמו"י בשנת 1991 בארץ, האיש אינו אזרח או תושב ישראלי והאישה אזרחית ישראלית. לבני הזוג כיום ארבעה ילדים. </w:t>
      </w:r>
    </w:p>
    <w:p w:rsidR="002876DB" w:rsidRPr="002876DB" w:rsidRDefault="002876DB" w:rsidP="000255C8">
      <w:pPr>
        <w:pStyle w:val="af"/>
        <w:rPr>
          <w:rtl/>
          <w:lang w:eastAsia="he-IL"/>
        </w:rPr>
      </w:pPr>
      <w:r w:rsidRPr="002876DB">
        <w:rPr>
          <w:rFonts w:hint="cs"/>
          <w:rtl/>
          <w:lang w:eastAsia="he-IL"/>
        </w:rPr>
        <w:t xml:space="preserve">הורי הצדדים מתגוררים בישראל אולם המערער קבע את מושבו בבלגיה, ולשם הביא את </w:t>
      </w:r>
      <w:r w:rsidR="000255C8">
        <w:rPr>
          <w:rFonts w:hint="cs"/>
          <w:rtl/>
          <w:lang w:eastAsia="he-IL"/>
        </w:rPr>
        <w:t>ה</w:t>
      </w:r>
      <w:r w:rsidRPr="002876DB">
        <w:rPr>
          <w:rFonts w:hint="cs"/>
          <w:rtl/>
          <w:lang w:eastAsia="he-IL"/>
        </w:rPr>
        <w:t>אישה מי</w:t>
      </w:r>
      <w:r w:rsidR="000255C8">
        <w:rPr>
          <w:rFonts w:hint="cs"/>
          <w:rtl/>
          <w:lang w:eastAsia="he-IL"/>
        </w:rPr>
        <w:t>י</w:t>
      </w:r>
      <w:r w:rsidRPr="002876DB">
        <w:rPr>
          <w:rFonts w:hint="cs"/>
          <w:rtl/>
          <w:lang w:eastAsia="he-IL"/>
        </w:rPr>
        <w:t>ד לאחר נישואיהם.</w:t>
      </w:r>
    </w:p>
    <w:p w:rsidR="002876DB" w:rsidRPr="002876DB" w:rsidRDefault="002876DB" w:rsidP="000255C8">
      <w:pPr>
        <w:pStyle w:val="af"/>
        <w:rPr>
          <w:rtl/>
          <w:lang w:eastAsia="he-IL"/>
        </w:rPr>
      </w:pPr>
      <w:r w:rsidRPr="002876DB">
        <w:rPr>
          <w:rFonts w:hint="cs"/>
          <w:rtl/>
          <w:lang w:eastAsia="he-IL"/>
        </w:rPr>
        <w:t>הצדדים הגיעו לחוג את חג הסוכות תשע"ח בארץ, וביום</w:t>
      </w:r>
      <w:r w:rsidR="00C255BB" w:rsidRPr="00C255BB">
        <w:rPr>
          <w:rtl/>
          <w:lang w:eastAsia="he-IL"/>
        </w:rPr>
        <w:t xml:space="preserve">כ"ה </w:t>
      </w:r>
      <w:r w:rsidR="00C255BB">
        <w:rPr>
          <w:rFonts w:hint="cs"/>
          <w:rtl/>
          <w:lang w:eastAsia="he-IL"/>
        </w:rPr>
        <w:t>ב</w:t>
      </w:r>
      <w:r w:rsidR="00C255BB" w:rsidRPr="00C255BB">
        <w:rPr>
          <w:rtl/>
          <w:lang w:eastAsia="he-IL"/>
        </w:rPr>
        <w:t>תשרי תשע"ח</w:t>
      </w:r>
      <w:r w:rsidR="00C255BB">
        <w:rPr>
          <w:rFonts w:hint="cs"/>
          <w:rtl/>
          <w:lang w:eastAsia="he-IL"/>
        </w:rPr>
        <w:t>(</w:t>
      </w:r>
      <w:r w:rsidRPr="002876DB">
        <w:rPr>
          <w:rFonts w:hint="cs"/>
          <w:rtl/>
          <w:lang w:eastAsia="he-IL"/>
        </w:rPr>
        <w:t>15.10.17</w:t>
      </w:r>
      <w:r w:rsidR="00C255BB">
        <w:rPr>
          <w:rFonts w:hint="cs"/>
          <w:rtl/>
          <w:lang w:eastAsia="he-IL"/>
        </w:rPr>
        <w:t>)</w:t>
      </w:r>
      <w:r w:rsidRPr="002876DB">
        <w:rPr>
          <w:rFonts w:hint="cs"/>
          <w:rtl/>
          <w:lang w:eastAsia="he-IL"/>
        </w:rPr>
        <w:t xml:space="preserve"> הגישה האישה ל</w:t>
      </w:r>
      <w:r w:rsidR="000255C8">
        <w:rPr>
          <w:rFonts w:hint="cs"/>
          <w:rtl/>
          <w:lang w:eastAsia="he-IL"/>
        </w:rPr>
        <w:t>בית הדין</w:t>
      </w:r>
      <w:r w:rsidRPr="002876DB">
        <w:rPr>
          <w:rFonts w:hint="cs"/>
          <w:rtl/>
          <w:lang w:eastAsia="he-IL"/>
        </w:rPr>
        <w:t xml:space="preserve"> בחיפה תביעת גירושין וכרכה אליה תביעת מזונות אישה, מזונות קטינים, משמורת ילדים, חלוקת רכוש ופירוק שיתוף.</w:t>
      </w:r>
    </w:p>
    <w:p w:rsidR="00BC4900" w:rsidRDefault="000255C8" w:rsidP="00BC4900">
      <w:pPr>
        <w:pStyle w:val="af"/>
        <w:rPr>
          <w:rtl/>
          <w:lang w:eastAsia="he-IL"/>
        </w:rPr>
      </w:pPr>
      <w:r>
        <w:rPr>
          <w:rFonts w:hint="cs"/>
          <w:rtl/>
          <w:lang w:eastAsia="he-IL"/>
        </w:rPr>
        <w:t>בית הדין</w:t>
      </w:r>
      <w:r w:rsidR="002876DB" w:rsidRPr="002876DB">
        <w:rPr>
          <w:rFonts w:hint="cs"/>
          <w:rtl/>
          <w:lang w:eastAsia="he-IL"/>
        </w:rPr>
        <w:t xml:space="preserve"> האזורי</w:t>
      </w:r>
      <w:r w:rsidR="0036282A">
        <w:rPr>
          <w:rFonts w:hint="cs"/>
          <w:rtl/>
          <w:lang w:eastAsia="he-IL"/>
        </w:rPr>
        <w:t xml:space="preserve"> בהחלטתו </w:t>
      </w:r>
      <w:r w:rsidR="00BC4900">
        <w:rPr>
          <w:rFonts w:hint="cs"/>
          <w:rtl/>
          <w:lang w:eastAsia="he-IL"/>
        </w:rPr>
        <w:t xml:space="preserve">מיום </w:t>
      </w:r>
      <w:r w:rsidR="00C255BB" w:rsidRPr="00C255BB">
        <w:rPr>
          <w:rtl/>
          <w:lang w:eastAsia="he-IL"/>
        </w:rPr>
        <w:t xml:space="preserve">כ"ה </w:t>
      </w:r>
      <w:r w:rsidR="00C255BB">
        <w:rPr>
          <w:rFonts w:hint="cs"/>
          <w:rtl/>
          <w:lang w:eastAsia="he-IL"/>
        </w:rPr>
        <w:t>ב</w:t>
      </w:r>
      <w:r w:rsidR="00C255BB" w:rsidRPr="00C255BB">
        <w:rPr>
          <w:rtl/>
          <w:lang w:eastAsia="he-IL"/>
        </w:rPr>
        <w:t>תשרי תשע"ח</w:t>
      </w:r>
      <w:r w:rsidR="00C255BB">
        <w:rPr>
          <w:rFonts w:hint="cs"/>
          <w:rtl/>
          <w:lang w:eastAsia="he-IL"/>
        </w:rPr>
        <w:t>(</w:t>
      </w:r>
      <w:r w:rsidR="00C255BB" w:rsidRPr="002876DB">
        <w:rPr>
          <w:rFonts w:hint="cs"/>
          <w:rtl/>
          <w:lang w:eastAsia="he-IL"/>
        </w:rPr>
        <w:t>15.10.17</w:t>
      </w:r>
      <w:r w:rsidR="00C255BB">
        <w:rPr>
          <w:rFonts w:hint="cs"/>
          <w:rtl/>
          <w:lang w:eastAsia="he-IL"/>
        </w:rPr>
        <w:t>)</w:t>
      </w:r>
      <w:r w:rsidR="002876DB" w:rsidRPr="002876DB">
        <w:rPr>
          <w:rFonts w:hint="cs"/>
          <w:rtl/>
          <w:lang w:eastAsia="he-IL"/>
        </w:rPr>
        <w:t xml:space="preserve">עיכב את יציאתו של הבעל מן הארץ ובהחלטתו מיום </w:t>
      </w:r>
      <w:r w:rsidR="00BC4900">
        <w:rPr>
          <w:rFonts w:hint="cs"/>
          <w:rtl/>
          <w:lang w:eastAsia="he-IL"/>
        </w:rPr>
        <w:t>כ"ג במרחשוון תשע"ח (</w:t>
      </w:r>
      <w:r w:rsidR="00BC4900" w:rsidRPr="002876DB">
        <w:rPr>
          <w:rFonts w:hint="cs"/>
          <w:rtl/>
          <w:lang w:eastAsia="he-IL"/>
        </w:rPr>
        <w:t>12.11.17</w:t>
      </w:r>
      <w:r w:rsidR="00BC4900">
        <w:rPr>
          <w:rFonts w:hint="cs"/>
          <w:rtl/>
          <w:lang w:eastAsia="he-IL"/>
        </w:rPr>
        <w:t>)</w:t>
      </w:r>
      <w:r w:rsidR="002876DB" w:rsidRPr="002876DB">
        <w:rPr>
          <w:rFonts w:hint="cs"/>
          <w:rtl/>
          <w:lang w:eastAsia="he-IL"/>
        </w:rPr>
        <w:t>קבע כי הסמכות לדון בתיק נתונה ל</w:t>
      </w:r>
      <w:r>
        <w:rPr>
          <w:rFonts w:hint="cs"/>
          <w:rtl/>
          <w:lang w:eastAsia="he-IL"/>
        </w:rPr>
        <w:t>בית הדין</w:t>
      </w:r>
      <w:r w:rsidR="0036282A">
        <w:rPr>
          <w:rFonts w:hint="cs"/>
          <w:rtl/>
          <w:lang w:eastAsia="he-IL"/>
        </w:rPr>
        <w:t xml:space="preserve"> הרבני</w:t>
      </w:r>
      <w:r w:rsidR="00BC4900">
        <w:rPr>
          <w:rFonts w:hint="eastAsia"/>
          <w:rtl/>
          <w:lang w:eastAsia="he-IL"/>
        </w:rPr>
        <w:t>–</w:t>
      </w:r>
      <w:r w:rsidR="002876DB" w:rsidRPr="002876DB">
        <w:rPr>
          <w:rFonts w:hint="cs"/>
          <w:rtl/>
          <w:lang w:eastAsia="he-IL"/>
        </w:rPr>
        <w:t xml:space="preserve"> החלטה </w:t>
      </w:r>
      <w:r w:rsidR="00BC4900">
        <w:rPr>
          <w:rFonts w:hint="cs"/>
          <w:rtl/>
          <w:lang w:eastAsia="he-IL"/>
        </w:rPr>
        <w:t xml:space="preserve">זו היא </w:t>
      </w:r>
      <w:r w:rsidR="002876DB" w:rsidRPr="002876DB">
        <w:rPr>
          <w:rFonts w:hint="cs"/>
          <w:rtl/>
          <w:lang w:eastAsia="he-IL"/>
        </w:rPr>
        <w:t>נשואת ערעור זה</w:t>
      </w:r>
      <w:r w:rsidR="00BC4900">
        <w:rPr>
          <w:rFonts w:hint="cs"/>
          <w:rtl/>
          <w:lang w:eastAsia="he-IL"/>
        </w:rPr>
        <w:t>.</w:t>
      </w:r>
    </w:p>
    <w:p w:rsidR="002876DB" w:rsidRPr="002876DB" w:rsidRDefault="00BC4900" w:rsidP="00BC4900">
      <w:pPr>
        <w:pStyle w:val="af"/>
        <w:rPr>
          <w:rtl/>
          <w:lang w:eastAsia="he-IL"/>
        </w:rPr>
      </w:pPr>
      <w:r w:rsidRPr="002876DB">
        <w:rPr>
          <w:rFonts w:hint="cs"/>
          <w:rtl/>
          <w:lang w:eastAsia="he-IL"/>
        </w:rPr>
        <w:t>ה</w:t>
      </w:r>
      <w:r>
        <w:rPr>
          <w:rFonts w:hint="cs"/>
          <w:rtl/>
          <w:lang w:eastAsia="he-IL"/>
        </w:rPr>
        <w:t>איש</w:t>
      </w:r>
      <w:r w:rsidR="002876DB" w:rsidRPr="002876DB">
        <w:rPr>
          <w:rFonts w:hint="cs"/>
          <w:rtl/>
          <w:lang w:eastAsia="he-IL"/>
        </w:rPr>
        <w:t>הגיש ערעור בתאריך</w:t>
      </w:r>
      <w:r w:rsidR="00C255BB">
        <w:rPr>
          <w:rFonts w:hint="cs"/>
          <w:rtl/>
          <w:lang w:eastAsia="he-IL"/>
        </w:rPr>
        <w:t xml:space="preserve"> כ"ה במרחשוון תשע"ח (</w:t>
      </w:r>
      <w:r w:rsidR="002876DB" w:rsidRPr="002876DB">
        <w:rPr>
          <w:rFonts w:hint="cs"/>
          <w:rtl/>
          <w:lang w:eastAsia="he-IL"/>
        </w:rPr>
        <w:t>14.11.17</w:t>
      </w:r>
      <w:r w:rsidR="00C255BB">
        <w:rPr>
          <w:rFonts w:hint="cs"/>
          <w:rtl/>
          <w:lang w:eastAsia="he-IL"/>
        </w:rPr>
        <w:t>)</w:t>
      </w:r>
      <w:r w:rsidR="002876DB" w:rsidRPr="002876DB">
        <w:rPr>
          <w:rFonts w:hint="cs"/>
          <w:rtl/>
          <w:lang w:eastAsia="he-IL"/>
        </w:rPr>
        <w:t xml:space="preserve">. בערעור העלה האיש טענת חוסר סמכות מקומית של </w:t>
      </w:r>
      <w:r w:rsidR="000255C8">
        <w:rPr>
          <w:rFonts w:hint="cs"/>
          <w:rtl/>
          <w:lang w:eastAsia="he-IL"/>
        </w:rPr>
        <w:t>בית הדין</w:t>
      </w:r>
      <w:r w:rsidR="002876DB" w:rsidRPr="002876DB">
        <w:rPr>
          <w:rFonts w:hint="cs"/>
          <w:rtl/>
          <w:lang w:eastAsia="he-IL"/>
        </w:rPr>
        <w:t xml:space="preserve"> בחיפה, והלין על ש</w:t>
      </w:r>
      <w:r w:rsidR="000255C8">
        <w:rPr>
          <w:rFonts w:hint="cs"/>
          <w:rtl/>
          <w:lang w:eastAsia="he-IL"/>
        </w:rPr>
        <w:t>בית הדין</w:t>
      </w:r>
      <w:r w:rsidR="002876DB" w:rsidRPr="002876DB">
        <w:rPr>
          <w:rFonts w:hint="cs"/>
          <w:rtl/>
          <w:lang w:eastAsia="he-IL"/>
        </w:rPr>
        <w:t xml:space="preserve"> היה נחוש בדעתו לסדר גט לצדדים עד כדי כך שלשם זאת נהג, לדעתו, בחוסר הגינות כלפי האיש. כתב הערעור מסיים בבקשת הסעדים:</w:t>
      </w:r>
    </w:p>
    <w:p w:rsidR="002876DB" w:rsidRPr="002876DB" w:rsidRDefault="000255C8" w:rsidP="0036282A">
      <w:pPr>
        <w:pStyle w:val="aa"/>
        <w:rPr>
          <w:rtl/>
          <w:lang w:eastAsia="he-IL"/>
        </w:rPr>
      </w:pPr>
      <w:r>
        <w:rPr>
          <w:rtl/>
          <w:lang w:eastAsia="he-IL"/>
        </w:rPr>
        <w:t>בית הדין</w:t>
      </w:r>
      <w:r w:rsidR="0036282A">
        <w:rPr>
          <w:rtl/>
          <w:lang w:eastAsia="he-IL"/>
        </w:rPr>
        <w:t xml:space="preserve"> הגדול מתבקש אפוא</w:t>
      </w:r>
      <w:r w:rsidR="002876DB" w:rsidRPr="002876DB">
        <w:rPr>
          <w:rtl/>
          <w:lang w:eastAsia="he-IL"/>
        </w:rPr>
        <w:t xml:space="preserve"> להורות על ביטולו של פסק הדין של </w:t>
      </w:r>
      <w:r>
        <w:rPr>
          <w:rtl/>
          <w:lang w:eastAsia="he-IL"/>
        </w:rPr>
        <w:t>בית הדין</w:t>
      </w:r>
      <w:r w:rsidR="002876DB" w:rsidRPr="002876DB">
        <w:rPr>
          <w:rtl/>
          <w:lang w:eastAsia="he-IL"/>
        </w:rPr>
        <w:t xml:space="preserve"> בחיפה ולהורות על ביטול פסק הדין לגירושין.</w:t>
      </w:r>
    </w:p>
    <w:p w:rsidR="002876DB" w:rsidRPr="002876DB" w:rsidRDefault="000255C8" w:rsidP="0036282A">
      <w:pPr>
        <w:pStyle w:val="aa"/>
        <w:rPr>
          <w:rtl/>
          <w:lang w:eastAsia="he-IL"/>
        </w:rPr>
      </w:pPr>
      <w:r>
        <w:rPr>
          <w:rtl/>
          <w:lang w:eastAsia="he-IL"/>
        </w:rPr>
        <w:lastRenderedPageBreak/>
        <w:t>בית הדין</w:t>
      </w:r>
      <w:r w:rsidR="002876DB" w:rsidRPr="002876DB">
        <w:rPr>
          <w:rtl/>
          <w:lang w:eastAsia="he-IL"/>
        </w:rPr>
        <w:t xml:space="preserve"> הגדול יתבקש, כמובן מאליו, להורות על ביטולו של צו ע</w:t>
      </w:r>
      <w:r w:rsidR="0036282A">
        <w:rPr>
          <w:rtl/>
          <w:lang w:eastAsia="he-IL"/>
        </w:rPr>
        <w:t>יכוב היציאה מן הארץ נגד המערער</w:t>
      </w:r>
      <w:r w:rsidR="002876DB" w:rsidRPr="002876DB">
        <w:rPr>
          <w:rtl/>
          <w:lang w:eastAsia="he-IL"/>
        </w:rPr>
        <w:t xml:space="preserve"> ולאפשר למערער לשוב לילדיו, לביתו, לחבריו, לעבודתו ולעיסוקיו.</w:t>
      </w:r>
    </w:p>
    <w:p w:rsidR="002876DB" w:rsidRPr="002876DB" w:rsidRDefault="002876DB" w:rsidP="00960DFF">
      <w:pPr>
        <w:pStyle w:val="af"/>
        <w:rPr>
          <w:rtl/>
          <w:lang w:eastAsia="he-IL"/>
        </w:rPr>
      </w:pPr>
      <w:r w:rsidRPr="002876DB">
        <w:rPr>
          <w:rFonts w:hint="cs"/>
          <w:rtl/>
          <w:lang w:eastAsia="he-IL"/>
        </w:rPr>
        <w:t>בנוסף, ביום</w:t>
      </w:r>
      <w:r w:rsidR="00C255BB">
        <w:rPr>
          <w:rFonts w:hint="cs"/>
          <w:rtl/>
          <w:lang w:eastAsia="he-IL"/>
        </w:rPr>
        <w:t xml:space="preserve"> ב' בכסלו תשע"ח (</w:t>
      </w:r>
      <w:r w:rsidRPr="002876DB">
        <w:rPr>
          <w:rFonts w:hint="cs"/>
          <w:rtl/>
          <w:lang w:eastAsia="he-IL"/>
        </w:rPr>
        <w:t>20.11.17</w:t>
      </w:r>
      <w:r w:rsidR="00C255BB">
        <w:rPr>
          <w:rFonts w:hint="cs"/>
          <w:rtl/>
          <w:lang w:eastAsia="he-IL"/>
        </w:rPr>
        <w:t>)</w:t>
      </w:r>
      <w:r w:rsidRPr="002876DB">
        <w:rPr>
          <w:rFonts w:hint="cs"/>
          <w:rtl/>
          <w:lang w:eastAsia="he-IL"/>
        </w:rPr>
        <w:t xml:space="preserve"> הגיש המערער ערעור נוסף ושם הוסיף טענות בדבר ה</w:t>
      </w:r>
      <w:r w:rsidR="00E27C81">
        <w:rPr>
          <w:rFonts w:hint="cs"/>
          <w:rtl/>
          <w:lang w:eastAsia="he-IL"/>
        </w:rPr>
        <w:t>סמכות העניינית. בערעור זה ט</w:t>
      </w:r>
      <w:r w:rsidRPr="002876DB">
        <w:rPr>
          <w:rFonts w:hint="cs"/>
          <w:rtl/>
          <w:lang w:eastAsia="he-IL"/>
        </w:rPr>
        <w:t>ען בין השאר כי משהתבסס בית הדין האזורי על סעיף 4א לחוק שיפוט בתי דין רבניים, תשי"ג</w:t>
      </w:r>
      <w:r w:rsidR="000255C8">
        <w:rPr>
          <w:rtl/>
          <w:lang w:eastAsia="he-IL"/>
        </w:rPr>
        <w:t>–</w:t>
      </w:r>
      <w:r w:rsidRPr="002876DB">
        <w:rPr>
          <w:rFonts w:hint="cs"/>
          <w:rtl/>
          <w:lang w:eastAsia="he-IL"/>
        </w:rPr>
        <w:t>1</w:t>
      </w:r>
      <w:r w:rsidR="000255C8">
        <w:rPr>
          <w:rFonts w:hint="cs"/>
          <w:rtl/>
          <w:lang w:eastAsia="he-IL"/>
        </w:rPr>
        <w:t>953</w:t>
      </w:r>
      <w:r w:rsidRPr="002876DB">
        <w:rPr>
          <w:rFonts w:hint="cs"/>
          <w:rtl/>
          <w:lang w:eastAsia="he-IL"/>
        </w:rPr>
        <w:t xml:space="preserve"> (להלן: "החוק"), אין ל</w:t>
      </w:r>
      <w:r w:rsidR="000255C8">
        <w:rPr>
          <w:rFonts w:hint="cs"/>
          <w:rtl/>
          <w:lang w:eastAsia="he-IL"/>
        </w:rPr>
        <w:t>בית הדין</w:t>
      </w:r>
      <w:r w:rsidRPr="002876DB">
        <w:rPr>
          <w:rFonts w:hint="cs"/>
          <w:rtl/>
          <w:lang w:eastAsia="he-IL"/>
        </w:rPr>
        <w:t xml:space="preserve"> הרבני סמכות לדון בכל עניין הכרוך בתביעת הגירושין.</w:t>
      </w:r>
    </w:p>
    <w:p w:rsidR="002876DB" w:rsidRPr="002876DB" w:rsidRDefault="002876DB" w:rsidP="00960DFF">
      <w:pPr>
        <w:pStyle w:val="af"/>
        <w:rPr>
          <w:rtl/>
          <w:lang w:eastAsia="he-IL"/>
        </w:rPr>
      </w:pPr>
      <w:r w:rsidRPr="002876DB">
        <w:rPr>
          <w:rFonts w:hint="cs"/>
          <w:rtl/>
          <w:lang w:eastAsia="he-IL"/>
        </w:rPr>
        <w:t xml:space="preserve">ביום </w:t>
      </w:r>
      <w:r w:rsidRPr="002876DB">
        <w:rPr>
          <w:rtl/>
          <w:lang w:eastAsia="he-IL"/>
        </w:rPr>
        <w:t>י"ב בכסלו תשע"ח</w:t>
      </w:r>
      <w:r w:rsidR="00BC4900">
        <w:rPr>
          <w:rFonts w:hint="cs"/>
          <w:rtl/>
          <w:lang w:eastAsia="he-IL"/>
        </w:rPr>
        <w:t>(</w:t>
      </w:r>
      <w:r w:rsidRPr="002876DB">
        <w:rPr>
          <w:rFonts w:hint="cs"/>
          <w:rtl/>
          <w:lang w:eastAsia="he-IL"/>
        </w:rPr>
        <w:t>30.11.17</w:t>
      </w:r>
      <w:r w:rsidR="00BC4900">
        <w:rPr>
          <w:rFonts w:hint="cs"/>
          <w:rtl/>
          <w:lang w:eastAsia="he-IL"/>
        </w:rPr>
        <w:t>)</w:t>
      </w:r>
      <w:r w:rsidRPr="002876DB">
        <w:rPr>
          <w:rFonts w:hint="cs"/>
          <w:rtl/>
          <w:lang w:eastAsia="he-IL"/>
        </w:rPr>
        <w:t xml:space="preserve"> נתן האיש גט פיטורין לא</w:t>
      </w:r>
      <w:r w:rsidR="00E27C81">
        <w:rPr>
          <w:rFonts w:hint="cs"/>
          <w:rtl/>
          <w:lang w:eastAsia="he-IL"/>
        </w:rPr>
        <w:t>י</w:t>
      </w:r>
      <w:r w:rsidRPr="002876DB">
        <w:rPr>
          <w:rFonts w:hint="cs"/>
          <w:rtl/>
          <w:lang w:eastAsia="he-IL"/>
        </w:rPr>
        <w:t>שה ב</w:t>
      </w:r>
      <w:r w:rsidR="000255C8">
        <w:rPr>
          <w:rFonts w:hint="cs"/>
          <w:rtl/>
          <w:lang w:eastAsia="he-IL"/>
        </w:rPr>
        <w:t>בית הדין</w:t>
      </w:r>
      <w:r w:rsidRPr="002876DB">
        <w:rPr>
          <w:rFonts w:hint="cs"/>
          <w:rtl/>
          <w:lang w:eastAsia="he-IL"/>
        </w:rPr>
        <w:t xml:space="preserve"> הרבני בחיפה.</w:t>
      </w:r>
      <w:r w:rsidRPr="002876DB">
        <w:rPr>
          <w:lang w:eastAsia="he-IL"/>
        </w:rPr>
        <w:br/>
      </w:r>
      <w:r w:rsidRPr="002876DB">
        <w:rPr>
          <w:rFonts w:hint="cs"/>
          <w:rtl/>
          <w:lang w:eastAsia="he-IL"/>
        </w:rPr>
        <w:t xml:space="preserve">ולאחר כשלושה שבועות הוסר צו עיכוב היציאה מן הארץ. </w:t>
      </w:r>
    </w:p>
    <w:p w:rsidR="002876DB" w:rsidRPr="002876DB" w:rsidRDefault="002876DB" w:rsidP="00960DFF">
      <w:pPr>
        <w:pStyle w:val="af"/>
        <w:rPr>
          <w:rtl/>
          <w:lang w:eastAsia="he-IL"/>
        </w:rPr>
      </w:pPr>
      <w:r w:rsidRPr="002876DB">
        <w:rPr>
          <w:rFonts w:hint="cs"/>
          <w:rtl/>
          <w:lang w:eastAsia="he-IL"/>
        </w:rPr>
        <w:t xml:space="preserve">בסיכומיו מסכם התובע את הסעדים המתבקשים </w:t>
      </w:r>
      <w:r w:rsidR="00E27C81">
        <w:rPr>
          <w:rFonts w:hint="cs"/>
          <w:rtl/>
          <w:lang w:eastAsia="he-IL"/>
        </w:rPr>
        <w:t>בערעורו</w:t>
      </w:r>
      <w:r w:rsidRPr="002876DB">
        <w:rPr>
          <w:rFonts w:hint="cs"/>
          <w:rtl/>
          <w:lang w:eastAsia="he-IL"/>
        </w:rPr>
        <w:t xml:space="preserve"> בלשון הזו:</w:t>
      </w:r>
    </w:p>
    <w:p w:rsidR="002876DB" w:rsidRPr="002876DB" w:rsidRDefault="00960DFF" w:rsidP="00960DFF">
      <w:pPr>
        <w:pStyle w:val="aa"/>
        <w:rPr>
          <w:lang w:eastAsia="he-IL"/>
        </w:rPr>
      </w:pPr>
      <w:r>
        <w:rPr>
          <w:rFonts w:hint="cs"/>
          <w:rtl/>
          <w:lang w:eastAsia="he-IL"/>
        </w:rPr>
        <w:t xml:space="preserve">א. </w:t>
      </w:r>
      <w:r w:rsidR="002876DB" w:rsidRPr="002876DB">
        <w:rPr>
          <w:rtl/>
          <w:lang w:eastAsia="he-IL"/>
        </w:rPr>
        <w:t>מן הדין לבטל את פסק דינו של בית הדין קמא המחייב את האיש במתן גט פיטורין כדמו"י לאישה.</w:t>
      </w:r>
    </w:p>
    <w:p w:rsidR="002876DB" w:rsidRPr="002876DB" w:rsidRDefault="00960DFF" w:rsidP="00960DFF">
      <w:pPr>
        <w:pStyle w:val="aa"/>
        <w:rPr>
          <w:lang w:eastAsia="he-IL"/>
        </w:rPr>
      </w:pPr>
      <w:r>
        <w:rPr>
          <w:rFonts w:hint="cs"/>
          <w:rtl/>
          <w:lang w:eastAsia="he-IL"/>
        </w:rPr>
        <w:t xml:space="preserve">ב. </w:t>
      </w:r>
      <w:r w:rsidR="002876DB" w:rsidRPr="002876DB">
        <w:rPr>
          <w:rtl/>
          <w:lang w:eastAsia="he-IL"/>
        </w:rPr>
        <w:t xml:space="preserve">מן הדין לבטל פסק הדין של </w:t>
      </w:r>
      <w:r w:rsidR="000255C8">
        <w:rPr>
          <w:rtl/>
          <w:lang w:eastAsia="he-IL"/>
        </w:rPr>
        <w:t>בית הדין</w:t>
      </w:r>
      <w:r w:rsidR="002876DB" w:rsidRPr="002876DB">
        <w:rPr>
          <w:rtl/>
          <w:lang w:eastAsia="he-IL"/>
        </w:rPr>
        <w:t xml:space="preserve"> קמא שפסק בעניין "הכרוך" – עניין מזונות אישה </w:t>
      </w:r>
      <w:r w:rsidR="00836161">
        <w:rPr>
          <w:rFonts w:hint="cs"/>
          <w:rtl/>
          <w:lang w:eastAsia="he-IL"/>
        </w:rPr>
        <w:t>(</w:t>
      </w:r>
      <w:r w:rsidR="002876DB" w:rsidRPr="002876DB">
        <w:rPr>
          <w:rtl/>
          <w:lang w:eastAsia="he-IL"/>
        </w:rPr>
        <w:t>לעבר</w:t>
      </w:r>
      <w:r w:rsidR="00836161">
        <w:rPr>
          <w:rFonts w:hint="cs"/>
          <w:rtl/>
          <w:lang w:eastAsia="he-IL"/>
        </w:rPr>
        <w:t xml:space="preserve">) </w:t>
      </w:r>
      <w:r w:rsidR="00836161">
        <w:rPr>
          <w:rFonts w:hint="eastAsia"/>
          <w:rtl/>
          <w:lang w:eastAsia="he-IL"/>
        </w:rPr>
        <w:t>–</w:t>
      </w:r>
      <w:r w:rsidR="002876DB" w:rsidRPr="002876DB">
        <w:rPr>
          <w:rtl/>
          <w:lang w:eastAsia="he-IL"/>
        </w:rPr>
        <w:t xml:space="preserve"> פסיקה שניתנה לאחר שהאיש נתן גט פיטורין לאישה.</w:t>
      </w:r>
    </w:p>
    <w:p w:rsidR="002876DB" w:rsidRPr="002876DB" w:rsidRDefault="00960DFF" w:rsidP="00960DFF">
      <w:pPr>
        <w:pStyle w:val="aa"/>
        <w:rPr>
          <w:lang w:eastAsia="he-IL"/>
        </w:rPr>
      </w:pPr>
      <w:r>
        <w:rPr>
          <w:rFonts w:hint="cs"/>
          <w:rtl/>
          <w:lang w:eastAsia="he-IL"/>
        </w:rPr>
        <w:t xml:space="preserve">ג. </w:t>
      </w:r>
      <w:r w:rsidR="002876DB" w:rsidRPr="002876DB">
        <w:rPr>
          <w:rtl/>
          <w:lang w:eastAsia="he-IL"/>
        </w:rPr>
        <w:t xml:space="preserve">מן הדין לבטל החלטת </w:t>
      </w:r>
      <w:r w:rsidR="000255C8">
        <w:rPr>
          <w:rtl/>
          <w:lang w:eastAsia="he-IL"/>
        </w:rPr>
        <w:t>בית הדין</w:t>
      </w:r>
      <w:r w:rsidR="002876DB" w:rsidRPr="002876DB">
        <w:rPr>
          <w:rtl/>
          <w:lang w:eastAsia="he-IL"/>
        </w:rPr>
        <w:t xml:space="preserve"> קמא בעניין "הכרוך" – עניין הרכוש בנושא בית המגורים בבלגיה ומכונית הוול</w:t>
      </w:r>
      <w:r w:rsidR="00E27C81">
        <w:rPr>
          <w:rFonts w:hint="cs"/>
          <w:rtl/>
          <w:lang w:eastAsia="he-IL"/>
        </w:rPr>
        <w:t>ב</w:t>
      </w:r>
      <w:r w:rsidR="002876DB" w:rsidRPr="002876DB">
        <w:rPr>
          <w:rtl/>
          <w:lang w:eastAsia="he-IL"/>
        </w:rPr>
        <w:t>ו.</w:t>
      </w:r>
    </w:p>
    <w:p w:rsidR="002876DB" w:rsidRPr="002876DB" w:rsidRDefault="00960DFF" w:rsidP="00960DFF">
      <w:pPr>
        <w:pStyle w:val="aa"/>
        <w:rPr>
          <w:lang w:eastAsia="he-IL"/>
        </w:rPr>
      </w:pPr>
      <w:r>
        <w:rPr>
          <w:rFonts w:hint="cs"/>
          <w:rtl/>
          <w:lang w:eastAsia="he-IL"/>
        </w:rPr>
        <w:t xml:space="preserve">ד. </w:t>
      </w:r>
      <w:r w:rsidR="002876DB" w:rsidRPr="002876DB">
        <w:rPr>
          <w:rtl/>
          <w:lang w:eastAsia="he-IL"/>
        </w:rPr>
        <w:t xml:space="preserve">מן הדין לבטל החלטת </w:t>
      </w:r>
      <w:r w:rsidR="000255C8">
        <w:rPr>
          <w:rtl/>
          <w:lang w:eastAsia="he-IL"/>
        </w:rPr>
        <w:t>בית הדין</w:t>
      </w:r>
      <w:r w:rsidR="002876DB" w:rsidRPr="002876DB">
        <w:rPr>
          <w:rtl/>
          <w:lang w:eastAsia="he-IL"/>
        </w:rPr>
        <w:t xml:space="preserve"> קמא בעניין "הכרוך" – מזונות קטינים.</w:t>
      </w:r>
    </w:p>
    <w:p w:rsidR="002876DB" w:rsidRPr="002876DB" w:rsidRDefault="002876DB" w:rsidP="00960DFF">
      <w:pPr>
        <w:pStyle w:val="-0"/>
        <w:rPr>
          <w:rFonts w:eastAsia="Calibri"/>
          <w:rtl/>
          <w:lang w:eastAsia="he-IL"/>
        </w:rPr>
      </w:pPr>
      <w:r w:rsidRPr="002876DB">
        <w:rPr>
          <w:rFonts w:eastAsia="Calibri" w:hint="cs"/>
          <w:rtl/>
          <w:lang w:eastAsia="he-IL"/>
        </w:rPr>
        <w:t>דיון והכרעה</w:t>
      </w:r>
    </w:p>
    <w:p w:rsidR="002876DB" w:rsidRPr="002876DB" w:rsidRDefault="002876DB" w:rsidP="00960DFF">
      <w:pPr>
        <w:pStyle w:val="ae"/>
        <w:rPr>
          <w:rFonts w:eastAsia="Calibri"/>
          <w:rtl/>
        </w:rPr>
      </w:pPr>
      <w:r w:rsidRPr="002876DB">
        <w:rPr>
          <w:rFonts w:eastAsia="Calibri" w:hint="cs"/>
          <w:rtl/>
        </w:rPr>
        <w:t xml:space="preserve">בקשת הסעד הראשונה לפיה יש לבטל את פסק הדין לגירושין </w:t>
      </w:r>
      <w:r w:rsidRPr="002876DB">
        <w:rPr>
          <w:rFonts w:eastAsia="Calibri"/>
          <w:rtl/>
        </w:rPr>
        <w:t>–</w:t>
      </w:r>
      <w:r w:rsidRPr="002876DB">
        <w:rPr>
          <w:rFonts w:eastAsia="Calibri" w:hint="cs"/>
          <w:rtl/>
        </w:rPr>
        <w:t xml:space="preserve"> אינה רלוונטית עוד. הגט ניתן על ידי האיש, מלווה בהצהרתו והכרזתו כי הוא ניתן מרצון חופשי וכי הוא מבטל במעמד מתן הגט כל דבר שיש בו בכדי לפגום חלילה בכשרותו של הגט. על כן מעשה הגירושין הוא מעשה עשוי על פי כל דין.</w:t>
      </w:r>
    </w:p>
    <w:p w:rsidR="002876DB" w:rsidRPr="002876DB" w:rsidRDefault="002876DB" w:rsidP="00960DFF">
      <w:pPr>
        <w:pStyle w:val="af"/>
        <w:rPr>
          <w:rtl/>
          <w:lang w:eastAsia="he-IL"/>
        </w:rPr>
      </w:pPr>
      <w:r w:rsidRPr="002876DB">
        <w:rPr>
          <w:rFonts w:hint="cs"/>
          <w:rtl/>
          <w:lang w:eastAsia="he-IL"/>
        </w:rPr>
        <w:t xml:space="preserve">בסעדים הבאים מבקש המערער לבטל את החלטות </w:t>
      </w:r>
      <w:r w:rsidR="000255C8">
        <w:rPr>
          <w:rFonts w:hint="cs"/>
          <w:rtl/>
          <w:lang w:eastAsia="he-IL"/>
        </w:rPr>
        <w:t>בית הדין</w:t>
      </w:r>
      <w:r w:rsidRPr="002876DB">
        <w:rPr>
          <w:rFonts w:hint="cs"/>
          <w:rtl/>
          <w:lang w:eastAsia="he-IL"/>
        </w:rPr>
        <w:t xml:space="preserve"> הרבני בכל עניין הכרוך בתביעת הגירושין עצמה מפאת חוסר סמכות. </w:t>
      </w:r>
    </w:p>
    <w:p w:rsidR="002876DB" w:rsidRPr="00960DFF" w:rsidRDefault="00960DFF" w:rsidP="00960DFF">
      <w:pPr>
        <w:pStyle w:val="af"/>
        <w:rPr>
          <w:rtl/>
          <w:lang w:eastAsia="he-IL"/>
        </w:rPr>
      </w:pPr>
      <w:r>
        <w:rPr>
          <w:rFonts w:hint="cs"/>
          <w:rtl/>
          <w:lang w:eastAsia="he-IL"/>
        </w:rPr>
        <w:t>סעיף 4א</w:t>
      </w:r>
      <w:r w:rsidR="002876DB" w:rsidRPr="002876DB">
        <w:rPr>
          <w:rFonts w:hint="cs"/>
          <w:rtl/>
          <w:lang w:eastAsia="he-IL"/>
        </w:rPr>
        <w:t xml:space="preserve">(ה) לחוק קובע: </w:t>
      </w:r>
      <w:r w:rsidR="002876DB" w:rsidRPr="00960DFF">
        <w:rPr>
          <w:rFonts w:hint="cs"/>
          <w:rtl/>
          <w:lang w:eastAsia="he-IL"/>
        </w:rPr>
        <w:t>"</w:t>
      </w:r>
      <w:r w:rsidR="002876DB" w:rsidRPr="00960DFF">
        <w:rPr>
          <w:rtl/>
          <w:lang w:eastAsia="he-IL"/>
        </w:rPr>
        <w:t>אין בהוראות סעיף זה כדי להקנות לבית הדין הרבני סמכות שיפוט בעני</w:t>
      </w:r>
      <w:r w:rsidR="002876DB" w:rsidRPr="00960DFF">
        <w:rPr>
          <w:rFonts w:hint="cs"/>
          <w:rtl/>
          <w:lang w:eastAsia="he-IL"/>
        </w:rPr>
        <w:t>י</w:t>
      </w:r>
      <w:r w:rsidR="002876DB" w:rsidRPr="00960DFF">
        <w:rPr>
          <w:rtl/>
          <w:lang w:eastAsia="he-IL"/>
        </w:rPr>
        <w:t>נים הכרוכים בגירושין</w:t>
      </w:r>
      <w:r>
        <w:rPr>
          <w:rFonts w:hint="cs"/>
          <w:rtl/>
          <w:lang w:eastAsia="he-IL"/>
        </w:rPr>
        <w:t>.</w:t>
      </w:r>
      <w:r w:rsidR="002876DB" w:rsidRPr="00960DFF">
        <w:rPr>
          <w:rFonts w:hint="cs"/>
          <w:rtl/>
          <w:lang w:eastAsia="he-IL"/>
        </w:rPr>
        <w:t>"</w:t>
      </w:r>
    </w:p>
    <w:p w:rsidR="002876DB" w:rsidRPr="002876DB" w:rsidRDefault="00603B20" w:rsidP="00960DFF">
      <w:pPr>
        <w:pStyle w:val="af"/>
        <w:rPr>
          <w:rtl/>
          <w:lang w:eastAsia="he-IL"/>
        </w:rPr>
      </w:pPr>
      <w:r w:rsidRPr="00603B20">
        <w:rPr>
          <w:rFonts w:hint="cs"/>
          <w:rtl/>
          <w:lang w:eastAsia="he-IL"/>
        </w:rPr>
        <w:t xml:space="preserve">על כן, </w:t>
      </w:r>
      <w:r w:rsidR="002876DB" w:rsidRPr="00603B20">
        <w:rPr>
          <w:rFonts w:hint="cs"/>
          <w:rtl/>
          <w:lang w:eastAsia="he-IL"/>
        </w:rPr>
        <w:t xml:space="preserve">משביסס </w:t>
      </w:r>
      <w:r w:rsidR="000255C8" w:rsidRPr="00603B20">
        <w:rPr>
          <w:rFonts w:hint="cs"/>
          <w:rtl/>
          <w:lang w:eastAsia="he-IL"/>
        </w:rPr>
        <w:t>בית הדין</w:t>
      </w:r>
      <w:r w:rsidR="002876DB" w:rsidRPr="00603B20">
        <w:rPr>
          <w:rFonts w:hint="cs"/>
          <w:rtl/>
          <w:lang w:eastAsia="he-IL"/>
        </w:rPr>
        <w:t xml:space="preserve"> האזורי את סמכותו על סעיף 4א לחוק</w:t>
      </w:r>
      <w:r w:rsidRPr="00603B20">
        <w:rPr>
          <w:rFonts w:hint="cs"/>
          <w:rtl/>
          <w:lang w:eastAsia="he-IL"/>
        </w:rPr>
        <w:t>,</w:t>
      </w:r>
      <w:r w:rsidR="002876DB" w:rsidRPr="00603B20">
        <w:rPr>
          <w:rFonts w:hint="cs"/>
          <w:rtl/>
          <w:lang w:eastAsia="he-IL"/>
        </w:rPr>
        <w:t xml:space="preserve"> אין מקום לדון ב</w:t>
      </w:r>
      <w:r w:rsidR="002876DB" w:rsidRPr="002876DB">
        <w:rPr>
          <w:rFonts w:hint="cs"/>
          <w:rtl/>
          <w:lang w:eastAsia="he-IL"/>
        </w:rPr>
        <w:t>עניין משמורת ילדים, מזונות הילדים, חלוקת רכוש ופירוק שיתוף.</w:t>
      </w:r>
    </w:p>
    <w:p w:rsidR="002876DB" w:rsidRPr="002876DB" w:rsidRDefault="002876DB" w:rsidP="00C253B0">
      <w:pPr>
        <w:pStyle w:val="af"/>
        <w:rPr>
          <w:rtl/>
          <w:lang w:eastAsia="he-IL"/>
        </w:rPr>
      </w:pPr>
      <w:r w:rsidRPr="002876DB">
        <w:rPr>
          <w:rFonts w:hint="cs"/>
          <w:rtl/>
          <w:lang w:eastAsia="he-IL"/>
        </w:rPr>
        <w:t xml:space="preserve">לעומת זאת, </w:t>
      </w:r>
      <w:r w:rsidR="00C253B0">
        <w:rPr>
          <w:rFonts w:hint="cs"/>
          <w:rtl/>
          <w:lang w:eastAsia="he-IL"/>
        </w:rPr>
        <w:t xml:space="preserve">לעניין </w:t>
      </w:r>
      <w:r w:rsidRPr="002876DB">
        <w:rPr>
          <w:rFonts w:hint="cs"/>
          <w:rtl/>
          <w:lang w:eastAsia="he-IL"/>
        </w:rPr>
        <w:t>סמכות הדיון בענייני מזונות הא</w:t>
      </w:r>
      <w:r w:rsidR="00603B20">
        <w:rPr>
          <w:rFonts w:hint="cs"/>
          <w:rtl/>
          <w:lang w:eastAsia="he-IL"/>
        </w:rPr>
        <w:t>י</w:t>
      </w:r>
      <w:r w:rsidRPr="002876DB">
        <w:rPr>
          <w:rFonts w:hint="cs"/>
          <w:rtl/>
          <w:lang w:eastAsia="he-IL"/>
        </w:rPr>
        <w:t xml:space="preserve">שה, היה מקום לומר שביסוס הסמכות </w:t>
      </w:r>
      <w:r w:rsidR="00C253B0">
        <w:rPr>
          <w:rFonts w:hint="cs"/>
          <w:rtl/>
          <w:lang w:eastAsia="he-IL"/>
        </w:rPr>
        <w:t>יכול</w:t>
      </w:r>
      <w:r w:rsidRPr="002876DB">
        <w:rPr>
          <w:rFonts w:hint="cs"/>
          <w:rtl/>
          <w:lang w:eastAsia="he-IL"/>
        </w:rPr>
        <w:t xml:space="preserve"> לה</w:t>
      </w:r>
      <w:r w:rsidR="00C253B0">
        <w:rPr>
          <w:rFonts w:hint="cs"/>
          <w:rtl/>
          <w:lang w:eastAsia="he-IL"/>
        </w:rPr>
        <w:t>י</w:t>
      </w:r>
      <w:r w:rsidRPr="002876DB">
        <w:rPr>
          <w:rFonts w:hint="cs"/>
          <w:rtl/>
          <w:lang w:eastAsia="he-IL"/>
        </w:rPr>
        <w:t>עשות משני כיוונים: א. מכ</w:t>
      </w:r>
      <w:r w:rsidR="00603B20">
        <w:rPr>
          <w:rFonts w:hint="cs"/>
          <w:rtl/>
          <w:lang w:eastAsia="he-IL"/>
        </w:rPr>
        <w:t>ו</w:t>
      </w:r>
      <w:r w:rsidRPr="002876DB">
        <w:rPr>
          <w:rFonts w:hint="cs"/>
          <w:rtl/>
          <w:lang w:eastAsia="he-IL"/>
        </w:rPr>
        <w:t>ח כריכת תביעת המזונות בתביעת הגירושין</w:t>
      </w:r>
      <w:r w:rsidR="00C253B0">
        <w:rPr>
          <w:rFonts w:hint="cs"/>
          <w:rtl/>
          <w:lang w:eastAsia="he-IL"/>
        </w:rPr>
        <w:t>;</w:t>
      </w:r>
      <w:r w:rsidRPr="002876DB">
        <w:rPr>
          <w:rFonts w:hint="cs"/>
          <w:rtl/>
          <w:lang w:eastAsia="he-IL"/>
        </w:rPr>
        <w:t xml:space="preserve"> ב. מכ</w:t>
      </w:r>
      <w:r w:rsidR="00C253B0">
        <w:rPr>
          <w:rFonts w:hint="cs"/>
          <w:rtl/>
          <w:lang w:eastAsia="he-IL"/>
        </w:rPr>
        <w:t>ו</w:t>
      </w:r>
      <w:r w:rsidRPr="002876DB">
        <w:rPr>
          <w:rFonts w:hint="cs"/>
          <w:rtl/>
          <w:lang w:eastAsia="he-IL"/>
        </w:rPr>
        <w:t>ח סעיף 4 לחוק נישואין וגירושין.</w:t>
      </w:r>
      <w:r w:rsidR="00C253B0">
        <w:rPr>
          <w:rFonts w:hint="cs"/>
          <w:rtl/>
          <w:lang w:eastAsia="he-IL"/>
        </w:rPr>
        <w:t xml:space="preserve"> ו</w:t>
      </w:r>
      <w:r w:rsidRPr="002876DB">
        <w:rPr>
          <w:rFonts w:hint="cs"/>
          <w:rtl/>
          <w:lang w:eastAsia="he-IL"/>
        </w:rPr>
        <w:t>אף שבנידון דידן אין מקום לדון בהם מכ</w:t>
      </w:r>
      <w:r w:rsidR="00603B20">
        <w:rPr>
          <w:rFonts w:hint="cs"/>
          <w:rtl/>
          <w:lang w:eastAsia="he-IL"/>
        </w:rPr>
        <w:t>ו</w:t>
      </w:r>
      <w:r w:rsidRPr="002876DB">
        <w:rPr>
          <w:rFonts w:hint="cs"/>
          <w:rtl/>
          <w:lang w:eastAsia="he-IL"/>
        </w:rPr>
        <w:t>ח הכריכה לתביעת הגירושין, יש מקום לכאורה לדון בהם מכ</w:t>
      </w:r>
      <w:r w:rsidR="004408FD">
        <w:rPr>
          <w:rFonts w:hint="cs"/>
          <w:rtl/>
          <w:lang w:eastAsia="he-IL"/>
        </w:rPr>
        <w:t>ו</w:t>
      </w:r>
      <w:r w:rsidRPr="002876DB">
        <w:rPr>
          <w:rFonts w:hint="cs"/>
          <w:rtl/>
          <w:lang w:eastAsia="he-IL"/>
        </w:rPr>
        <w:t>ח הוראת סע' 4 לחוק המורה:</w:t>
      </w:r>
    </w:p>
    <w:p w:rsidR="002876DB" w:rsidRPr="002876DB" w:rsidRDefault="002876DB" w:rsidP="00603B20">
      <w:pPr>
        <w:pStyle w:val="aa"/>
        <w:rPr>
          <w:noProof/>
          <w:rtl/>
          <w:lang w:eastAsia="he-IL"/>
        </w:rPr>
      </w:pPr>
      <w:r w:rsidRPr="002876DB">
        <w:rPr>
          <w:noProof/>
          <w:rtl/>
          <w:lang w:eastAsia="he-IL"/>
        </w:rPr>
        <w:t>הגישה אשה יהודיה לבית דין רבני תביעת מזונות, שלא אגב גירושין, נגד אישה היהודי או נגד עזבונו, לא תישמע טענת הנתבע שאין לבית דין רבני שיפוט בענין.</w:t>
      </w:r>
    </w:p>
    <w:p w:rsidR="002876DB" w:rsidRPr="002876DB" w:rsidRDefault="002876DB" w:rsidP="00737AE7">
      <w:pPr>
        <w:pStyle w:val="af"/>
        <w:rPr>
          <w:noProof/>
          <w:rtl/>
          <w:lang w:eastAsia="he-IL"/>
        </w:rPr>
      </w:pPr>
      <w:r w:rsidRPr="002876DB">
        <w:rPr>
          <w:rFonts w:hint="cs"/>
          <w:noProof/>
          <w:rtl/>
          <w:lang w:eastAsia="he-IL"/>
        </w:rPr>
        <w:lastRenderedPageBreak/>
        <w:t xml:space="preserve">לפרשנותו </w:t>
      </w:r>
      <w:r w:rsidR="004408FD">
        <w:rPr>
          <w:rFonts w:hint="cs"/>
          <w:noProof/>
          <w:rtl/>
          <w:lang w:eastAsia="he-IL"/>
        </w:rPr>
        <w:t>של סעיף זה</w:t>
      </w:r>
      <w:r w:rsidRPr="002876DB">
        <w:rPr>
          <w:rFonts w:hint="cs"/>
          <w:noProof/>
          <w:rtl/>
          <w:lang w:eastAsia="he-IL"/>
        </w:rPr>
        <w:t xml:space="preserve"> מפנים המערערים לדעת הרוב בפרשת סבג </w:t>
      </w:r>
      <w:r w:rsidRPr="004446E6">
        <w:rPr>
          <w:rFonts w:hint="cs"/>
          <w:noProof/>
          <w:sz w:val="24"/>
          <w:szCs w:val="24"/>
          <w:rtl/>
          <w:lang w:eastAsia="he-IL"/>
        </w:rPr>
        <w:t>(</w:t>
      </w:r>
      <w:r w:rsidR="00737AE7" w:rsidRPr="004446E6">
        <w:rPr>
          <w:noProof/>
          <w:sz w:val="24"/>
          <w:szCs w:val="24"/>
          <w:rtl/>
          <w:lang w:eastAsia="he-IL"/>
        </w:rPr>
        <w:t>בג"ץ 6751/04 סבג נ' בית</w:t>
      </w:r>
      <w:r w:rsidRPr="004446E6">
        <w:rPr>
          <w:noProof/>
          <w:sz w:val="24"/>
          <w:szCs w:val="24"/>
          <w:rtl/>
          <w:lang w:eastAsia="he-IL"/>
        </w:rPr>
        <w:t>הדין הרבני הגדול לערעורים</w:t>
      </w:r>
      <w:r w:rsidRPr="004446E6">
        <w:rPr>
          <w:rFonts w:hint="cs"/>
          <w:noProof/>
          <w:sz w:val="24"/>
          <w:szCs w:val="24"/>
          <w:rtl/>
          <w:lang w:eastAsia="he-IL"/>
        </w:rPr>
        <w:t xml:space="preserve">) </w:t>
      </w:r>
      <w:r w:rsidRPr="002876DB">
        <w:rPr>
          <w:rFonts w:hint="cs"/>
          <w:noProof/>
          <w:rtl/>
          <w:lang w:eastAsia="he-IL"/>
        </w:rPr>
        <w:t>אשר סברה שם שאין ל</w:t>
      </w:r>
      <w:r w:rsidR="000255C8">
        <w:rPr>
          <w:rFonts w:hint="cs"/>
          <w:noProof/>
          <w:rtl/>
          <w:lang w:eastAsia="he-IL"/>
        </w:rPr>
        <w:t>בית הדין</w:t>
      </w:r>
      <w:r w:rsidRPr="002876DB">
        <w:rPr>
          <w:rFonts w:hint="cs"/>
          <w:noProof/>
          <w:rtl/>
          <w:lang w:eastAsia="he-IL"/>
        </w:rPr>
        <w:t xml:space="preserve"> הרבני סמכות לדון בתביעת המזונות משני טעמים: </w:t>
      </w:r>
    </w:p>
    <w:p w:rsidR="002876DB" w:rsidRPr="00737AE7" w:rsidRDefault="00737AE7" w:rsidP="004446E6">
      <w:pPr>
        <w:pStyle w:val="af"/>
        <w:rPr>
          <w:noProof/>
          <w:rtl/>
          <w:lang w:eastAsia="he-IL"/>
        </w:rPr>
      </w:pPr>
      <w:r>
        <w:rPr>
          <w:rFonts w:hint="cs"/>
          <w:noProof/>
          <w:rtl/>
          <w:lang w:eastAsia="he-IL"/>
        </w:rPr>
        <w:t xml:space="preserve">א. </w:t>
      </w:r>
      <w:r w:rsidR="002876DB" w:rsidRPr="00737AE7">
        <w:rPr>
          <w:rFonts w:hint="cs"/>
          <w:noProof/>
          <w:rtl/>
          <w:lang w:eastAsia="he-IL"/>
        </w:rPr>
        <w:t xml:space="preserve">במקרה הנדון </w:t>
      </w:r>
      <w:r w:rsidR="004446E6" w:rsidRPr="00737AE7">
        <w:rPr>
          <w:rFonts w:hint="cs"/>
          <w:noProof/>
          <w:rtl/>
          <w:lang w:eastAsia="he-IL"/>
        </w:rPr>
        <w:t xml:space="preserve">רצתה </w:t>
      </w:r>
      <w:r w:rsidR="002876DB" w:rsidRPr="00737AE7">
        <w:rPr>
          <w:rFonts w:hint="cs"/>
          <w:noProof/>
          <w:rtl/>
          <w:lang w:eastAsia="he-IL"/>
        </w:rPr>
        <w:t>האישה בגירושין ואף הגישה תביעת גירושין ולכן המקרה אינו עונה לתנאי סעיף 4 הדורש שתביעת המזונות תהיה "שלא אגב גירושין" כדי ש</w:t>
      </w:r>
      <w:r w:rsidR="000255C8" w:rsidRPr="00737AE7">
        <w:rPr>
          <w:rFonts w:hint="cs"/>
          <w:noProof/>
          <w:rtl/>
          <w:lang w:eastAsia="he-IL"/>
        </w:rPr>
        <w:t>בית הדין</w:t>
      </w:r>
      <w:r w:rsidR="004408FD">
        <w:rPr>
          <w:rFonts w:hint="cs"/>
          <w:noProof/>
          <w:rtl/>
          <w:lang w:eastAsia="he-IL"/>
        </w:rPr>
        <w:t xml:space="preserve"> הרבני יקנה סמכות; </w:t>
      </w:r>
      <w:r>
        <w:rPr>
          <w:rFonts w:hint="cs"/>
          <w:noProof/>
          <w:rtl/>
          <w:lang w:eastAsia="he-IL"/>
        </w:rPr>
        <w:t xml:space="preserve">ב. </w:t>
      </w:r>
      <w:r w:rsidR="002876DB" w:rsidRPr="00737AE7">
        <w:rPr>
          <w:rFonts w:hint="cs"/>
          <w:noProof/>
          <w:rtl/>
          <w:lang w:eastAsia="he-IL"/>
        </w:rPr>
        <w:t xml:space="preserve">במקרה הנדון תביעת המזונות הוגשה שלא בתום לב שכן היא הוגשה אך ורק כדי להתגבר על בעיית הסמכות של </w:t>
      </w:r>
      <w:r w:rsidR="000255C8" w:rsidRPr="00737AE7">
        <w:rPr>
          <w:rFonts w:hint="cs"/>
          <w:noProof/>
          <w:rtl/>
          <w:lang w:eastAsia="he-IL"/>
        </w:rPr>
        <w:t>בית הדין</w:t>
      </w:r>
      <w:r>
        <w:rPr>
          <w:rFonts w:hint="cs"/>
          <w:noProof/>
          <w:rtl/>
          <w:lang w:eastAsia="he-IL"/>
        </w:rPr>
        <w:t xml:space="preserve"> לדון בעניין "האמיתי" </w:t>
      </w:r>
      <w:r>
        <w:rPr>
          <w:noProof/>
          <w:rtl/>
          <w:lang w:eastAsia="he-IL"/>
        </w:rPr>
        <w:t>–</w:t>
      </w:r>
      <w:r w:rsidR="002876DB" w:rsidRPr="00737AE7">
        <w:rPr>
          <w:rFonts w:hint="cs"/>
          <w:noProof/>
          <w:rtl/>
          <w:lang w:eastAsia="he-IL"/>
        </w:rPr>
        <w:t xml:space="preserve"> הוא עניין הגירושין.</w:t>
      </w:r>
    </w:p>
    <w:p w:rsidR="002876DB" w:rsidRPr="002876DB" w:rsidRDefault="002876DB" w:rsidP="002D1424">
      <w:pPr>
        <w:pStyle w:val="af"/>
        <w:rPr>
          <w:rtl/>
          <w:lang w:eastAsia="he-IL"/>
        </w:rPr>
      </w:pPr>
      <w:r w:rsidRPr="002876DB">
        <w:rPr>
          <w:rFonts w:hint="cs"/>
          <w:rtl/>
          <w:lang w:eastAsia="he-IL"/>
        </w:rPr>
        <w:t>וכך נכתב בדברי בי</w:t>
      </w:r>
      <w:r w:rsidR="004408FD">
        <w:rPr>
          <w:rFonts w:hint="cs"/>
          <w:rtl/>
          <w:lang w:eastAsia="he-IL"/>
        </w:rPr>
        <w:t>ת המ</w:t>
      </w:r>
      <w:r w:rsidRPr="002876DB">
        <w:rPr>
          <w:rFonts w:hint="cs"/>
          <w:rtl/>
          <w:lang w:eastAsia="he-IL"/>
        </w:rPr>
        <w:t>ש</w:t>
      </w:r>
      <w:r w:rsidR="004408FD">
        <w:rPr>
          <w:rFonts w:hint="cs"/>
          <w:rtl/>
          <w:lang w:eastAsia="he-IL"/>
        </w:rPr>
        <w:t>פט</w:t>
      </w:r>
      <w:r w:rsidRPr="002876DB">
        <w:rPr>
          <w:rFonts w:hint="cs"/>
          <w:rtl/>
          <w:lang w:eastAsia="he-IL"/>
        </w:rPr>
        <w:t xml:space="preserve"> העליון בפרשת סבג</w:t>
      </w:r>
      <w:r w:rsidR="001766B7" w:rsidRPr="001766B7">
        <w:rPr>
          <w:rFonts w:hint="cs"/>
          <w:sz w:val="24"/>
          <w:szCs w:val="24"/>
          <w:rtl/>
          <w:lang w:eastAsia="he-IL"/>
        </w:rPr>
        <w:t xml:space="preserve">[בנוגע לטעם הראשון, שהוא לכאורה </w:t>
      </w:r>
      <w:r w:rsidR="00BC4900" w:rsidRPr="001766B7">
        <w:rPr>
          <w:rFonts w:hint="cs"/>
          <w:sz w:val="24"/>
          <w:szCs w:val="24"/>
          <w:rtl/>
          <w:lang w:eastAsia="he-IL"/>
        </w:rPr>
        <w:t>השייך</w:t>
      </w:r>
      <w:r w:rsidR="001766B7" w:rsidRPr="001766B7">
        <w:rPr>
          <w:rFonts w:hint="cs"/>
          <w:sz w:val="24"/>
          <w:szCs w:val="24"/>
          <w:rtl/>
          <w:lang w:eastAsia="he-IL"/>
        </w:rPr>
        <w:t xml:space="preserve"> בענייננו]</w:t>
      </w:r>
      <w:r w:rsidRPr="002876DB">
        <w:rPr>
          <w:rFonts w:hint="cs"/>
          <w:rtl/>
          <w:lang w:eastAsia="he-IL"/>
        </w:rPr>
        <w:t>:</w:t>
      </w:r>
    </w:p>
    <w:p w:rsidR="002876DB" w:rsidRDefault="002876DB" w:rsidP="00751D70">
      <w:pPr>
        <w:pStyle w:val="aa"/>
        <w:rPr>
          <w:rtl/>
        </w:rPr>
      </w:pPr>
      <w:r w:rsidRPr="002876DB">
        <w:rPr>
          <w:rtl/>
        </w:rPr>
        <w:t>תביעת המזונות שהגישה האישה כנגד הבעל אינה נכנסת בגדרו של סעיף 4 לחוק מן הטעם שאין היא באופן אמיתי תביעת מזונות "שלא אגב גירושין", אלא היא תביעת מזונות אגב גירושין ותלויה</w:t>
      </w:r>
      <w:r w:rsidR="00751D70">
        <w:rPr>
          <w:rtl/>
        </w:rPr>
        <w:t xml:space="preserve"> בעניין הגירושין בקשר בל יינתק.</w:t>
      </w:r>
      <w:r w:rsidRPr="002876DB">
        <w:rPr>
          <w:rtl/>
        </w:rPr>
        <w:t>עיקר תכליתה של הוראת סעיף 4 האמורה לשמש מקור סמכות לביתהדין לדון בתביעת מזונות של אישה במסגרת הנישואין ולהסדיר בכך את שאלת סמכותו של ביתהדין הדתי באשר לערכאה האזרחית, המוסמכת אף היא לדון במזונות בניזוג מכוח הדין האזרחי</w:t>
      </w:r>
      <w:r w:rsidRPr="002876DB">
        <w:rPr>
          <w:rFonts w:hint="cs"/>
          <w:rtl/>
        </w:rPr>
        <w:t>.</w:t>
      </w:r>
    </w:p>
    <w:p w:rsidR="002876DB" w:rsidRPr="00F97A66" w:rsidRDefault="000D0D05" w:rsidP="00A3693C">
      <w:pPr>
        <w:pStyle w:val="af"/>
        <w:rPr>
          <w:rFonts w:ascii="Calibri" w:eastAsia="Times New Roman" w:hAnsi="Calibri" w:cs="Calibri"/>
          <w:szCs w:val="22"/>
        </w:rPr>
      </w:pPr>
      <w:r w:rsidRPr="00867FF0">
        <w:rPr>
          <w:rFonts w:hint="cs"/>
          <w:rtl/>
        </w:rPr>
        <w:t>כבר צי</w:t>
      </w:r>
      <w:r w:rsidR="004408FD" w:rsidRPr="00867FF0">
        <w:rPr>
          <w:rFonts w:hint="cs"/>
          <w:rtl/>
        </w:rPr>
        <w:t>י</w:t>
      </w:r>
      <w:r w:rsidR="002876DB" w:rsidRPr="00867FF0">
        <w:rPr>
          <w:rFonts w:hint="cs"/>
          <w:rtl/>
        </w:rPr>
        <w:t xml:space="preserve">ן </w:t>
      </w:r>
      <w:r w:rsidR="000255C8" w:rsidRPr="00867FF0">
        <w:rPr>
          <w:rFonts w:hint="cs"/>
          <w:rtl/>
        </w:rPr>
        <w:t>בית הדין</w:t>
      </w:r>
      <w:r w:rsidR="002876DB" w:rsidRPr="00867FF0">
        <w:rPr>
          <w:rFonts w:hint="cs"/>
          <w:rtl/>
        </w:rPr>
        <w:t xml:space="preserve"> הרבני הגדול לפני יותר מעשור </w:t>
      </w:r>
      <w:r w:rsidR="002876DB" w:rsidRPr="008B341C">
        <w:rPr>
          <w:rFonts w:hint="cs"/>
          <w:sz w:val="24"/>
          <w:szCs w:val="24"/>
          <w:rtl/>
        </w:rPr>
        <w:t xml:space="preserve">(ר' פס"ד של </w:t>
      </w:r>
      <w:r w:rsidR="000255C8" w:rsidRPr="008B341C">
        <w:rPr>
          <w:rFonts w:hint="cs"/>
          <w:sz w:val="24"/>
          <w:szCs w:val="24"/>
          <w:rtl/>
        </w:rPr>
        <w:t>בית הדין</w:t>
      </w:r>
      <w:r w:rsidR="002876DB" w:rsidRPr="008B341C">
        <w:rPr>
          <w:rFonts w:hint="cs"/>
          <w:sz w:val="24"/>
          <w:szCs w:val="24"/>
          <w:rtl/>
        </w:rPr>
        <w:t xml:space="preserve"> הרבני הגדול מפי הדיינים הרב דיכובסקי</w:t>
      </w:r>
      <w:r w:rsidRPr="008B341C">
        <w:rPr>
          <w:rFonts w:hint="cs"/>
          <w:sz w:val="24"/>
          <w:szCs w:val="24"/>
          <w:rtl/>
        </w:rPr>
        <w:t>,</w:t>
      </w:r>
      <w:r w:rsidR="002876DB" w:rsidRPr="008B341C">
        <w:rPr>
          <w:rFonts w:hint="cs"/>
          <w:sz w:val="24"/>
          <w:szCs w:val="24"/>
          <w:rtl/>
        </w:rPr>
        <w:t xml:space="preserve"> הרב </w:t>
      </w:r>
      <w:r w:rsidRPr="008B341C">
        <w:rPr>
          <w:rFonts w:hint="cs"/>
          <w:sz w:val="24"/>
          <w:szCs w:val="24"/>
          <w:rtl/>
        </w:rPr>
        <w:t xml:space="preserve">בן שמעון והרב בר שלום בתיק </w:t>
      </w:r>
      <w:r w:rsidR="002876DB" w:rsidRPr="008B341C">
        <w:rPr>
          <w:rFonts w:hint="cs"/>
          <w:sz w:val="24"/>
          <w:szCs w:val="24"/>
          <w:rtl/>
        </w:rPr>
        <w:t>7938</w:t>
      </w:r>
      <w:r w:rsidRPr="008B341C">
        <w:rPr>
          <w:rFonts w:hint="cs"/>
          <w:sz w:val="24"/>
          <w:szCs w:val="24"/>
          <w:rtl/>
        </w:rPr>
        <w:t>-1-21</w:t>
      </w:r>
      <w:r w:rsidR="002876DB" w:rsidRPr="008B341C">
        <w:rPr>
          <w:rFonts w:hint="cs"/>
          <w:sz w:val="24"/>
          <w:szCs w:val="24"/>
          <w:rtl/>
        </w:rPr>
        <w:t xml:space="preserve"> משנת תשס"ו, 2006)</w:t>
      </w:r>
      <w:r w:rsidR="002876DB" w:rsidRPr="00867FF0">
        <w:rPr>
          <w:rFonts w:hint="cs"/>
          <w:rtl/>
        </w:rPr>
        <w:t xml:space="preserve"> כי על גישת הרוב בפרשת סבג, אשר חלקה על דעתו של הש</w:t>
      </w:r>
      <w:r w:rsidRPr="00867FF0">
        <w:rPr>
          <w:rFonts w:hint="cs"/>
          <w:rtl/>
        </w:rPr>
        <w:t>ופט</w:t>
      </w:r>
      <w:r w:rsidR="002876DB" w:rsidRPr="00867FF0">
        <w:rPr>
          <w:rFonts w:hint="cs"/>
          <w:rtl/>
        </w:rPr>
        <w:t>רובינשטיין, נמתחה ביקורת ציבורית בפורומים שונים, לרבות בכתיבה אקדמית. גישה הרוב בפרשת סבג אף סטתה מן הגישה שהייתה מקובלת בפסיקת בי</w:t>
      </w:r>
      <w:r w:rsidRPr="00867FF0">
        <w:rPr>
          <w:rFonts w:hint="cs"/>
          <w:rtl/>
        </w:rPr>
        <w:t>ת המ</w:t>
      </w:r>
      <w:r w:rsidR="002876DB" w:rsidRPr="00867FF0">
        <w:rPr>
          <w:rFonts w:hint="cs"/>
          <w:rtl/>
        </w:rPr>
        <w:t>ש</w:t>
      </w:r>
      <w:r w:rsidRPr="00867FF0">
        <w:rPr>
          <w:rFonts w:hint="cs"/>
          <w:rtl/>
        </w:rPr>
        <w:t>פט</w:t>
      </w:r>
      <w:r w:rsidR="002876DB" w:rsidRPr="00F97A66">
        <w:rPr>
          <w:rFonts w:hint="cs"/>
          <w:rtl/>
        </w:rPr>
        <w:t>העליון ו</w:t>
      </w:r>
      <w:r w:rsidRPr="00F97A66">
        <w:rPr>
          <w:rFonts w:hint="cs"/>
          <w:rtl/>
        </w:rPr>
        <w:t>ש</w:t>
      </w:r>
      <w:r w:rsidR="002876DB" w:rsidRPr="00F97A66">
        <w:rPr>
          <w:rFonts w:hint="cs"/>
          <w:rtl/>
        </w:rPr>
        <w:t xml:space="preserve">באה לידי ביטוי בפסק הדין בפרשת כובאני </w:t>
      </w:r>
      <w:r w:rsidR="002876DB" w:rsidRPr="00F97A66">
        <w:rPr>
          <w:rFonts w:hint="cs"/>
          <w:sz w:val="24"/>
          <w:szCs w:val="24"/>
          <w:rtl/>
        </w:rPr>
        <w:t xml:space="preserve">(בג"ץ  1796/03 כובאני נ' </w:t>
      </w:r>
      <w:r w:rsidR="000255C8" w:rsidRPr="00F97A66">
        <w:rPr>
          <w:rFonts w:hint="cs"/>
          <w:sz w:val="24"/>
          <w:szCs w:val="24"/>
          <w:rtl/>
        </w:rPr>
        <w:t>בית הדין</w:t>
      </w:r>
      <w:r w:rsidR="002876DB" w:rsidRPr="00F97A66">
        <w:rPr>
          <w:rFonts w:hint="cs"/>
          <w:sz w:val="24"/>
          <w:szCs w:val="24"/>
          <w:rtl/>
        </w:rPr>
        <w:t xml:space="preserve"> הרבני הגדול לערעורים)</w:t>
      </w:r>
      <w:r w:rsidR="002876DB" w:rsidRPr="00F97A66">
        <w:rPr>
          <w:rFonts w:hint="cs"/>
          <w:rtl/>
        </w:rPr>
        <w:t xml:space="preserve"> שם </w:t>
      </w:r>
      <w:r w:rsidR="002876DB" w:rsidRPr="00F97A66">
        <w:rPr>
          <w:rFonts w:ascii="FrankRuehl" w:hAnsi="FrankRuehl"/>
          <w:rtl/>
        </w:rPr>
        <w:t xml:space="preserve">נקבע </w:t>
      </w:r>
      <w:r w:rsidR="002B217F" w:rsidRPr="00F97A66">
        <w:rPr>
          <w:rFonts w:ascii="FrankRuehl" w:eastAsia="Times New Roman" w:hAnsi="FrankRuehl"/>
          <w:sz w:val="24"/>
          <w:szCs w:val="24"/>
          <w:rtl/>
        </w:rPr>
        <w:t xml:space="preserve">[בלי לבחון את התביעה במבחנים שהציג בג"ץ בפרשת סבג ובלי לאבחן בין תביעה </w:t>
      </w:r>
      <w:r w:rsidR="002B217F" w:rsidRPr="00F97A66">
        <w:rPr>
          <w:rFonts w:ascii="FrankRuehl" w:eastAsia="Times New Roman" w:hAnsi="FrankRuehl" w:hint="cs"/>
          <w:sz w:val="24"/>
          <w:szCs w:val="24"/>
          <w:rtl/>
        </w:rPr>
        <w:t>"</w:t>
      </w:r>
      <w:r w:rsidR="002B217F" w:rsidRPr="00F97A66">
        <w:rPr>
          <w:rFonts w:ascii="FrankRuehl" w:eastAsia="Times New Roman" w:hAnsi="FrankRuehl"/>
          <w:sz w:val="24"/>
          <w:szCs w:val="24"/>
          <w:rtl/>
        </w:rPr>
        <w:t xml:space="preserve">אגב גירושין" ל"שלא אגב גירושין"] </w:t>
      </w:r>
      <w:r w:rsidR="002876DB" w:rsidRPr="00F97A66">
        <w:rPr>
          <w:rFonts w:ascii="FrankRuehl" w:hAnsi="FrankRuehl"/>
          <w:rtl/>
        </w:rPr>
        <w:t xml:space="preserve">שיישומו של סעיף 4 לחוק אינו  דורש עמידה בתנאי סע' </w:t>
      </w:r>
      <w:r w:rsidR="00323A5F" w:rsidRPr="00F97A66">
        <w:rPr>
          <w:rFonts w:ascii="FrankRuehl" w:hAnsi="FrankRuehl"/>
          <w:rtl/>
        </w:rPr>
        <w:t>1 בדבר דרישת האזרחות או התושבות.</w:t>
      </w:r>
      <w:r w:rsidR="002876DB" w:rsidRPr="00F97A66">
        <w:rPr>
          <w:rFonts w:ascii="FrankRuehl" w:hAnsi="FrankRuehl"/>
          <w:rtl/>
        </w:rPr>
        <w:t xml:space="preserve"> וכך</w:t>
      </w:r>
      <w:r w:rsidR="002876DB" w:rsidRPr="00F97A66">
        <w:rPr>
          <w:rFonts w:hint="cs"/>
          <w:rtl/>
        </w:rPr>
        <w:t xml:space="preserve"> כתב בי</w:t>
      </w:r>
      <w:r w:rsidR="00867FF0" w:rsidRPr="00F97A66">
        <w:rPr>
          <w:rFonts w:hint="cs"/>
          <w:rtl/>
        </w:rPr>
        <w:t>ת המ</w:t>
      </w:r>
      <w:r w:rsidR="002876DB" w:rsidRPr="00F97A66">
        <w:rPr>
          <w:rFonts w:hint="cs"/>
          <w:rtl/>
        </w:rPr>
        <w:t>ש</w:t>
      </w:r>
      <w:r w:rsidR="00867FF0" w:rsidRPr="00F97A66">
        <w:rPr>
          <w:rFonts w:hint="cs"/>
          <w:rtl/>
        </w:rPr>
        <w:t>פט</w:t>
      </w:r>
      <w:r w:rsidR="002876DB" w:rsidRPr="00F97A66">
        <w:rPr>
          <w:rFonts w:hint="cs"/>
          <w:rtl/>
        </w:rPr>
        <w:t xml:space="preserve"> שם</w:t>
      </w:r>
      <w:r w:rsidR="002876DB" w:rsidRPr="00F97A66">
        <w:rPr>
          <w:rtl/>
        </w:rPr>
        <w:t>:</w:t>
      </w:r>
      <w:bookmarkStart w:id="0" w:name="_GoBack"/>
      <w:bookmarkEnd w:id="0"/>
    </w:p>
    <w:p w:rsidR="00867FF0" w:rsidRPr="00F97A66" w:rsidRDefault="002876DB" w:rsidP="00867FF0">
      <w:pPr>
        <w:pStyle w:val="aa"/>
        <w:rPr>
          <w:rtl/>
        </w:rPr>
      </w:pPr>
      <w:r w:rsidRPr="00F97A66">
        <w:rPr>
          <w:rtl/>
        </w:rPr>
        <w:t xml:space="preserve">תביעת האישה בבית הדין הרבני האיזורי היתה גם למזונות ונסמכה למעשה על </w:t>
      </w:r>
      <w:hyperlink r:id="rId7" w:history="1">
        <w:r w:rsidRPr="00F97A66">
          <w:rPr>
            <w:rtl/>
          </w:rPr>
          <w:t>סעיף 4</w:t>
        </w:r>
      </w:hyperlink>
      <w:r w:rsidRPr="00F97A66">
        <w:rPr>
          <w:rtl/>
        </w:rPr>
        <w:t xml:space="preserve"> לחוק. סעיף זה</w:t>
      </w:r>
      <w:r w:rsidR="00867FF0" w:rsidRPr="00F97A66">
        <w:rPr>
          <w:rtl/>
        </w:rPr>
        <w:t xml:space="preserve"> קובע כי</w:t>
      </w:r>
      <w:r w:rsidR="00867FF0" w:rsidRPr="00F97A66">
        <w:rPr>
          <w:rFonts w:hint="cs"/>
          <w:rtl/>
        </w:rPr>
        <w:t>:</w:t>
      </w:r>
    </w:p>
    <w:p w:rsidR="00867FF0" w:rsidRPr="00F97A66" w:rsidRDefault="00867FF0" w:rsidP="00867FF0">
      <w:pPr>
        <w:pStyle w:val="af3"/>
        <w:rPr>
          <w:rFonts w:ascii="Miriam" w:hAnsi="Miriam"/>
          <w:rtl/>
        </w:rPr>
      </w:pPr>
      <w:r w:rsidRPr="00F97A66">
        <w:rPr>
          <w:rtl/>
        </w:rPr>
        <w:t>הגישה אשה יהודיה לבית</w:t>
      </w:r>
      <w:r w:rsidR="002876DB" w:rsidRPr="00F97A66">
        <w:rPr>
          <w:rtl/>
        </w:rPr>
        <w:t>דין רבני תביעת מזונות, שלא אגב גירושין, נגד אישה היהודי או נגד עזבונו, לא תישמע טענת הנתבע</w:t>
      </w:r>
      <w:r w:rsidRPr="00F97A66">
        <w:rPr>
          <w:rtl/>
        </w:rPr>
        <w:t xml:space="preserve"> שאין לביתדין רבני שיפוט בענין</w:t>
      </w:r>
      <w:r w:rsidR="002876DB" w:rsidRPr="00F97A66">
        <w:rPr>
          <w:rtl/>
        </w:rPr>
        <w:t xml:space="preserve">. </w:t>
      </w:r>
    </w:p>
    <w:p w:rsidR="002D1424" w:rsidRPr="00F97A66" w:rsidRDefault="002876DB" w:rsidP="00867FF0">
      <w:pPr>
        <w:pStyle w:val="aa"/>
        <w:rPr>
          <w:rFonts w:ascii="David" w:hAnsi="David"/>
          <w:rtl/>
        </w:rPr>
      </w:pPr>
      <w:r w:rsidRPr="00F97A66">
        <w:rPr>
          <w:rFonts w:ascii="Miriam" w:hAnsi="Miriam"/>
          <w:rtl/>
        </w:rPr>
        <w:t>כבר נפסק כי לעניינו של סעיף זה אין הכרח כי בני הזוג יקיימו את תנאי הסמכות הקבועים ב</w:t>
      </w:r>
      <w:hyperlink r:id="rId8" w:history="1">
        <w:r w:rsidRPr="00F97A66">
          <w:rPr>
            <w:rFonts w:ascii="Miriam" w:hAnsi="Miriam"/>
            <w:rtl/>
          </w:rPr>
          <w:t>סעיף 1</w:t>
        </w:r>
      </w:hyperlink>
      <w:r w:rsidRPr="00F97A66">
        <w:rPr>
          <w:rFonts w:ascii="Miriam" w:hAnsi="Miriam"/>
          <w:rtl/>
        </w:rPr>
        <w:t xml:space="preserve"> לחוק</w:t>
      </w:r>
      <w:r w:rsidRPr="00F97A66">
        <w:rPr>
          <w:rFonts w:ascii="David" w:hAnsi="David"/>
          <w:sz w:val="24"/>
          <w:szCs w:val="24"/>
          <w:rtl/>
        </w:rPr>
        <w:t xml:space="preserve">(ראו:  </w:t>
      </w:r>
      <w:hyperlink r:id="rId9" w:history="1">
        <w:r w:rsidRPr="00F97A66">
          <w:rPr>
            <w:rFonts w:ascii="David" w:hAnsi="David"/>
            <w:sz w:val="24"/>
            <w:szCs w:val="24"/>
            <w:rtl/>
          </w:rPr>
          <w:t>המ' 135/58 קנול נ' בית הדין הרבני האיזורי, פ"ד יב</w:t>
        </w:r>
      </w:hyperlink>
      <w:r w:rsidRPr="00F97A66">
        <w:rPr>
          <w:rFonts w:ascii="David" w:hAnsi="David"/>
          <w:sz w:val="24"/>
          <w:szCs w:val="24"/>
          <w:rtl/>
        </w:rPr>
        <w:t xml:space="preserve"> 1622, 1623; </w:t>
      </w:r>
      <w:hyperlink r:id="rId10" w:history="1">
        <w:r w:rsidRPr="00F97A66">
          <w:rPr>
            <w:rFonts w:ascii="David" w:hAnsi="David"/>
            <w:sz w:val="24"/>
            <w:szCs w:val="24"/>
            <w:rtl/>
          </w:rPr>
          <w:t>בג"ץ 159/63 אילון נ' ורנר, פ"ד יז</w:t>
        </w:r>
      </w:hyperlink>
      <w:r w:rsidRPr="00F97A66">
        <w:rPr>
          <w:rFonts w:ascii="David" w:hAnsi="David"/>
          <w:sz w:val="24"/>
          <w:szCs w:val="24"/>
          <w:rtl/>
        </w:rPr>
        <w:t xml:space="preserve"> 2340, 2341; </w:t>
      </w:r>
      <w:hyperlink r:id="rId11" w:history="1">
        <w:r w:rsidRPr="00F97A66">
          <w:rPr>
            <w:rFonts w:ascii="David" w:hAnsi="David"/>
            <w:sz w:val="24"/>
            <w:szCs w:val="24"/>
            <w:rtl/>
          </w:rPr>
          <w:t>בג"ץ 323/73 גולדברג נ' גולדברג, פ"ד כח</w:t>
        </w:r>
      </w:hyperlink>
      <w:r w:rsidRPr="00F97A66">
        <w:rPr>
          <w:rFonts w:ascii="David" w:hAnsi="David"/>
          <w:sz w:val="24"/>
          <w:szCs w:val="24"/>
          <w:rtl/>
        </w:rPr>
        <w:t>(1) 563)</w:t>
      </w:r>
      <w:r w:rsidRPr="00F97A66">
        <w:rPr>
          <w:rFonts w:ascii="David" w:hAnsi="David"/>
          <w:rtl/>
        </w:rPr>
        <w:t>. </w:t>
      </w:r>
    </w:p>
    <w:p w:rsidR="002876DB" w:rsidRPr="00F97A66" w:rsidRDefault="002876DB" w:rsidP="00867FF0">
      <w:pPr>
        <w:pStyle w:val="aa"/>
        <w:rPr>
          <w:rFonts w:ascii="David" w:hAnsi="David"/>
          <w:rtl/>
        </w:rPr>
      </w:pPr>
      <w:r w:rsidRPr="00F97A66">
        <w:rPr>
          <w:rFonts w:ascii="David" w:hAnsi="David"/>
          <w:rtl/>
        </w:rPr>
        <w:t xml:space="preserve">די בכך בכדי להביא לדחיית העתירה. משכך קבענו, אין אנו נדרשים להכריע אם יש מקום לסיוג תחולתו – במישור הסמכות הבינלאומית – של </w:t>
      </w:r>
      <w:hyperlink r:id="rId12" w:history="1">
        <w:r w:rsidRPr="00F97A66">
          <w:rPr>
            <w:rFonts w:ascii="David" w:hAnsi="David"/>
            <w:rtl/>
          </w:rPr>
          <w:t>סעיף 4</w:t>
        </w:r>
      </w:hyperlink>
      <w:r w:rsidRPr="00F97A66">
        <w:rPr>
          <w:rFonts w:ascii="David" w:hAnsi="David"/>
          <w:rtl/>
        </w:rPr>
        <w:t xml:space="preserve"> לחוק, אם בשל היות הפורום לא נאות </w:t>
      </w:r>
      <w:r w:rsidRPr="00F97A66">
        <w:rPr>
          <w:rFonts w:ascii="David" w:hAnsi="David"/>
          <w:sz w:val="24"/>
          <w:szCs w:val="24"/>
          <w:rtl/>
        </w:rPr>
        <w:t xml:space="preserve">(השוו: פרשת קנול, הנ"ל, בעמ' 1624; </w:t>
      </w:r>
      <w:hyperlink r:id="rId13" w:history="1">
        <w:r w:rsidRPr="00F97A66">
          <w:rPr>
            <w:rFonts w:ascii="David" w:hAnsi="David"/>
            <w:sz w:val="24"/>
            <w:szCs w:val="24"/>
            <w:rtl/>
          </w:rPr>
          <w:t>בג"ץ 8754/00</w:t>
        </w:r>
      </w:hyperlink>
      <w:r w:rsidRPr="00F97A66">
        <w:rPr>
          <w:rFonts w:ascii="David" w:hAnsi="David"/>
          <w:sz w:val="24"/>
          <w:szCs w:val="24"/>
          <w:rtl/>
        </w:rPr>
        <w:t xml:space="preserve"> רון נ' בית הדין הרבני הגדול (טרם פורסם)) </w:t>
      </w:r>
      <w:r w:rsidRPr="00F97A66">
        <w:rPr>
          <w:rFonts w:ascii="David" w:hAnsi="David"/>
          <w:rtl/>
        </w:rPr>
        <w:t xml:space="preserve">או מטעמים אחרים – בייחוד שעה שהבעל לא ביסס טענה ממין זה; </w:t>
      </w:r>
      <w:r w:rsidRPr="00F97A66">
        <w:rPr>
          <w:rFonts w:ascii="Miriam" w:hAnsi="Miriam"/>
          <w:rtl/>
        </w:rPr>
        <w:t xml:space="preserve">כן אין אנו נדרשים להכריע אם בנסיבות המקרה, ובייחוד נוכח הגשת הבקשה להכרה באישה כעולה חדשה, מתקיימים תנאי הסמכות של </w:t>
      </w:r>
      <w:hyperlink r:id="rId14" w:history="1">
        <w:r w:rsidRPr="00F97A66">
          <w:rPr>
            <w:rFonts w:ascii="Miriam" w:hAnsi="Miriam"/>
            <w:rtl/>
          </w:rPr>
          <w:t>סעיף 1</w:t>
        </w:r>
      </w:hyperlink>
      <w:r w:rsidRPr="00F97A66">
        <w:rPr>
          <w:rFonts w:ascii="Miriam" w:hAnsi="Miriam"/>
          <w:rtl/>
        </w:rPr>
        <w:t xml:space="preserve"> לחוק</w:t>
      </w:r>
      <w:r w:rsidRPr="00F97A66">
        <w:rPr>
          <w:rFonts w:ascii="David" w:hAnsi="David"/>
          <w:sz w:val="24"/>
          <w:szCs w:val="24"/>
          <w:rtl/>
        </w:rPr>
        <w:t xml:space="preserve">(וראו: </w:t>
      </w:r>
      <w:hyperlink r:id="rId15" w:history="1">
        <w:r w:rsidRPr="00F97A66">
          <w:rPr>
            <w:rFonts w:ascii="David" w:hAnsi="David"/>
            <w:sz w:val="24"/>
            <w:szCs w:val="24"/>
            <w:rtl/>
          </w:rPr>
          <w:t>ע"א 3868/95 ורבר נ' ורבר, פ"ד נב</w:t>
        </w:r>
      </w:hyperlink>
      <w:r w:rsidRPr="00F97A66">
        <w:rPr>
          <w:rFonts w:ascii="David" w:hAnsi="David"/>
          <w:sz w:val="24"/>
          <w:szCs w:val="24"/>
          <w:rtl/>
        </w:rPr>
        <w:t xml:space="preserve">(5) 817; </w:t>
      </w:r>
      <w:hyperlink r:id="rId16" w:history="1">
        <w:r w:rsidRPr="00F97A66">
          <w:rPr>
            <w:rFonts w:ascii="David" w:hAnsi="David"/>
            <w:sz w:val="24"/>
            <w:szCs w:val="24"/>
            <w:rtl/>
          </w:rPr>
          <w:t>בג"ץ 1480/01 חג'ג' נ' בית הדין הרבני הגדול, פ"ד נה</w:t>
        </w:r>
      </w:hyperlink>
      <w:r w:rsidRPr="00F97A66">
        <w:rPr>
          <w:rFonts w:ascii="David" w:hAnsi="David"/>
          <w:sz w:val="24"/>
          <w:szCs w:val="24"/>
          <w:rtl/>
        </w:rPr>
        <w:t>(5) 214)</w:t>
      </w:r>
      <w:r w:rsidRPr="00F97A66">
        <w:rPr>
          <w:rFonts w:ascii="David" w:hAnsi="David"/>
          <w:rtl/>
        </w:rPr>
        <w:t xml:space="preserve">. </w:t>
      </w:r>
    </w:p>
    <w:p w:rsidR="002876DB" w:rsidRPr="00F97A66" w:rsidRDefault="002876DB" w:rsidP="002B217F">
      <w:pPr>
        <w:pStyle w:val="af"/>
        <w:rPr>
          <w:rtl/>
          <w:lang w:eastAsia="he-IL"/>
        </w:rPr>
      </w:pPr>
      <w:r w:rsidRPr="00F97A66">
        <w:rPr>
          <w:rFonts w:hint="cs"/>
          <w:rtl/>
          <w:lang w:eastAsia="he-IL"/>
        </w:rPr>
        <w:lastRenderedPageBreak/>
        <w:t xml:space="preserve">בנוסף, הטענה </w:t>
      </w:r>
      <w:r w:rsidR="002B217F" w:rsidRPr="00F97A66">
        <w:rPr>
          <w:rFonts w:hint="cs"/>
          <w:rtl/>
          <w:lang w:eastAsia="he-IL"/>
        </w:rPr>
        <w:t>ש</w:t>
      </w:r>
      <w:r w:rsidRPr="00F97A66">
        <w:rPr>
          <w:rFonts w:hint="cs"/>
          <w:rtl/>
          <w:lang w:eastAsia="he-IL"/>
        </w:rPr>
        <w:t>לפיה סעיף 4 לחוק שיפוט בתי דין רבניים עוסק בהגשת תביעת</w:t>
      </w:r>
      <w:r w:rsidR="00F97A66">
        <w:rPr>
          <w:rFonts w:hint="cs"/>
          <w:rtl/>
          <w:lang w:eastAsia="he-IL"/>
        </w:rPr>
        <w:t xml:space="preserve"> מזונות "שלא אגב גירושין" בעוד </w:t>
      </w:r>
      <w:r w:rsidRPr="00F97A66">
        <w:rPr>
          <w:rFonts w:hint="cs"/>
          <w:rtl/>
          <w:lang w:eastAsia="he-IL"/>
        </w:rPr>
        <w:t>במקרה שלנו מדובר בתביעת מזונות אגב גירושין</w:t>
      </w:r>
      <w:r w:rsidR="002B217F" w:rsidRPr="00F97A66">
        <w:rPr>
          <w:rFonts w:hint="cs"/>
          <w:sz w:val="24"/>
          <w:szCs w:val="24"/>
          <w:rtl/>
          <w:lang w:eastAsia="he-IL"/>
        </w:rPr>
        <w:t xml:space="preserve">[לא זו בלבד שאינה תואמת לגישה המשתמעת בדברי </w:t>
      </w:r>
      <w:r w:rsidR="00265B33" w:rsidRPr="00F97A66">
        <w:rPr>
          <w:rFonts w:hint="cs"/>
          <w:sz w:val="24"/>
          <w:szCs w:val="24"/>
          <w:rtl/>
          <w:lang w:eastAsia="he-IL"/>
        </w:rPr>
        <w:t>ב</w:t>
      </w:r>
      <w:r w:rsidR="002B217F" w:rsidRPr="00F97A66">
        <w:rPr>
          <w:rFonts w:hint="cs"/>
          <w:sz w:val="24"/>
          <w:szCs w:val="24"/>
          <w:rtl/>
          <w:lang w:eastAsia="he-IL"/>
        </w:rPr>
        <w:t xml:space="preserve">ג"ץ בפרשת כובאני אלא] </w:t>
      </w:r>
      <w:r w:rsidR="002B217F" w:rsidRPr="00F97A66">
        <w:rPr>
          <w:rFonts w:hint="cs"/>
          <w:rtl/>
          <w:lang w:eastAsia="he-IL"/>
        </w:rPr>
        <w:t>אף</w:t>
      </w:r>
      <w:r w:rsidRPr="00F97A66">
        <w:rPr>
          <w:rFonts w:hint="cs"/>
          <w:rtl/>
          <w:lang w:eastAsia="he-IL"/>
        </w:rPr>
        <w:t xml:space="preserve"> הועלתה כבר בפני </w:t>
      </w:r>
      <w:r w:rsidR="000255C8" w:rsidRPr="00F97A66">
        <w:rPr>
          <w:rFonts w:hint="cs"/>
          <w:rtl/>
          <w:lang w:eastAsia="he-IL"/>
        </w:rPr>
        <w:t>בית הדין</w:t>
      </w:r>
      <w:r w:rsidRPr="00F97A66">
        <w:rPr>
          <w:rFonts w:hint="cs"/>
          <w:rtl/>
          <w:lang w:eastAsia="he-IL"/>
        </w:rPr>
        <w:t xml:space="preserve"> הגדול בעבר</w:t>
      </w:r>
      <w:r w:rsidR="002B217F" w:rsidRPr="00F97A66">
        <w:rPr>
          <w:rFonts w:hint="cs"/>
          <w:sz w:val="24"/>
          <w:szCs w:val="24"/>
          <w:rtl/>
          <w:lang w:eastAsia="he-IL"/>
        </w:rPr>
        <w:t xml:space="preserve">[בתיק </w:t>
      </w:r>
      <w:r w:rsidR="002B217F" w:rsidRPr="00F97A66">
        <w:rPr>
          <w:sz w:val="24"/>
          <w:szCs w:val="24"/>
          <w:rtl/>
          <w:lang w:eastAsia="he-IL"/>
        </w:rPr>
        <w:t>1239</w:t>
      </w:r>
      <w:r w:rsidR="002B217F" w:rsidRPr="00F97A66">
        <w:rPr>
          <w:rFonts w:hint="cs"/>
          <w:sz w:val="24"/>
          <w:szCs w:val="24"/>
          <w:rtl/>
          <w:lang w:eastAsia="he-IL"/>
        </w:rPr>
        <w:t>-1-53]</w:t>
      </w:r>
      <w:r w:rsidR="002B217F" w:rsidRPr="00F97A66">
        <w:rPr>
          <w:rFonts w:hint="cs"/>
          <w:rtl/>
          <w:lang w:eastAsia="he-IL"/>
        </w:rPr>
        <w:t>,</w:t>
      </w:r>
      <w:r w:rsidR="002B217F" w:rsidRPr="00F97A66">
        <w:rPr>
          <w:rFonts w:hint="cs"/>
          <w:b/>
          <w:bCs/>
          <w:rtl/>
          <w:lang w:eastAsia="he-IL"/>
        </w:rPr>
        <w:t>ו</w:t>
      </w:r>
      <w:r w:rsidR="000255C8" w:rsidRPr="00F97A66">
        <w:rPr>
          <w:rFonts w:hint="cs"/>
          <w:b/>
          <w:bCs/>
          <w:rtl/>
          <w:lang w:eastAsia="he-IL"/>
        </w:rPr>
        <w:t>בית הדין</w:t>
      </w:r>
      <w:r w:rsidRPr="00F97A66">
        <w:rPr>
          <w:rFonts w:hint="cs"/>
          <w:b/>
          <w:bCs/>
          <w:rtl/>
          <w:lang w:eastAsia="he-IL"/>
        </w:rPr>
        <w:t xml:space="preserve"> השיב על טענה זו בצטטו </w:t>
      </w:r>
      <w:r w:rsidRPr="00F97A66">
        <w:rPr>
          <w:rFonts w:hint="cs"/>
          <w:rtl/>
          <w:lang w:eastAsia="he-IL"/>
        </w:rPr>
        <w:t>מפסק דינו של בי</w:t>
      </w:r>
      <w:r w:rsidR="00EE4C07" w:rsidRPr="00F97A66">
        <w:rPr>
          <w:rFonts w:hint="cs"/>
          <w:rtl/>
          <w:lang w:eastAsia="he-IL"/>
        </w:rPr>
        <w:t>ת המ</w:t>
      </w:r>
      <w:r w:rsidRPr="00F97A66">
        <w:rPr>
          <w:rFonts w:hint="cs"/>
          <w:rtl/>
          <w:lang w:eastAsia="he-IL"/>
        </w:rPr>
        <w:t>ש</w:t>
      </w:r>
      <w:r w:rsidR="00EE4C07" w:rsidRPr="00F97A66">
        <w:rPr>
          <w:rFonts w:hint="cs"/>
          <w:rtl/>
          <w:lang w:eastAsia="he-IL"/>
        </w:rPr>
        <w:t>פט</w:t>
      </w:r>
      <w:r w:rsidRPr="00F97A66">
        <w:rPr>
          <w:rFonts w:hint="cs"/>
          <w:rtl/>
          <w:lang w:eastAsia="he-IL"/>
        </w:rPr>
        <w:t xml:space="preserve"> העליון עצמו</w:t>
      </w:r>
      <w:r w:rsidR="00C255BB" w:rsidRPr="00F97A66">
        <w:rPr>
          <w:rFonts w:hint="cs"/>
          <w:sz w:val="24"/>
          <w:szCs w:val="24"/>
          <w:rtl/>
          <w:lang w:eastAsia="he-IL"/>
        </w:rPr>
        <w:t>(</w:t>
      </w:r>
      <w:r w:rsidR="00C255BB" w:rsidRPr="00F97A66">
        <w:rPr>
          <w:rFonts w:ascii="Miriam" w:hAnsi="Miriam"/>
          <w:sz w:val="24"/>
          <w:szCs w:val="24"/>
          <w:rtl/>
          <w:lang w:eastAsia="he-IL"/>
        </w:rPr>
        <w:t>ע</w:t>
      </w:r>
      <w:r w:rsidR="00C255BB" w:rsidRPr="00F97A66">
        <w:rPr>
          <w:rFonts w:ascii="Miriam" w:hAnsi="Miriam" w:hint="cs"/>
          <w:sz w:val="24"/>
          <w:szCs w:val="24"/>
          <w:rtl/>
          <w:lang w:eastAsia="he-IL"/>
        </w:rPr>
        <w:t>"</w:t>
      </w:r>
      <w:r w:rsidR="00C255BB" w:rsidRPr="00F97A66">
        <w:rPr>
          <w:rFonts w:ascii="Miriam" w:hAnsi="Miriam"/>
          <w:sz w:val="24"/>
          <w:szCs w:val="24"/>
          <w:rtl/>
          <w:lang w:eastAsia="he-IL"/>
        </w:rPr>
        <w:t>א 250/83סחר עומרי נ' מוחמד עבדאלפתאח אברהים זועבי</w:t>
      </w:r>
      <w:r w:rsidR="00C255BB" w:rsidRPr="00F97A66">
        <w:rPr>
          <w:rFonts w:ascii="Miriam" w:hAnsi="Miriam" w:hint="cs"/>
          <w:sz w:val="24"/>
          <w:szCs w:val="24"/>
          <w:rtl/>
          <w:lang w:eastAsia="he-IL"/>
        </w:rPr>
        <w:t>)</w:t>
      </w:r>
      <w:r w:rsidRPr="00F97A66">
        <w:rPr>
          <w:rFonts w:hint="cs"/>
          <w:rtl/>
          <w:lang w:eastAsia="he-IL"/>
        </w:rPr>
        <w:t>:</w:t>
      </w:r>
    </w:p>
    <w:p w:rsidR="00C255BB" w:rsidRPr="00F97A66" w:rsidRDefault="002876DB" w:rsidP="008B341C">
      <w:pPr>
        <w:pStyle w:val="aa"/>
        <w:rPr>
          <w:rtl/>
          <w:lang w:eastAsia="he-IL"/>
        </w:rPr>
      </w:pPr>
      <w:r w:rsidRPr="00F97A66">
        <w:rPr>
          <w:rtl/>
          <w:lang w:eastAsia="he-IL"/>
        </w:rPr>
        <w:t>מן הראוי לחזור לאותם ימים שעובר לחקיקת חוק שיפוט בתי דין ר</w:t>
      </w:r>
      <w:r w:rsidR="008B341C" w:rsidRPr="00F97A66">
        <w:rPr>
          <w:rtl/>
          <w:lang w:eastAsia="he-IL"/>
        </w:rPr>
        <w:t>בניים (נישואין וגירושין). בסעיף</w:t>
      </w:r>
      <w:r w:rsidRPr="00F97A66">
        <w:rPr>
          <w:rtl/>
          <w:lang w:eastAsia="he-IL"/>
        </w:rPr>
        <w:t xml:space="preserve"> 4של חו</w:t>
      </w:r>
      <w:r w:rsidR="008B341C" w:rsidRPr="00F97A66">
        <w:rPr>
          <w:rtl/>
          <w:lang w:eastAsia="he-IL"/>
        </w:rPr>
        <w:t>ק זה נקבע</w:t>
      </w:r>
      <w:r w:rsidRPr="00F97A66">
        <w:rPr>
          <w:rtl/>
          <w:lang w:eastAsia="he-IL"/>
        </w:rPr>
        <w:t xml:space="preserve"> כ</w:t>
      </w:r>
      <w:r w:rsidR="008B341C" w:rsidRPr="00F97A66">
        <w:rPr>
          <w:rtl/>
          <w:lang w:eastAsia="he-IL"/>
        </w:rPr>
        <w:t>י כאשר אישה יהודייה שהגישה לבית</w:t>
      </w:r>
      <w:r w:rsidRPr="00F97A66">
        <w:rPr>
          <w:rtl/>
          <w:lang w:eastAsia="he-IL"/>
        </w:rPr>
        <w:t>דין רבנ</w:t>
      </w:r>
      <w:r w:rsidR="008B341C" w:rsidRPr="00F97A66">
        <w:rPr>
          <w:rtl/>
          <w:lang w:eastAsia="he-IL"/>
        </w:rPr>
        <w:t>י תביעת מזונות שלא אגב גירושין –</w:t>
      </w:r>
      <w:r w:rsidRPr="00F97A66">
        <w:rPr>
          <w:rtl/>
          <w:lang w:eastAsia="he-IL"/>
        </w:rPr>
        <w:t xml:space="preserve"> "</w:t>
      </w:r>
      <w:r w:rsidR="008B341C" w:rsidRPr="00F97A66">
        <w:rPr>
          <w:rFonts w:hint="cs"/>
          <w:rtl/>
          <w:lang w:eastAsia="he-IL"/>
        </w:rPr>
        <w:t>ל</w:t>
      </w:r>
      <w:r w:rsidRPr="00F97A66">
        <w:rPr>
          <w:rtl/>
          <w:lang w:eastAsia="he-IL"/>
        </w:rPr>
        <w:t xml:space="preserve">א תישמע טענת הנתבע שאין לבית דין רבני שיפוט בענין". </w:t>
      </w:r>
    </w:p>
    <w:p w:rsidR="007C1D63" w:rsidRPr="00F97A66" w:rsidRDefault="002876DB" w:rsidP="008B341C">
      <w:pPr>
        <w:pStyle w:val="aa"/>
        <w:rPr>
          <w:rtl/>
          <w:lang w:eastAsia="he-IL"/>
        </w:rPr>
      </w:pPr>
      <w:r w:rsidRPr="00F97A66">
        <w:rPr>
          <w:rtl/>
          <w:lang w:eastAsia="he-IL"/>
        </w:rPr>
        <w:t xml:space="preserve">בידוע, חלה לעניין ניסוחו של סעיף זה "תקרית" כתוצאה מפסיקה שהלכה והשתנתה. כאשר הסעיף נוסח ונכנס לתוקפו, קיים היה פסק הדין שניתן בערעור של רוזנבוים </w:t>
      </w:r>
      <w:r w:rsidRPr="00F97A66">
        <w:rPr>
          <w:sz w:val="24"/>
          <w:szCs w:val="24"/>
          <w:rtl/>
          <w:lang w:eastAsia="he-IL"/>
        </w:rPr>
        <w:t>(ע"</w:t>
      </w:r>
      <w:r w:rsidR="007C1D63" w:rsidRPr="00F97A66">
        <w:rPr>
          <w:sz w:val="24"/>
          <w:szCs w:val="24"/>
          <w:rtl/>
          <w:lang w:eastAsia="he-IL"/>
        </w:rPr>
        <w:t>א 376/46[9])</w:t>
      </w:r>
      <w:r w:rsidR="007C1D63" w:rsidRPr="00F97A66">
        <w:rPr>
          <w:rtl/>
          <w:lang w:eastAsia="he-IL"/>
        </w:rPr>
        <w:t>, ושם הובעה הדעה על</w:t>
      </w:r>
      <w:r w:rsidRPr="00F97A66">
        <w:rPr>
          <w:rtl/>
          <w:lang w:eastAsia="he-IL"/>
        </w:rPr>
        <w:t xml:space="preserve">ידי השופט חשין המנוח </w:t>
      </w:r>
      <w:r w:rsidR="007C1D63" w:rsidRPr="00F97A66">
        <w:rPr>
          <w:rtl/>
          <w:lang w:eastAsia="he-IL"/>
        </w:rPr>
        <w:t>–</w:t>
      </w:r>
      <w:r w:rsidRPr="00F97A66">
        <w:rPr>
          <w:rtl/>
          <w:lang w:eastAsia="he-IL"/>
        </w:rPr>
        <w:t xml:space="preserve"> בעקבות פסיקה אנגלית קודמת </w:t>
      </w:r>
      <w:r w:rsidR="007C1D63" w:rsidRPr="00F97A66">
        <w:rPr>
          <w:rtl/>
          <w:lang w:eastAsia="he-IL"/>
        </w:rPr>
        <w:t>–</w:t>
      </w:r>
      <w:r w:rsidRPr="00F97A66">
        <w:rPr>
          <w:rtl/>
          <w:lang w:eastAsia="he-IL"/>
        </w:rPr>
        <w:t xml:space="preserve"> כי תביעת מזונות בין בעל לאישה שלא אגב גירושין היא בבחינת </w:t>
      </w:r>
      <w:r w:rsidRPr="00F97A66">
        <w:rPr>
          <w:lang w:eastAsia="he-IL"/>
        </w:rPr>
        <w:t>maintenance</w:t>
      </w:r>
      <w:r w:rsidR="007C1D63" w:rsidRPr="00F97A66">
        <w:rPr>
          <w:rtl/>
          <w:lang w:eastAsia="he-IL"/>
        </w:rPr>
        <w:t>; עלפי דעה זו, סמכות השיפוט של בית</w:t>
      </w:r>
      <w:r w:rsidRPr="00F97A66">
        <w:rPr>
          <w:rtl/>
          <w:lang w:eastAsia="he-IL"/>
        </w:rPr>
        <w:t xml:space="preserve">דין </w:t>
      </w:r>
      <w:r w:rsidR="007C1D63" w:rsidRPr="00F97A66">
        <w:rPr>
          <w:rtl/>
          <w:lang w:eastAsia="he-IL"/>
        </w:rPr>
        <w:t>רבני בתביעת מזונות כזו שבין בני</w:t>
      </w:r>
      <w:r w:rsidRPr="00F97A66">
        <w:rPr>
          <w:rtl/>
          <w:lang w:eastAsia="he-IL"/>
        </w:rPr>
        <w:t xml:space="preserve">זוג תלויה הייתה בהסכמת שני בני הזוג </w:t>
      </w:r>
      <w:r w:rsidRPr="00F97A66">
        <w:rPr>
          <w:sz w:val="24"/>
          <w:szCs w:val="24"/>
          <w:rtl/>
          <w:lang w:eastAsia="he-IL"/>
        </w:rPr>
        <w:t>(</w:t>
      </w:r>
      <w:r w:rsidR="007C1D63" w:rsidRPr="00F97A66">
        <w:rPr>
          <w:sz w:val="24"/>
          <w:szCs w:val="24"/>
          <w:rtl/>
          <w:lang w:eastAsia="he-IL"/>
        </w:rPr>
        <w:t>סימן 54 לדבר המלך במועצה על ארץ</w:t>
      </w:r>
      <w:r w:rsidRPr="00F97A66">
        <w:rPr>
          <w:sz w:val="24"/>
          <w:szCs w:val="24"/>
          <w:rtl/>
          <w:lang w:eastAsia="he-IL"/>
        </w:rPr>
        <w:t>ישראל, 1922)</w:t>
      </w:r>
      <w:r w:rsidRPr="00F97A66">
        <w:rPr>
          <w:rtl/>
          <w:lang w:eastAsia="he-IL"/>
        </w:rPr>
        <w:t xml:space="preserve">, ואם הבעל התנגד, צריכה הייתה האישה להגיש את התביעה לבית המשפט המחוזי. במצב זה, </w:t>
      </w:r>
      <w:r w:rsidRPr="00F97A66">
        <w:rPr>
          <w:rFonts w:ascii="Miriam" w:hAnsi="Miriam"/>
          <w:rtl/>
          <w:lang w:eastAsia="he-IL"/>
        </w:rPr>
        <w:t>סעיף 4 הנ"ל ביקש להוסיף על סמכות השיפוט של בתי הדין הרבניים</w:t>
      </w:r>
      <w:r w:rsidRPr="00F97A66">
        <w:rPr>
          <w:rtl/>
          <w:lang w:eastAsia="he-IL"/>
        </w:rPr>
        <w:t xml:space="preserve"> בקבעו, שאם האישה הגישה את התביעה לבית הדין הרבני, מסורה לו סמכות השיפוט, ואין הבעל יכול להתנגד. </w:t>
      </w:r>
    </w:p>
    <w:p w:rsidR="002876DB" w:rsidRPr="007C1D63" w:rsidRDefault="00C255BB" w:rsidP="008B341C">
      <w:pPr>
        <w:pStyle w:val="aa"/>
        <w:rPr>
          <w:rFonts w:ascii="Miriam" w:hAnsi="Miriam"/>
          <w:sz w:val="24"/>
          <w:szCs w:val="24"/>
          <w:rtl/>
          <w:lang w:eastAsia="he-IL"/>
        </w:rPr>
      </w:pPr>
      <w:r w:rsidRPr="00F97A66">
        <w:rPr>
          <w:rFonts w:ascii="Miriam" w:hAnsi="Miriam" w:hint="cs"/>
          <w:sz w:val="24"/>
          <w:szCs w:val="24"/>
          <w:rtl/>
          <w:lang w:eastAsia="he-IL"/>
        </w:rPr>
        <w:t xml:space="preserve"> [צוטט בדברי</w:t>
      </w:r>
      <w:r>
        <w:rPr>
          <w:rFonts w:ascii="Miriam" w:hAnsi="Miriam" w:hint="cs"/>
          <w:sz w:val="24"/>
          <w:szCs w:val="24"/>
          <w:rtl/>
          <w:lang w:eastAsia="he-IL"/>
        </w:rPr>
        <w:t xml:space="preserve"> בית הדין הגדול האמורים החל במילה "בידוע"]</w:t>
      </w:r>
      <w:r w:rsidR="002876DB" w:rsidRPr="007C1D63">
        <w:rPr>
          <w:rFonts w:ascii="Miriam" w:hAnsi="Miriam" w:hint="cs"/>
          <w:sz w:val="24"/>
          <w:szCs w:val="24"/>
          <w:rtl/>
          <w:lang w:eastAsia="he-IL"/>
        </w:rPr>
        <w:t>.</w:t>
      </w:r>
    </w:p>
    <w:p w:rsidR="002876DB" w:rsidRPr="00EE4C07" w:rsidRDefault="00C255BB" w:rsidP="000F76D6">
      <w:pPr>
        <w:pStyle w:val="af"/>
        <w:rPr>
          <w:sz w:val="24"/>
          <w:szCs w:val="24"/>
          <w:rtl/>
          <w:lang w:eastAsia="he-IL"/>
        </w:rPr>
      </w:pPr>
      <w:r w:rsidRPr="00C255BB">
        <w:rPr>
          <w:rFonts w:hint="cs"/>
          <w:b/>
          <w:bCs/>
          <w:rtl/>
          <w:lang w:eastAsia="he-IL"/>
        </w:rPr>
        <w:t>ובהסיקו</w:t>
      </w:r>
      <w:r>
        <w:rPr>
          <w:rFonts w:hint="cs"/>
          <w:rtl/>
          <w:lang w:eastAsia="he-IL"/>
        </w:rPr>
        <w:t xml:space="preserve"> כי</w:t>
      </w:r>
      <w:r w:rsidR="002876DB" w:rsidRPr="002876DB">
        <w:rPr>
          <w:rFonts w:hint="cs"/>
          <w:rtl/>
          <w:lang w:eastAsia="he-IL"/>
        </w:rPr>
        <w:t xml:space="preserve">: </w:t>
      </w:r>
      <w:r w:rsidR="002876DB" w:rsidRPr="00DD45F0">
        <w:rPr>
          <w:rFonts w:hint="cs"/>
          <w:b/>
          <w:bCs/>
          <w:rtl/>
          <w:lang w:eastAsia="he-IL"/>
        </w:rPr>
        <w:t xml:space="preserve">כוונת המילים "שלא אגב גירושין" הייתה להוסיף על סמכות </w:t>
      </w:r>
      <w:r w:rsidR="000255C8" w:rsidRPr="00DD45F0">
        <w:rPr>
          <w:rFonts w:hint="cs"/>
          <w:b/>
          <w:bCs/>
          <w:rtl/>
          <w:lang w:eastAsia="he-IL"/>
        </w:rPr>
        <w:t>בית הדין</w:t>
      </w:r>
      <w:r w:rsidR="002876DB" w:rsidRPr="00DD45F0">
        <w:rPr>
          <w:rFonts w:hint="cs"/>
          <w:b/>
          <w:bCs/>
          <w:rtl/>
          <w:lang w:eastAsia="he-IL"/>
        </w:rPr>
        <w:t xml:space="preserve"> הרבני</w:t>
      </w:r>
      <w:r w:rsidR="002876DB" w:rsidRPr="002876DB">
        <w:rPr>
          <w:rFonts w:hint="cs"/>
          <w:rtl/>
          <w:lang w:eastAsia="he-IL"/>
        </w:rPr>
        <w:t xml:space="preserve"> באופן שיוכל לדון </w:t>
      </w:r>
      <w:r w:rsidR="002876DB" w:rsidRPr="00EE4C07">
        <w:rPr>
          <w:rFonts w:hint="cs"/>
          <w:b/>
          <w:bCs/>
          <w:rtl/>
          <w:lang w:eastAsia="he-IL"/>
        </w:rPr>
        <w:t>גם</w:t>
      </w:r>
      <w:r w:rsidR="002876DB" w:rsidRPr="002876DB">
        <w:rPr>
          <w:rFonts w:hint="cs"/>
          <w:rtl/>
          <w:lang w:eastAsia="he-IL"/>
        </w:rPr>
        <w:t xml:space="preserve"> במזונות שלא אגב גירושין, ופשיטא שיש לו סמכות לדון בתביעת מזונות שאגב גירושין. </w:t>
      </w:r>
      <w:r w:rsidR="00EE4C07">
        <w:rPr>
          <w:rFonts w:hint="cs"/>
          <w:sz w:val="24"/>
          <w:szCs w:val="24"/>
          <w:rtl/>
          <w:lang w:eastAsia="he-IL"/>
        </w:rPr>
        <w:t>(</w:t>
      </w:r>
      <w:r w:rsidR="002876DB" w:rsidRPr="00EE4C07">
        <w:rPr>
          <w:rFonts w:hint="cs"/>
          <w:sz w:val="24"/>
          <w:szCs w:val="24"/>
          <w:rtl/>
          <w:lang w:eastAsia="he-IL"/>
        </w:rPr>
        <w:t xml:space="preserve">לעניין זה </w:t>
      </w:r>
      <w:r w:rsidR="002876DB" w:rsidRPr="00EE4C07">
        <w:rPr>
          <w:sz w:val="24"/>
          <w:szCs w:val="24"/>
          <w:rtl/>
          <w:lang w:eastAsia="he-IL"/>
        </w:rPr>
        <w:t xml:space="preserve">ראו: פרופ' אליאב שוחטמן, "מסורבות הגט שבחו"ל </w:t>
      </w:r>
      <w:r w:rsidR="00EE4C07" w:rsidRPr="00EE4C07">
        <w:rPr>
          <w:sz w:val="24"/>
          <w:szCs w:val="24"/>
          <w:rtl/>
          <w:lang w:eastAsia="he-IL"/>
        </w:rPr>
        <w:t>–</w:t>
      </w:r>
      <w:r w:rsidR="002876DB" w:rsidRPr="00EE4C07">
        <w:rPr>
          <w:sz w:val="24"/>
          <w:szCs w:val="24"/>
          <w:rtl/>
          <w:lang w:eastAsia="he-IL"/>
        </w:rPr>
        <w:t xml:space="preserve"> היש להן מושיע בישראל?", שערים למשפט 1 אביב תשס"ה</w:t>
      </w:r>
      <w:r w:rsidR="00EE4C07" w:rsidRPr="00EE4C07">
        <w:rPr>
          <w:sz w:val="24"/>
          <w:szCs w:val="24"/>
          <w:rtl/>
          <w:lang w:eastAsia="he-IL"/>
        </w:rPr>
        <w:t>–</w:t>
      </w:r>
      <w:r w:rsidR="002876DB" w:rsidRPr="00EE4C07">
        <w:rPr>
          <w:sz w:val="24"/>
          <w:szCs w:val="24"/>
          <w:rtl/>
          <w:lang w:eastAsia="he-IL"/>
        </w:rPr>
        <w:t>2005 [מכללת שערי משפט]</w:t>
      </w:r>
      <w:r w:rsidR="00EE4C07">
        <w:rPr>
          <w:rFonts w:hint="cs"/>
          <w:sz w:val="24"/>
          <w:szCs w:val="24"/>
          <w:rtl/>
          <w:lang w:eastAsia="he-IL"/>
        </w:rPr>
        <w:t>.</w:t>
      </w:r>
      <w:r w:rsidR="002876DB" w:rsidRPr="00EE4C07">
        <w:rPr>
          <w:sz w:val="24"/>
          <w:szCs w:val="24"/>
          <w:rtl/>
          <w:lang w:eastAsia="he-IL"/>
        </w:rPr>
        <w:t>)</w:t>
      </w:r>
    </w:p>
    <w:p w:rsidR="002876DB" w:rsidRPr="002876DB" w:rsidRDefault="002876DB" w:rsidP="000F76D6">
      <w:pPr>
        <w:pStyle w:val="af"/>
        <w:rPr>
          <w:rtl/>
          <w:lang w:eastAsia="he-IL"/>
        </w:rPr>
      </w:pPr>
      <w:r w:rsidRPr="00DD45F0">
        <w:rPr>
          <w:rFonts w:hint="cs"/>
          <w:b/>
          <w:bCs/>
          <w:rtl/>
          <w:lang w:eastAsia="he-IL"/>
        </w:rPr>
        <w:t>פרשנות זו ראויה לדעתנו לאימוץ</w:t>
      </w:r>
      <w:r w:rsidRPr="002876DB">
        <w:rPr>
          <w:rFonts w:hint="cs"/>
          <w:rtl/>
          <w:lang w:eastAsia="he-IL"/>
        </w:rPr>
        <w:t xml:space="preserve"> הן מפני ש</w:t>
      </w:r>
      <w:r w:rsidRPr="00DD45F0">
        <w:rPr>
          <w:rFonts w:hint="cs"/>
          <w:b/>
          <w:bCs/>
          <w:rtl/>
          <w:lang w:eastAsia="he-IL"/>
        </w:rPr>
        <w:t xml:space="preserve">בחינת </w:t>
      </w:r>
      <w:r w:rsidR="00265B33" w:rsidRPr="00DD45F0">
        <w:rPr>
          <w:rFonts w:hint="cs"/>
          <w:b/>
          <w:bCs/>
          <w:rtl/>
          <w:lang w:eastAsia="he-IL"/>
        </w:rPr>
        <w:t>ההיסטורי</w:t>
      </w:r>
      <w:r w:rsidR="00265B33" w:rsidRPr="00DD45F0">
        <w:rPr>
          <w:rFonts w:hint="eastAsia"/>
          <w:b/>
          <w:bCs/>
          <w:rtl/>
          <w:lang w:eastAsia="he-IL"/>
        </w:rPr>
        <w:t>ה</w:t>
      </w:r>
      <w:r w:rsidRPr="00DD45F0">
        <w:rPr>
          <w:rFonts w:hint="cs"/>
          <w:b/>
          <w:bCs/>
          <w:rtl/>
          <w:lang w:eastAsia="he-IL"/>
        </w:rPr>
        <w:t xml:space="preserve"> החקיקתית</w:t>
      </w:r>
      <w:r w:rsidRPr="002876DB">
        <w:rPr>
          <w:rFonts w:hint="cs"/>
          <w:rtl/>
          <w:lang w:eastAsia="he-IL"/>
        </w:rPr>
        <w:t xml:space="preserve"> של סעיף 4 לחוק </w:t>
      </w:r>
      <w:r w:rsidRPr="00DD45F0">
        <w:rPr>
          <w:rFonts w:hint="cs"/>
          <w:b/>
          <w:bCs/>
          <w:rtl/>
          <w:lang w:eastAsia="he-IL"/>
        </w:rPr>
        <w:t>מגלה שזו הייתה מטרת וכוונת המחוקק</w:t>
      </w:r>
      <w:r w:rsidRPr="002876DB">
        <w:rPr>
          <w:rFonts w:hint="cs"/>
          <w:rtl/>
          <w:lang w:eastAsia="he-IL"/>
        </w:rPr>
        <w:t xml:space="preserve">, והן מפאת </w:t>
      </w:r>
      <w:r w:rsidRPr="00DD45F0">
        <w:rPr>
          <w:rFonts w:hint="cs"/>
          <w:b/>
          <w:bCs/>
          <w:rtl/>
          <w:lang w:eastAsia="he-IL"/>
        </w:rPr>
        <w:t xml:space="preserve">המדיניות </w:t>
      </w:r>
      <w:r w:rsidR="00DD45F0">
        <w:rPr>
          <w:rFonts w:hint="cs"/>
          <w:b/>
          <w:bCs/>
          <w:rtl/>
          <w:lang w:eastAsia="he-IL"/>
        </w:rPr>
        <w:t>ש</w:t>
      </w:r>
      <w:r w:rsidRPr="00DD45F0">
        <w:rPr>
          <w:rFonts w:hint="cs"/>
          <w:b/>
          <w:bCs/>
          <w:rtl/>
          <w:lang w:eastAsia="he-IL"/>
        </w:rPr>
        <w:t>בה ראוי לנקוט</w:t>
      </w:r>
      <w:r w:rsidRPr="002876DB">
        <w:rPr>
          <w:rFonts w:hint="cs"/>
          <w:rtl/>
          <w:lang w:eastAsia="he-IL"/>
        </w:rPr>
        <w:t xml:space="preserve"> בבואנו לפרש את החוק</w:t>
      </w:r>
      <w:r w:rsidR="000F76D6">
        <w:rPr>
          <w:rFonts w:hint="cs"/>
          <w:rtl/>
          <w:lang w:eastAsia="he-IL"/>
        </w:rPr>
        <w:t>,</w:t>
      </w:r>
      <w:r w:rsidRPr="002876DB">
        <w:rPr>
          <w:rFonts w:hint="cs"/>
          <w:rtl/>
          <w:lang w:eastAsia="he-IL"/>
        </w:rPr>
        <w:t xml:space="preserve"> מאחר שבענייננו מדובר</w:t>
      </w:r>
      <w:r w:rsidR="000F76D6">
        <w:rPr>
          <w:rFonts w:hint="cs"/>
          <w:rtl/>
          <w:lang w:eastAsia="he-IL"/>
        </w:rPr>
        <w:t xml:space="preserve"> על זוג יהודים אזרחי ותושבי חוץ:</w:t>
      </w:r>
      <w:r w:rsidRPr="002876DB">
        <w:rPr>
          <w:rFonts w:hint="cs"/>
          <w:rtl/>
          <w:lang w:eastAsia="he-IL"/>
        </w:rPr>
        <w:t xml:space="preserve"> המציאות </w:t>
      </w:r>
      <w:r w:rsidR="000F76D6">
        <w:rPr>
          <w:rFonts w:hint="cs"/>
          <w:rtl/>
          <w:lang w:eastAsia="he-IL"/>
        </w:rPr>
        <w:t>ש</w:t>
      </w:r>
      <w:r w:rsidRPr="002876DB">
        <w:rPr>
          <w:rFonts w:hint="cs"/>
          <w:rtl/>
          <w:lang w:eastAsia="he-IL"/>
        </w:rPr>
        <w:t>בה חיים יהודים בחוץ לארץ מקשה על נשים י</w:t>
      </w:r>
      <w:r w:rsidR="000F76D6">
        <w:rPr>
          <w:rFonts w:hint="cs"/>
          <w:rtl/>
          <w:lang w:eastAsia="he-IL"/>
        </w:rPr>
        <w:t xml:space="preserve">הודיות שהן אזרחיות ותושבות חוץ </w:t>
      </w:r>
      <w:r w:rsidRPr="002876DB">
        <w:rPr>
          <w:rFonts w:hint="cs"/>
          <w:rtl/>
          <w:lang w:eastAsia="he-IL"/>
        </w:rPr>
        <w:t xml:space="preserve">לקבל את המגיע להן על פי ההלכה, הן קושי בקבלת גט הפיטורין עצמו והן בקבלת זכויותיהן מתוקף החיובים הבסיסיים </w:t>
      </w:r>
      <w:r w:rsidR="000F76D6">
        <w:rPr>
          <w:rFonts w:hint="cs"/>
          <w:rtl/>
          <w:lang w:eastAsia="he-IL"/>
        </w:rPr>
        <w:t>ש</w:t>
      </w:r>
      <w:r w:rsidRPr="002876DB">
        <w:rPr>
          <w:rFonts w:hint="cs"/>
          <w:rtl/>
          <w:lang w:eastAsia="he-IL"/>
        </w:rPr>
        <w:t xml:space="preserve">בהם חייב בעל יהודי לאשתו, לרבות הסכומים הדרושים לה עצמה כדי לכלכל את ילדיה </w:t>
      </w:r>
      <w:r w:rsidRPr="000F76D6">
        <w:rPr>
          <w:sz w:val="24"/>
          <w:szCs w:val="24"/>
          <w:rtl/>
          <w:lang w:eastAsia="he-IL"/>
        </w:rPr>
        <w:t>(ראה בעניין זה בג"ץ 99/62 סולטן נ' סולטן)</w:t>
      </w:r>
      <w:r w:rsidRPr="002876DB">
        <w:rPr>
          <w:rFonts w:hint="cs"/>
          <w:rtl/>
          <w:lang w:eastAsia="he-IL"/>
        </w:rPr>
        <w:t xml:space="preserve">. לפיכך </w:t>
      </w:r>
      <w:r w:rsidRPr="00DD45F0">
        <w:rPr>
          <w:rFonts w:hint="cs"/>
          <w:b/>
          <w:bCs/>
          <w:rtl/>
          <w:lang w:eastAsia="he-IL"/>
        </w:rPr>
        <w:t>שו</w:t>
      </w:r>
      <w:r w:rsidR="000F76D6" w:rsidRPr="00DD45F0">
        <w:rPr>
          <w:rFonts w:hint="cs"/>
          <w:b/>
          <w:bCs/>
          <w:rtl/>
          <w:lang w:eastAsia="he-IL"/>
        </w:rPr>
        <w:t xml:space="preserve">מה עלינו לאמץ מדיניות של פרשנות </w:t>
      </w:r>
      <w:r w:rsidRPr="00DD45F0">
        <w:rPr>
          <w:rFonts w:hint="cs"/>
          <w:b/>
          <w:bCs/>
          <w:rtl/>
          <w:lang w:eastAsia="he-IL"/>
        </w:rPr>
        <w:t>חוק שתוצאתה היא הבאת מזור למצוקתן של נשי</w:t>
      </w:r>
      <w:r w:rsidR="000F76D6" w:rsidRPr="00DD45F0">
        <w:rPr>
          <w:rFonts w:hint="cs"/>
          <w:b/>
          <w:bCs/>
          <w:rtl/>
          <w:lang w:eastAsia="he-IL"/>
        </w:rPr>
        <w:t>ם</w:t>
      </w:r>
      <w:r w:rsidRPr="00DD45F0">
        <w:rPr>
          <w:rFonts w:hint="cs"/>
          <w:b/>
          <w:bCs/>
          <w:rtl/>
          <w:lang w:eastAsia="he-IL"/>
        </w:rPr>
        <w:t xml:space="preserve"> אשר י</w:t>
      </w:r>
      <w:r w:rsidR="000F76D6" w:rsidRPr="00DD45F0">
        <w:rPr>
          <w:rFonts w:hint="cs"/>
          <w:b/>
          <w:bCs/>
          <w:rtl/>
          <w:lang w:eastAsia="he-IL"/>
        </w:rPr>
        <w:t>יתכן ש</w:t>
      </w:r>
      <w:r w:rsidR="000255C8" w:rsidRPr="00DD45F0">
        <w:rPr>
          <w:rFonts w:hint="cs"/>
          <w:b/>
          <w:bCs/>
          <w:rtl/>
          <w:lang w:eastAsia="he-IL"/>
        </w:rPr>
        <w:t>בית הדין</w:t>
      </w:r>
      <w:r w:rsidRPr="00DD45F0">
        <w:rPr>
          <w:rFonts w:hint="cs"/>
          <w:b/>
          <w:bCs/>
          <w:rtl/>
          <w:lang w:eastAsia="he-IL"/>
        </w:rPr>
        <w:t xml:space="preserve"> הרבני בישראל הוא משענתן היחידה</w:t>
      </w:r>
      <w:r w:rsidRPr="002876DB">
        <w:rPr>
          <w:rFonts w:hint="cs"/>
          <w:rtl/>
          <w:lang w:eastAsia="he-IL"/>
        </w:rPr>
        <w:t>. הדברים אמורים ביחוד כאשר פרשנות זו מושרשת היטב בפסיקה ותיקה של בי</w:t>
      </w:r>
      <w:r w:rsidR="00323A5F">
        <w:rPr>
          <w:rFonts w:hint="cs"/>
          <w:rtl/>
          <w:lang w:eastAsia="he-IL"/>
        </w:rPr>
        <w:t>ת המ</w:t>
      </w:r>
      <w:r w:rsidRPr="002876DB">
        <w:rPr>
          <w:rFonts w:hint="cs"/>
          <w:rtl/>
          <w:lang w:eastAsia="he-IL"/>
        </w:rPr>
        <w:t>ש</w:t>
      </w:r>
      <w:r w:rsidR="00323A5F">
        <w:rPr>
          <w:rFonts w:hint="cs"/>
          <w:rtl/>
          <w:lang w:eastAsia="he-IL"/>
        </w:rPr>
        <w:t>פט</w:t>
      </w:r>
      <w:r w:rsidRPr="002876DB">
        <w:rPr>
          <w:rFonts w:hint="cs"/>
          <w:rtl/>
          <w:lang w:eastAsia="he-IL"/>
        </w:rPr>
        <w:t xml:space="preserve"> העליון בישראל כפי שנזכר לעיל.</w:t>
      </w:r>
    </w:p>
    <w:p w:rsidR="00323A5F" w:rsidRDefault="002876DB" w:rsidP="00323A5F">
      <w:pPr>
        <w:pStyle w:val="af"/>
        <w:rPr>
          <w:rtl/>
          <w:lang w:eastAsia="he-IL"/>
        </w:rPr>
      </w:pPr>
      <w:r w:rsidRPr="002876DB">
        <w:rPr>
          <w:rFonts w:hint="cs"/>
          <w:rtl/>
          <w:lang w:eastAsia="he-IL"/>
        </w:rPr>
        <w:t xml:space="preserve">עם זאת, </w:t>
      </w:r>
      <w:r w:rsidRPr="006D232C">
        <w:rPr>
          <w:rFonts w:hint="cs"/>
          <w:b/>
          <w:bCs/>
          <w:rtl/>
          <w:lang w:eastAsia="he-IL"/>
        </w:rPr>
        <w:t xml:space="preserve">במקרה שלפנינו </w:t>
      </w:r>
      <w:r w:rsidRPr="002876DB">
        <w:rPr>
          <w:rFonts w:hint="cs"/>
          <w:rtl/>
          <w:lang w:eastAsia="he-IL"/>
        </w:rPr>
        <w:t xml:space="preserve">התביעה נכרכה בתביעת הגירושין, אולם </w:t>
      </w:r>
      <w:r w:rsidRPr="006D232C">
        <w:rPr>
          <w:rFonts w:hint="cs"/>
          <w:b/>
          <w:bCs/>
          <w:rtl/>
          <w:lang w:eastAsia="he-IL"/>
        </w:rPr>
        <w:t xml:space="preserve">הכריכה עצמה אינה מקנה סמכות </w:t>
      </w:r>
      <w:r w:rsidRPr="002876DB">
        <w:rPr>
          <w:rFonts w:hint="cs"/>
          <w:rtl/>
          <w:lang w:eastAsia="he-IL"/>
        </w:rPr>
        <w:t>ל</w:t>
      </w:r>
      <w:r w:rsidR="000255C8">
        <w:rPr>
          <w:rFonts w:hint="cs"/>
          <w:rtl/>
          <w:lang w:eastAsia="he-IL"/>
        </w:rPr>
        <w:t>בית הדין</w:t>
      </w:r>
      <w:r w:rsidRPr="002876DB">
        <w:rPr>
          <w:rFonts w:hint="cs"/>
          <w:rtl/>
          <w:lang w:eastAsia="he-IL"/>
        </w:rPr>
        <w:t xml:space="preserve"> הרבני.</w:t>
      </w:r>
    </w:p>
    <w:p w:rsidR="002876DB" w:rsidRPr="002876DB" w:rsidRDefault="00323A5F" w:rsidP="00927846">
      <w:pPr>
        <w:pStyle w:val="af"/>
        <w:rPr>
          <w:lang w:eastAsia="he-IL"/>
        </w:rPr>
      </w:pPr>
      <w:r w:rsidRPr="006D232C">
        <w:rPr>
          <w:rFonts w:hint="cs"/>
          <w:b/>
          <w:bCs/>
          <w:rtl/>
          <w:lang w:eastAsia="he-IL"/>
        </w:rPr>
        <w:t>י</w:t>
      </w:r>
      <w:r w:rsidR="002876DB" w:rsidRPr="006D232C">
        <w:rPr>
          <w:rFonts w:hint="cs"/>
          <w:b/>
          <w:bCs/>
          <w:rtl/>
          <w:lang w:eastAsia="he-IL"/>
        </w:rPr>
        <w:t xml:space="preserve">יתכן </w:t>
      </w:r>
      <w:r w:rsidR="00927846" w:rsidRPr="006D232C">
        <w:rPr>
          <w:rFonts w:hint="cs"/>
          <w:b/>
          <w:bCs/>
          <w:rtl/>
          <w:lang w:eastAsia="he-IL"/>
        </w:rPr>
        <w:t>ש</w:t>
      </w:r>
      <w:r w:rsidR="002876DB" w:rsidRPr="006D232C">
        <w:rPr>
          <w:rFonts w:hint="cs"/>
          <w:b/>
          <w:bCs/>
          <w:rtl/>
          <w:lang w:eastAsia="he-IL"/>
        </w:rPr>
        <w:t xml:space="preserve">היה מקום </w:t>
      </w:r>
      <w:r w:rsidR="002876DB" w:rsidRPr="002876DB">
        <w:rPr>
          <w:rFonts w:hint="cs"/>
          <w:rtl/>
          <w:lang w:eastAsia="he-IL"/>
        </w:rPr>
        <w:t xml:space="preserve">לדון בה </w:t>
      </w:r>
      <w:r w:rsidR="002876DB" w:rsidRPr="006D232C">
        <w:rPr>
          <w:rFonts w:hint="cs"/>
          <w:b/>
          <w:bCs/>
          <w:rtl/>
          <w:lang w:eastAsia="he-IL"/>
        </w:rPr>
        <w:t>מכ</w:t>
      </w:r>
      <w:r w:rsidR="00927846" w:rsidRPr="006D232C">
        <w:rPr>
          <w:rFonts w:hint="cs"/>
          <w:b/>
          <w:bCs/>
          <w:rtl/>
          <w:lang w:eastAsia="he-IL"/>
        </w:rPr>
        <w:t>ו</w:t>
      </w:r>
      <w:r w:rsidR="002876DB" w:rsidRPr="006D232C">
        <w:rPr>
          <w:rFonts w:hint="cs"/>
          <w:b/>
          <w:bCs/>
          <w:rtl/>
          <w:lang w:eastAsia="he-IL"/>
        </w:rPr>
        <w:t>ח סעיף 4 לחוק</w:t>
      </w:r>
      <w:r w:rsidR="00927846">
        <w:rPr>
          <w:rFonts w:hint="cs"/>
          <w:rtl/>
          <w:lang w:eastAsia="he-IL"/>
        </w:rPr>
        <w:t>,</w:t>
      </w:r>
      <w:r w:rsidR="002876DB" w:rsidRPr="002876DB">
        <w:rPr>
          <w:rFonts w:hint="cs"/>
          <w:rtl/>
          <w:lang w:eastAsia="he-IL"/>
        </w:rPr>
        <w:t xml:space="preserve"> כתביעת מזונות עצמית, </w:t>
      </w:r>
      <w:r w:rsidR="002876DB" w:rsidRPr="006D232C">
        <w:rPr>
          <w:rFonts w:hint="cs"/>
          <w:b/>
          <w:bCs/>
          <w:rtl/>
          <w:lang w:eastAsia="he-IL"/>
        </w:rPr>
        <w:t>אילו הייתה הא</w:t>
      </w:r>
      <w:r w:rsidR="00927846" w:rsidRPr="006D232C">
        <w:rPr>
          <w:rFonts w:hint="cs"/>
          <w:b/>
          <w:bCs/>
          <w:rtl/>
          <w:lang w:eastAsia="he-IL"/>
        </w:rPr>
        <w:t>י</w:t>
      </w:r>
      <w:r w:rsidR="002876DB" w:rsidRPr="006D232C">
        <w:rPr>
          <w:rFonts w:hint="cs"/>
          <w:b/>
          <w:bCs/>
          <w:rtl/>
          <w:lang w:eastAsia="he-IL"/>
        </w:rPr>
        <w:t>שה עדיין בעגינותה</w:t>
      </w:r>
      <w:r w:rsidR="002876DB" w:rsidRPr="002876DB">
        <w:rPr>
          <w:rFonts w:hint="cs"/>
          <w:rtl/>
          <w:lang w:eastAsia="he-IL"/>
        </w:rPr>
        <w:t>, שאז</w:t>
      </w:r>
      <w:r w:rsidR="002876DB" w:rsidRPr="002876DB">
        <w:rPr>
          <w:rtl/>
          <w:lang w:eastAsia="he-IL"/>
        </w:rPr>
        <w:t xml:space="preserve"> "ההתחשבות בנתון זה – כל עוד היא נעשית בגדרי הדין – אינה עולה כדי שיקול זר: 'דיני התרת עגונות הם חלק מהמערכת המשפטית של מדינת ישראל'" </w:t>
      </w:r>
      <w:r w:rsidR="002876DB" w:rsidRPr="00F504D1">
        <w:rPr>
          <w:sz w:val="24"/>
          <w:szCs w:val="24"/>
          <w:rtl/>
          <w:lang w:eastAsia="he-IL"/>
        </w:rPr>
        <w:t>(כדברי השופט רובינשטיין בבג"ץ 8121/11)</w:t>
      </w:r>
      <w:r w:rsidR="002876DB" w:rsidRPr="002876DB">
        <w:rPr>
          <w:rFonts w:hint="cs"/>
          <w:rtl/>
          <w:lang w:eastAsia="he-IL"/>
        </w:rPr>
        <w:t>. כאמור, במקרה שלפנינו הא</w:t>
      </w:r>
      <w:r w:rsidR="00927846">
        <w:rPr>
          <w:rFonts w:hint="cs"/>
          <w:rtl/>
          <w:lang w:eastAsia="he-IL"/>
        </w:rPr>
        <w:t>י</w:t>
      </w:r>
      <w:r w:rsidR="002876DB" w:rsidRPr="002876DB">
        <w:rPr>
          <w:rFonts w:hint="cs"/>
          <w:rtl/>
          <w:lang w:eastAsia="he-IL"/>
        </w:rPr>
        <w:t xml:space="preserve">שה כבר קיבלה את גיטה מבעלה </w:t>
      </w:r>
      <w:r w:rsidR="002876DB" w:rsidRPr="00F504D1">
        <w:rPr>
          <w:rFonts w:hint="cs"/>
          <w:sz w:val="24"/>
          <w:szCs w:val="24"/>
          <w:rtl/>
          <w:lang w:eastAsia="he-IL"/>
        </w:rPr>
        <w:t xml:space="preserve">(ובפרט </w:t>
      </w:r>
      <w:r w:rsidR="002876DB" w:rsidRPr="00F504D1">
        <w:rPr>
          <w:rFonts w:hint="cs"/>
          <w:sz w:val="24"/>
          <w:szCs w:val="24"/>
          <w:rtl/>
          <w:lang w:eastAsia="he-IL"/>
        </w:rPr>
        <w:lastRenderedPageBreak/>
        <w:t>שפסק הדין למזונות ניתן אחרי הגירושין)</w:t>
      </w:r>
      <w:r w:rsidR="002876DB" w:rsidRPr="002876DB">
        <w:rPr>
          <w:rFonts w:hint="cs"/>
          <w:rtl/>
          <w:lang w:eastAsia="he-IL"/>
        </w:rPr>
        <w:t xml:space="preserve">, ואיננו עוסקים עוד במקרה </w:t>
      </w:r>
      <w:r w:rsidR="00F504D1">
        <w:rPr>
          <w:rFonts w:hint="cs"/>
          <w:rtl/>
          <w:lang w:eastAsia="he-IL"/>
        </w:rPr>
        <w:t>שבו קיים חשש עגינות,  ומלבד זאת:</w:t>
      </w:r>
      <w:r w:rsidR="002876DB" w:rsidRPr="002876DB">
        <w:rPr>
          <w:rFonts w:hint="cs"/>
          <w:rtl/>
          <w:lang w:eastAsia="he-IL"/>
        </w:rPr>
        <w:t xml:space="preserve"> סעד זה של מזונות ניתן להיתבע בערכאה אחרת.מנימוקים אלה ובנסיבות ה</w:t>
      </w:r>
      <w:r w:rsidR="00927846">
        <w:rPr>
          <w:rFonts w:hint="cs"/>
          <w:rtl/>
          <w:lang w:eastAsia="he-IL"/>
        </w:rPr>
        <w:t>מסוימות</w:t>
      </w:r>
      <w:r w:rsidR="002876DB" w:rsidRPr="002876DB">
        <w:rPr>
          <w:rFonts w:hint="cs"/>
          <w:rtl/>
          <w:lang w:eastAsia="he-IL"/>
        </w:rPr>
        <w:t xml:space="preserve"> של התיק שלפנינו </w:t>
      </w:r>
      <w:r w:rsidR="002876DB" w:rsidRPr="002876DB">
        <w:rPr>
          <w:rtl/>
          <w:lang w:eastAsia="he-IL"/>
        </w:rPr>
        <w:t xml:space="preserve">בית הדין </w:t>
      </w:r>
      <w:r w:rsidR="002876DB" w:rsidRPr="002876DB">
        <w:rPr>
          <w:rFonts w:hint="cs"/>
          <w:rtl/>
          <w:lang w:eastAsia="he-IL"/>
        </w:rPr>
        <w:t>רואה לנכון ל</w:t>
      </w:r>
      <w:r w:rsidR="002876DB" w:rsidRPr="002876DB">
        <w:rPr>
          <w:rtl/>
          <w:lang w:eastAsia="he-IL"/>
        </w:rPr>
        <w:t xml:space="preserve">קבל את ערעור </w:t>
      </w:r>
      <w:r w:rsidR="002876DB" w:rsidRPr="002876DB">
        <w:rPr>
          <w:rFonts w:hint="cs"/>
          <w:rtl/>
          <w:lang w:eastAsia="he-IL"/>
        </w:rPr>
        <w:t>הבעל לשעבר במקרה זה, ו</w:t>
      </w:r>
      <w:r w:rsidR="002876DB" w:rsidRPr="002876DB">
        <w:rPr>
          <w:rtl/>
          <w:lang w:eastAsia="he-IL"/>
        </w:rPr>
        <w:t>מורה לבית הדין האזורי לסגור את תיק המזונות</w:t>
      </w:r>
      <w:r w:rsidR="00927846" w:rsidRPr="00F504D1">
        <w:rPr>
          <w:rFonts w:hint="cs"/>
          <w:sz w:val="24"/>
          <w:szCs w:val="24"/>
          <w:rtl/>
          <w:lang w:eastAsia="he-IL"/>
        </w:rPr>
        <w:t>(ובזה יתבטל פסק דינו</w:t>
      </w:r>
      <w:r w:rsidR="002876DB" w:rsidRPr="00F504D1">
        <w:rPr>
          <w:rFonts w:hint="cs"/>
          <w:sz w:val="24"/>
          <w:szCs w:val="24"/>
          <w:rtl/>
          <w:lang w:eastAsia="he-IL"/>
        </w:rPr>
        <w:t xml:space="preserve"> של בית הדין למזונות מיום הגשת התביעה ועד הגירושין)</w:t>
      </w:r>
      <w:r w:rsidR="002876DB" w:rsidRPr="002876DB">
        <w:rPr>
          <w:rFonts w:hint="cs"/>
          <w:rtl/>
          <w:lang w:eastAsia="he-IL"/>
        </w:rPr>
        <w:t xml:space="preserve">. בית הדין דנן מדגיש </w:t>
      </w:r>
      <w:r w:rsidR="002876DB" w:rsidRPr="00DD45F0">
        <w:rPr>
          <w:rFonts w:hint="cs"/>
          <w:b/>
          <w:bCs/>
          <w:rtl/>
          <w:lang w:eastAsia="he-IL"/>
        </w:rPr>
        <w:t>כי פסק דיננו זה אינו בא</w:t>
      </w:r>
      <w:r w:rsidR="002876DB" w:rsidRPr="00DD45F0">
        <w:rPr>
          <w:b/>
          <w:bCs/>
          <w:rtl/>
          <w:lang w:eastAsia="he-IL"/>
        </w:rPr>
        <w:t xml:space="preserve"> לקבוע מסמרות בנ</w:t>
      </w:r>
      <w:r w:rsidR="002876DB" w:rsidRPr="00DD45F0">
        <w:rPr>
          <w:rFonts w:hint="cs"/>
          <w:b/>
          <w:bCs/>
          <w:rtl/>
          <w:lang w:eastAsia="he-IL"/>
        </w:rPr>
        <w:t>ושא הנ</w:t>
      </w:r>
      <w:r w:rsidR="002876DB" w:rsidRPr="00DD45F0">
        <w:rPr>
          <w:b/>
          <w:bCs/>
          <w:rtl/>
          <w:lang w:eastAsia="he-IL"/>
        </w:rPr>
        <w:t>דון מבחינה עקרונית ומשפטית לגבי מקרים אחרים שבהם ישנו גם מרכיב של עגינות</w:t>
      </w:r>
      <w:r w:rsidR="002876DB" w:rsidRPr="002876DB">
        <w:rPr>
          <w:rtl/>
          <w:lang w:eastAsia="he-IL"/>
        </w:rPr>
        <w:t>.</w:t>
      </w:r>
    </w:p>
    <w:p w:rsidR="002876DB" w:rsidRPr="002876DB" w:rsidRDefault="002876DB" w:rsidP="00617429">
      <w:pPr>
        <w:pStyle w:val="-0"/>
        <w:rPr>
          <w:rFonts w:eastAsia="Calibri"/>
          <w:rtl/>
          <w:lang w:eastAsia="he-IL"/>
        </w:rPr>
      </w:pPr>
      <w:r w:rsidRPr="002876DB">
        <w:rPr>
          <w:rFonts w:eastAsia="Calibri" w:hint="cs"/>
          <w:rtl/>
          <w:lang w:eastAsia="he-IL"/>
        </w:rPr>
        <w:t>סוף דבר</w:t>
      </w:r>
    </w:p>
    <w:p w:rsidR="002876DB" w:rsidRPr="002876DB" w:rsidRDefault="00617429" w:rsidP="00617429">
      <w:pPr>
        <w:pStyle w:val="ae"/>
        <w:rPr>
          <w:rFonts w:eastAsia="Calibri"/>
          <w:rtl/>
        </w:rPr>
      </w:pPr>
      <w:r>
        <w:rPr>
          <w:rFonts w:eastAsia="Calibri" w:hint="cs"/>
          <w:rtl/>
        </w:rPr>
        <w:t>בית הדין מחליט אפוא</w:t>
      </w:r>
      <w:r w:rsidR="002876DB" w:rsidRPr="002876DB">
        <w:rPr>
          <w:rFonts w:eastAsia="Calibri" w:hint="cs"/>
          <w:rtl/>
        </w:rPr>
        <w:t xml:space="preserve"> בבקשות הסעדים </w:t>
      </w:r>
      <w:r>
        <w:rPr>
          <w:rFonts w:eastAsia="Calibri" w:hint="cs"/>
          <w:rtl/>
        </w:rPr>
        <w:t>ש</w:t>
      </w:r>
      <w:r w:rsidR="002876DB" w:rsidRPr="002876DB">
        <w:rPr>
          <w:rFonts w:eastAsia="Calibri" w:hint="cs"/>
          <w:rtl/>
        </w:rPr>
        <w:t>מנה הבעל, כדלהלן:</w:t>
      </w:r>
    </w:p>
    <w:p w:rsidR="002876DB" w:rsidRPr="002876DB" w:rsidRDefault="00024770" w:rsidP="00024770">
      <w:pPr>
        <w:pStyle w:val="ae"/>
        <w:rPr>
          <w:rFonts w:eastAsia="Calibri"/>
        </w:rPr>
      </w:pPr>
      <w:r>
        <w:rPr>
          <w:rFonts w:eastAsia="Calibri" w:hint="cs"/>
          <w:rtl/>
        </w:rPr>
        <w:t>א.</w:t>
      </w:r>
      <w:r>
        <w:rPr>
          <w:rFonts w:eastAsia="Calibri" w:hint="cs"/>
          <w:rtl/>
        </w:rPr>
        <w:tab/>
      </w:r>
      <w:r w:rsidR="008C26EC">
        <w:rPr>
          <w:rFonts w:eastAsia="Calibri" w:hint="cs"/>
          <w:rtl/>
        </w:rPr>
        <w:t>סעד א' שבו</w:t>
      </w:r>
      <w:r w:rsidR="002876DB" w:rsidRPr="002876DB">
        <w:rPr>
          <w:rFonts w:eastAsia="Calibri" w:hint="cs"/>
          <w:rtl/>
        </w:rPr>
        <w:t xml:space="preserve"> מבוקש לבטל את פסק הדין לגירושין אינו רלוונטי עוד משנתן האיש גט פיטורין כדת וכדין.</w:t>
      </w:r>
    </w:p>
    <w:p w:rsidR="002876DB" w:rsidRPr="002876DB" w:rsidRDefault="00024770" w:rsidP="00024770">
      <w:pPr>
        <w:pStyle w:val="ae"/>
        <w:rPr>
          <w:rFonts w:eastAsia="Calibri"/>
        </w:rPr>
      </w:pPr>
      <w:r>
        <w:rPr>
          <w:rFonts w:eastAsia="Calibri" w:hint="cs"/>
          <w:rtl/>
        </w:rPr>
        <w:t>ב.</w:t>
      </w:r>
      <w:r>
        <w:rPr>
          <w:rFonts w:eastAsia="Calibri" w:hint="cs"/>
          <w:rtl/>
        </w:rPr>
        <w:tab/>
      </w:r>
      <w:r w:rsidR="008C26EC">
        <w:rPr>
          <w:rFonts w:eastAsia="Calibri" w:hint="cs"/>
          <w:rtl/>
        </w:rPr>
        <w:t>הבקשה לסעדים ב', ג' וד' ל</w:t>
      </w:r>
      <w:r w:rsidR="002876DB" w:rsidRPr="002876DB">
        <w:rPr>
          <w:rFonts w:eastAsia="Calibri" w:hint="cs"/>
          <w:rtl/>
        </w:rPr>
        <w:t xml:space="preserve">בטל את הקביעה </w:t>
      </w:r>
      <w:r w:rsidR="008C26EC">
        <w:rPr>
          <w:rFonts w:eastAsia="Calibri" w:hint="cs"/>
          <w:rtl/>
        </w:rPr>
        <w:t>ש</w:t>
      </w:r>
      <w:r w:rsidR="002876DB" w:rsidRPr="002876DB">
        <w:rPr>
          <w:rFonts w:eastAsia="Calibri" w:hint="cs"/>
          <w:rtl/>
        </w:rPr>
        <w:t>לפיה יש ל</w:t>
      </w:r>
      <w:r w:rsidR="000255C8">
        <w:rPr>
          <w:rFonts w:eastAsia="Calibri" w:hint="cs"/>
          <w:rtl/>
        </w:rPr>
        <w:t>בית הדין</w:t>
      </w:r>
      <w:r w:rsidR="002876DB" w:rsidRPr="002876DB">
        <w:rPr>
          <w:rFonts w:eastAsia="Calibri" w:hint="cs"/>
          <w:rtl/>
        </w:rPr>
        <w:t xml:space="preserve"> סמכות לדון בענייני מזונות אישה, מזונות הקטי</w:t>
      </w:r>
      <w:r>
        <w:rPr>
          <w:rFonts w:eastAsia="Calibri" w:hint="cs"/>
          <w:rtl/>
        </w:rPr>
        <w:t>נים וענייני הרכוש</w:t>
      </w:r>
      <w:r w:rsidR="002876DB" w:rsidRPr="002876DB">
        <w:rPr>
          <w:rFonts w:eastAsia="Calibri" w:hint="cs"/>
          <w:rtl/>
        </w:rPr>
        <w:t xml:space="preserve"> ואת פסק דינו של </w:t>
      </w:r>
      <w:r w:rsidR="000255C8">
        <w:rPr>
          <w:rFonts w:eastAsia="Calibri" w:hint="cs"/>
          <w:rtl/>
        </w:rPr>
        <w:t>בית הדין</w:t>
      </w:r>
      <w:r w:rsidR="002876DB" w:rsidRPr="002876DB">
        <w:rPr>
          <w:rFonts w:eastAsia="Calibri" w:hint="cs"/>
          <w:rtl/>
        </w:rPr>
        <w:t xml:space="preserve"> למזונות א</w:t>
      </w:r>
      <w:r w:rsidR="008C26EC">
        <w:rPr>
          <w:rFonts w:eastAsia="Calibri" w:hint="cs"/>
          <w:rtl/>
        </w:rPr>
        <w:t>י</w:t>
      </w:r>
      <w:r w:rsidR="002876DB" w:rsidRPr="002876DB">
        <w:rPr>
          <w:rFonts w:eastAsia="Calibri" w:hint="cs"/>
          <w:rtl/>
        </w:rPr>
        <w:t xml:space="preserve">שה </w:t>
      </w:r>
      <w:r>
        <w:rPr>
          <w:rFonts w:eastAsia="Calibri"/>
          <w:rtl/>
        </w:rPr>
        <w:t>–</w:t>
      </w:r>
      <w:r w:rsidR="002876DB" w:rsidRPr="002876DB">
        <w:rPr>
          <w:rFonts w:eastAsia="Calibri" w:hint="cs"/>
          <w:rtl/>
        </w:rPr>
        <w:t xml:space="preserve"> מתקבלת. </w:t>
      </w:r>
    </w:p>
    <w:p w:rsidR="002876DB" w:rsidRPr="002876DB" w:rsidRDefault="00024770" w:rsidP="00024770">
      <w:pPr>
        <w:pStyle w:val="ae"/>
        <w:rPr>
          <w:rFonts w:eastAsia="Calibri"/>
          <w:rtl/>
        </w:rPr>
      </w:pPr>
      <w:r>
        <w:rPr>
          <w:rFonts w:eastAsia="Calibri" w:hint="cs"/>
          <w:rtl/>
        </w:rPr>
        <w:t>ג.</w:t>
      </w:r>
      <w:r>
        <w:rPr>
          <w:rFonts w:eastAsia="Calibri" w:hint="cs"/>
          <w:rtl/>
        </w:rPr>
        <w:tab/>
        <w:t>עם מתן החלטה זו ומאחר ש</w:t>
      </w:r>
      <w:r w:rsidR="002876DB" w:rsidRPr="002876DB">
        <w:rPr>
          <w:rFonts w:eastAsia="Calibri" w:hint="cs"/>
          <w:rtl/>
        </w:rPr>
        <w:t>הצדדים התגרשו יש לסגור כל תיקי הצדדים.</w:t>
      </w:r>
    </w:p>
    <w:p w:rsidR="002876DB" w:rsidRPr="002876DB" w:rsidRDefault="002876DB" w:rsidP="00024770">
      <w:pPr>
        <w:pStyle w:val="af"/>
        <w:rPr>
          <w:rtl/>
          <w:lang w:eastAsia="he-IL"/>
        </w:rPr>
      </w:pPr>
      <w:r w:rsidRPr="002876DB">
        <w:rPr>
          <w:rtl/>
        </w:rPr>
        <w:t xml:space="preserve">ההחלטה מותרת לפרסום לאחר השמטת פרטי הזיהוי של הצדדים </w:t>
      </w:r>
    </w:p>
    <w:p w:rsidR="002876DB" w:rsidRPr="002876DB" w:rsidRDefault="002876DB" w:rsidP="00024770">
      <w:pPr>
        <w:pStyle w:val="af"/>
        <w:rPr>
          <w:sz w:val="28"/>
        </w:rPr>
      </w:pPr>
      <w:r w:rsidRPr="002876DB">
        <w:rPr>
          <w:rFonts w:hint="cs"/>
          <w:sz w:val="28"/>
          <w:rtl/>
        </w:rPr>
        <w:t xml:space="preserve">ניתן ביום </w:t>
      </w:r>
      <w:r w:rsidRPr="002876DB">
        <w:rPr>
          <w:sz w:val="28"/>
          <w:rtl/>
        </w:rPr>
        <w:t>א' באייר התשע"ח</w:t>
      </w:r>
      <w:r w:rsidRPr="002876DB">
        <w:rPr>
          <w:rFonts w:hint="cs"/>
          <w:sz w:val="28"/>
          <w:rtl/>
        </w:rPr>
        <w:t xml:space="preserve"> (</w:t>
      </w:r>
      <w:r>
        <w:rPr>
          <w:sz w:val="28"/>
          <w:rtl/>
        </w:rPr>
        <w:t>16</w:t>
      </w:r>
      <w:r>
        <w:rPr>
          <w:rFonts w:hint="cs"/>
          <w:sz w:val="28"/>
          <w:rtl/>
        </w:rPr>
        <w:t>.4.</w:t>
      </w:r>
      <w:r w:rsidRPr="002876DB">
        <w:rPr>
          <w:sz w:val="28"/>
          <w:rtl/>
        </w:rPr>
        <w:t>2018</w:t>
      </w:r>
      <w:r w:rsidRPr="002876DB">
        <w:rPr>
          <w:rFonts w:hint="cs"/>
          <w:sz w:val="28"/>
          <w:rtl/>
        </w:rPr>
        <w:t>).</w:t>
      </w:r>
    </w:p>
    <w:p w:rsidR="00F12C84" w:rsidRDefault="00FD4FCC" w:rsidP="002876DB">
      <w:pPr>
        <w:pStyle w:val="aff1"/>
        <w:rPr>
          <w:rtl/>
          <w:lang w:eastAsia="he-IL"/>
        </w:rPr>
      </w:pPr>
      <w:r>
        <w:rPr>
          <w:rFonts w:hint="cs"/>
          <w:rtl/>
          <w:lang w:eastAsia="he-IL"/>
        </w:rPr>
        <w:t xml:space="preserve">הרב </w:t>
      </w:r>
      <w:r w:rsidR="002876DB" w:rsidRPr="002876DB">
        <w:rPr>
          <w:rtl/>
          <w:lang w:eastAsia="he-IL"/>
        </w:rPr>
        <w:t>אליעזר איגרא</w:t>
      </w:r>
      <w:r>
        <w:rPr>
          <w:rFonts w:hint="cs"/>
          <w:rtl/>
          <w:lang w:eastAsia="he-IL"/>
        </w:rPr>
        <w:tab/>
        <w:t xml:space="preserve">הרב </w:t>
      </w:r>
      <w:r w:rsidR="002876DB" w:rsidRPr="002876DB">
        <w:rPr>
          <w:rtl/>
          <w:lang w:eastAsia="he-IL"/>
        </w:rPr>
        <w:t>א' אהרן כץ</w:t>
      </w:r>
      <w:r>
        <w:rPr>
          <w:rFonts w:hint="cs"/>
          <w:rtl/>
          <w:lang w:eastAsia="he-IL"/>
        </w:rPr>
        <w:tab/>
        <w:t xml:space="preserve">הרב </w:t>
      </w:r>
      <w:r w:rsidR="002876DB" w:rsidRPr="002876DB">
        <w:rPr>
          <w:rtl/>
          <w:lang w:eastAsia="he-IL"/>
        </w:rPr>
        <w:t>שלמה שפירא</w:t>
      </w:r>
    </w:p>
    <w:p w:rsidR="00E24346" w:rsidRDefault="00E24346" w:rsidP="00641C31">
      <w:pPr>
        <w:rPr>
          <w:rtl/>
          <w:lang w:eastAsia="he-IL"/>
        </w:rPr>
      </w:pPr>
    </w:p>
    <w:p w:rsidR="00641C31" w:rsidRPr="001E50C8" w:rsidRDefault="0029323C" w:rsidP="00641C31">
      <w:pPr>
        <w:rPr>
          <w:color w:val="7F7F7F" w:themeColor="text1" w:themeTint="80"/>
          <w:rtl/>
          <w:lang w:eastAsia="he-IL"/>
        </w:rPr>
      </w:pPr>
      <w:r w:rsidRPr="001E50C8">
        <w:rPr>
          <w:rFonts w:hint="cs"/>
          <w:color w:val="7F7F7F" w:themeColor="text1" w:themeTint="80"/>
          <w:rtl/>
          <w:lang w:eastAsia="he-IL"/>
        </w:rPr>
        <w:t>עותק זה עשוי להכיל שינויי ותיקוני עריכה</w:t>
      </w:r>
    </w:p>
    <w:sectPr w:rsidR="00641C31" w:rsidRPr="001E50C8" w:rsidSect="00ED4071">
      <w:headerReference w:type="default" r:id="rId17"/>
      <w:footerReference w:type="default" r:id="rId18"/>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502" w:rsidRDefault="00DC2502" w:rsidP="00E2756A">
      <w:r>
        <w:separator/>
      </w:r>
    </w:p>
  </w:endnote>
  <w:endnote w:type="continuationSeparator" w:id="1">
    <w:p w:rsidR="00DC2502" w:rsidRDefault="00DC2502" w:rsidP="00E27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2A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1"/>
    <w:family w:val="swiss"/>
    <w:notTrueType/>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66914458"/>
      <w:docPartObj>
        <w:docPartGallery w:val="Page Numbers (Bottom of Page)"/>
        <w:docPartUnique/>
      </w:docPartObj>
    </w:sdtPr>
    <w:sdtContent>
      <w:p w:rsidR="00A43B5A" w:rsidRDefault="00C45C07" w:rsidP="00F4312B">
        <w:pPr>
          <w:pStyle w:val="aff5"/>
          <w:jc w:val="center"/>
        </w:pPr>
        <w:r>
          <w:fldChar w:fldCharType="begin"/>
        </w:r>
        <w:r w:rsidR="00A43B5A">
          <w:rPr>
            <w:rtl/>
            <w:cs/>
          </w:rPr>
          <w:instrText>PAGE   \* MERGEFORMAT</w:instrText>
        </w:r>
        <w:r>
          <w:fldChar w:fldCharType="separate"/>
        </w:r>
        <w:r w:rsidR="003F336D" w:rsidRPr="003F336D">
          <w:rPr>
            <w:noProof/>
            <w:rtl/>
            <w:lang w:val="he-IL"/>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502" w:rsidRDefault="00DC2502" w:rsidP="00E2756A">
      <w:r>
        <w:separator/>
      </w:r>
    </w:p>
  </w:footnote>
  <w:footnote w:type="continuationSeparator" w:id="1">
    <w:p w:rsidR="00DC2502" w:rsidRDefault="00DC2502" w:rsidP="00E275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B5A" w:rsidRDefault="00A43B5A" w:rsidP="00FA1DAB">
    <w:pPr>
      <w:pStyle w:val="aff3"/>
      <w:rPr>
        <w:rFonts w:cs="David"/>
        <w:b/>
        <w:bCs/>
        <w:color w:val="1F497D" w:themeColor="text2"/>
        <w:sz w:val="52"/>
        <w:szCs w:val="52"/>
        <w:rtl/>
      </w:rPr>
    </w:pPr>
    <w:r>
      <w:rPr>
        <w:rFonts w:cs="David" w:hint="cs"/>
        <w:b/>
        <w:bCs/>
        <w:color w:val="1F497D" w:themeColor="text2"/>
        <w:sz w:val="52"/>
        <w:szCs w:val="52"/>
        <w:rtl/>
      </w:rPr>
      <w:tab/>
    </w:r>
    <w:r w:rsidRPr="000F286C">
      <w:rPr>
        <w:rFonts w:cs="David" w:hint="cs"/>
        <w:b/>
        <w:bCs/>
        <w:color w:val="1F497D" w:themeColor="text2"/>
        <w:sz w:val="52"/>
        <w:szCs w:val="52"/>
        <w:rtl/>
      </w:rPr>
      <w:t>מדינת ישראל</w:t>
    </w:r>
  </w:p>
  <w:p w:rsidR="00A43B5A" w:rsidRDefault="00A43B5A" w:rsidP="00FA1DAB">
    <w:pPr>
      <w:pStyle w:val="aff3"/>
      <w:jc w:val="center"/>
      <w:rPr>
        <w:rFonts w:cs="David"/>
        <w:b/>
        <w:bCs/>
        <w:color w:val="1F497D" w:themeColor="text2"/>
        <w:sz w:val="32"/>
        <w:szCs w:val="32"/>
      </w:rPr>
    </w:pPr>
    <w:r>
      <w:rPr>
        <w:rFonts w:cs="David" w:hint="cs"/>
        <w:b/>
        <w:bCs/>
        <w:color w:val="1F497D" w:themeColor="text2"/>
        <w:sz w:val="32"/>
        <w:szCs w:val="32"/>
        <w:rtl/>
      </w:rPr>
      <w:t>בתי הדין הרבניים</w:t>
    </w:r>
  </w:p>
  <w:p w:rsidR="00A43B5A" w:rsidRDefault="00A43B5A">
    <w:pPr>
      <w:pStyle w:val="af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93AEA"/>
    <w:multiLevelType w:val="hybridMultilevel"/>
    <w:tmpl w:val="D32268AC"/>
    <w:lvl w:ilvl="0" w:tplc="52F037CC">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03C50D8"/>
    <w:multiLevelType w:val="multilevel"/>
    <w:tmpl w:val="CA42D256"/>
    <w:lvl w:ilvl="0">
      <w:start w:val="1"/>
      <w:numFmt w:val="hebrew1"/>
      <w:pStyle w:val="a"/>
      <w:lvlText w:val="%1."/>
      <w:lvlJc w:val="left"/>
      <w:pPr>
        <w:ind w:left="646" w:hanging="362"/>
      </w:pPr>
      <w:rPr>
        <w:rFonts w:hint="default"/>
      </w:rPr>
    </w:lvl>
    <w:lvl w:ilvl="1">
      <w:start w:val="1"/>
      <w:numFmt w:val="decimal"/>
      <w:lvlText w:val="(%2)"/>
      <w:lvlJc w:val="left"/>
      <w:pPr>
        <w:ind w:left="930" w:hanging="362"/>
      </w:pPr>
      <w:rPr>
        <w:rFonts w:cs="FrankRuehl" w:hint="cs"/>
        <w:szCs w:val="26"/>
      </w:rPr>
    </w:lvl>
    <w:lvl w:ilvl="2">
      <w:start w:val="1"/>
      <w:numFmt w:val="hebrew1"/>
      <w:lvlText w:val="(%3)"/>
      <w:lvlJc w:val="left"/>
      <w:pPr>
        <w:ind w:left="1214" w:hanging="362"/>
      </w:pPr>
      <w:rPr>
        <w:rFonts w:hint="default"/>
      </w:rPr>
    </w:lvl>
    <w:lvl w:ilvl="3">
      <w:start w:val="1"/>
      <w:numFmt w:val="decimal"/>
      <w:lvlText w:val="%4."/>
      <w:lvlJc w:val="left"/>
      <w:pPr>
        <w:ind w:left="1498" w:hanging="362"/>
      </w:pPr>
      <w:rPr>
        <w:rFonts w:hint="default"/>
      </w:rPr>
    </w:lvl>
    <w:lvl w:ilvl="4">
      <w:start w:val="1"/>
      <w:numFmt w:val="lowerLetter"/>
      <w:lvlText w:val="%5."/>
      <w:lvlJc w:val="left"/>
      <w:pPr>
        <w:ind w:left="1782" w:hanging="362"/>
      </w:pPr>
      <w:rPr>
        <w:rFonts w:hint="default"/>
      </w:rPr>
    </w:lvl>
    <w:lvl w:ilvl="5">
      <w:start w:val="1"/>
      <w:numFmt w:val="lowerRoman"/>
      <w:lvlText w:val="%6."/>
      <w:lvlJc w:val="right"/>
      <w:pPr>
        <w:ind w:left="2066" w:hanging="362"/>
      </w:pPr>
      <w:rPr>
        <w:rFonts w:hint="default"/>
      </w:rPr>
    </w:lvl>
    <w:lvl w:ilvl="6">
      <w:start w:val="1"/>
      <w:numFmt w:val="decimal"/>
      <w:lvlText w:val="%7."/>
      <w:lvlJc w:val="left"/>
      <w:pPr>
        <w:ind w:left="2350" w:hanging="362"/>
      </w:pPr>
      <w:rPr>
        <w:rFonts w:hint="default"/>
      </w:rPr>
    </w:lvl>
    <w:lvl w:ilvl="7">
      <w:start w:val="1"/>
      <w:numFmt w:val="lowerLetter"/>
      <w:lvlText w:val="%8."/>
      <w:lvlJc w:val="left"/>
      <w:pPr>
        <w:ind w:left="2634" w:hanging="362"/>
      </w:pPr>
      <w:rPr>
        <w:rFonts w:hint="default"/>
      </w:rPr>
    </w:lvl>
    <w:lvl w:ilvl="8">
      <w:start w:val="1"/>
      <w:numFmt w:val="lowerRoman"/>
      <w:lvlText w:val="%9."/>
      <w:lvlJc w:val="right"/>
      <w:pPr>
        <w:ind w:left="2918" w:hanging="362"/>
      </w:pPr>
      <w:rPr>
        <w:rFonts w:hint="default"/>
      </w:rPr>
    </w:lvl>
  </w:abstractNum>
  <w:abstractNum w:abstractNumId="2">
    <w:nsid w:val="2AD0193B"/>
    <w:multiLevelType w:val="hybridMultilevel"/>
    <w:tmpl w:val="926232AA"/>
    <w:lvl w:ilvl="0" w:tplc="2DC4434E">
      <w:start w:val="1"/>
      <w:numFmt w:val="hebrew1"/>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30667B78"/>
    <w:multiLevelType w:val="hybridMultilevel"/>
    <w:tmpl w:val="D0B686A4"/>
    <w:lvl w:ilvl="0" w:tplc="1354BBAC">
      <w:start w:val="1"/>
      <w:numFmt w:val="decimal"/>
      <w:lvlText w:val="%1."/>
      <w:lvlJc w:val="left"/>
      <w:pPr>
        <w:tabs>
          <w:tab w:val="num" w:pos="720"/>
        </w:tabs>
        <w:ind w:left="720" w:right="720" w:hanging="360"/>
      </w:pPr>
    </w:lvl>
    <w:lvl w:ilvl="1" w:tplc="3E94FCA2" w:tentative="1">
      <w:start w:val="1"/>
      <w:numFmt w:val="lowerLetter"/>
      <w:lvlText w:val="%2."/>
      <w:lvlJc w:val="left"/>
      <w:pPr>
        <w:tabs>
          <w:tab w:val="num" w:pos="1440"/>
        </w:tabs>
        <w:ind w:left="1440" w:right="1440" w:hanging="360"/>
      </w:pPr>
    </w:lvl>
    <w:lvl w:ilvl="2" w:tplc="8132CFF2" w:tentative="1">
      <w:start w:val="1"/>
      <w:numFmt w:val="lowerRoman"/>
      <w:lvlText w:val="%3."/>
      <w:lvlJc w:val="right"/>
      <w:pPr>
        <w:tabs>
          <w:tab w:val="num" w:pos="2160"/>
        </w:tabs>
        <w:ind w:left="2160" w:right="2160" w:hanging="180"/>
      </w:pPr>
    </w:lvl>
    <w:lvl w:ilvl="3" w:tplc="35DED86C" w:tentative="1">
      <w:start w:val="1"/>
      <w:numFmt w:val="decimal"/>
      <w:lvlText w:val="%4."/>
      <w:lvlJc w:val="left"/>
      <w:pPr>
        <w:tabs>
          <w:tab w:val="num" w:pos="2880"/>
        </w:tabs>
        <w:ind w:left="2880" w:right="2880" w:hanging="360"/>
      </w:pPr>
    </w:lvl>
    <w:lvl w:ilvl="4" w:tplc="69F0B5CA" w:tentative="1">
      <w:start w:val="1"/>
      <w:numFmt w:val="lowerLetter"/>
      <w:lvlText w:val="%5."/>
      <w:lvlJc w:val="left"/>
      <w:pPr>
        <w:tabs>
          <w:tab w:val="num" w:pos="3600"/>
        </w:tabs>
        <w:ind w:left="3600" w:right="3600" w:hanging="360"/>
      </w:pPr>
    </w:lvl>
    <w:lvl w:ilvl="5" w:tplc="B0760CC8" w:tentative="1">
      <w:start w:val="1"/>
      <w:numFmt w:val="lowerRoman"/>
      <w:lvlText w:val="%6."/>
      <w:lvlJc w:val="right"/>
      <w:pPr>
        <w:tabs>
          <w:tab w:val="num" w:pos="4320"/>
        </w:tabs>
        <w:ind w:left="4320" w:right="4320" w:hanging="180"/>
      </w:pPr>
    </w:lvl>
    <w:lvl w:ilvl="6" w:tplc="B764EE7E" w:tentative="1">
      <w:start w:val="1"/>
      <w:numFmt w:val="decimal"/>
      <w:lvlText w:val="%7."/>
      <w:lvlJc w:val="left"/>
      <w:pPr>
        <w:tabs>
          <w:tab w:val="num" w:pos="5040"/>
        </w:tabs>
        <w:ind w:left="5040" w:right="5040" w:hanging="360"/>
      </w:pPr>
    </w:lvl>
    <w:lvl w:ilvl="7" w:tplc="20A007AA" w:tentative="1">
      <w:start w:val="1"/>
      <w:numFmt w:val="lowerLetter"/>
      <w:lvlText w:val="%8."/>
      <w:lvlJc w:val="left"/>
      <w:pPr>
        <w:tabs>
          <w:tab w:val="num" w:pos="5760"/>
        </w:tabs>
        <w:ind w:left="5760" w:right="5760" w:hanging="360"/>
      </w:pPr>
    </w:lvl>
    <w:lvl w:ilvl="8" w:tplc="592ED114" w:tentative="1">
      <w:start w:val="1"/>
      <w:numFmt w:val="lowerRoman"/>
      <w:lvlText w:val="%9."/>
      <w:lvlJc w:val="right"/>
      <w:pPr>
        <w:tabs>
          <w:tab w:val="num" w:pos="6480"/>
        </w:tabs>
        <w:ind w:left="6480" w:right="6480" w:hanging="180"/>
      </w:pPr>
    </w:lvl>
  </w:abstractNum>
  <w:abstractNum w:abstractNumId="4">
    <w:nsid w:val="31831E55"/>
    <w:multiLevelType w:val="hybridMultilevel"/>
    <w:tmpl w:val="5E601672"/>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6BF0DB3"/>
    <w:multiLevelType w:val="multilevel"/>
    <w:tmpl w:val="0E66DBD2"/>
    <w:lvl w:ilvl="0">
      <w:start w:val="1"/>
      <w:numFmt w:val="decimal"/>
      <w:pStyle w:val="11"/>
      <w:lvlText w:val="%1."/>
      <w:lvlJc w:val="left"/>
      <w:pPr>
        <w:tabs>
          <w:tab w:val="num" w:pos="720"/>
        </w:tabs>
        <w:ind w:left="720" w:hanging="720"/>
      </w:pPr>
    </w:lvl>
    <w:lvl w:ilvl="1">
      <w:start w:val="1"/>
      <w:numFmt w:val="hebrew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hebrew1"/>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EAC203B"/>
    <w:multiLevelType w:val="hybridMultilevel"/>
    <w:tmpl w:val="56462BD0"/>
    <w:lvl w:ilvl="0" w:tplc="3D1EF724">
      <w:start w:val="1"/>
      <w:numFmt w:val="hebrew1"/>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790FEE"/>
    <w:multiLevelType w:val="hybridMultilevel"/>
    <w:tmpl w:val="1B6EA714"/>
    <w:lvl w:ilvl="0" w:tplc="34CA743C">
      <w:start w:val="1"/>
      <w:numFmt w:val="hebrew1"/>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504E43"/>
    <w:multiLevelType w:val="hybridMultilevel"/>
    <w:tmpl w:val="2AE4E936"/>
    <w:lvl w:ilvl="0" w:tplc="EC7E42E8">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6D03AE"/>
    <w:multiLevelType w:val="hybridMultilevel"/>
    <w:tmpl w:val="9C864CDA"/>
    <w:lvl w:ilvl="0" w:tplc="3EF49242">
      <w:start w:val="1"/>
      <w:numFmt w:val="decimal"/>
      <w:lvlText w:val="%1."/>
      <w:lvlJc w:val="left"/>
      <w:pPr>
        <w:ind w:left="20" w:hanging="360"/>
      </w:pPr>
    </w:lvl>
    <w:lvl w:ilvl="1" w:tplc="04090019">
      <w:start w:val="1"/>
      <w:numFmt w:val="lowerLetter"/>
      <w:lvlText w:val="%2."/>
      <w:lvlJc w:val="left"/>
      <w:pPr>
        <w:ind w:left="740" w:hanging="360"/>
      </w:pPr>
    </w:lvl>
    <w:lvl w:ilvl="2" w:tplc="0409001B">
      <w:start w:val="1"/>
      <w:numFmt w:val="lowerRoman"/>
      <w:lvlText w:val="%3."/>
      <w:lvlJc w:val="right"/>
      <w:pPr>
        <w:ind w:left="1460" w:hanging="180"/>
      </w:pPr>
    </w:lvl>
    <w:lvl w:ilvl="3" w:tplc="0409000F">
      <w:start w:val="1"/>
      <w:numFmt w:val="decimal"/>
      <w:lvlText w:val="%4."/>
      <w:lvlJc w:val="left"/>
      <w:pPr>
        <w:ind w:left="2180" w:hanging="360"/>
      </w:pPr>
    </w:lvl>
    <w:lvl w:ilvl="4" w:tplc="04090019">
      <w:start w:val="1"/>
      <w:numFmt w:val="lowerLetter"/>
      <w:lvlText w:val="%5."/>
      <w:lvlJc w:val="left"/>
      <w:pPr>
        <w:ind w:left="2900" w:hanging="360"/>
      </w:pPr>
    </w:lvl>
    <w:lvl w:ilvl="5" w:tplc="0409001B">
      <w:start w:val="1"/>
      <w:numFmt w:val="lowerRoman"/>
      <w:lvlText w:val="%6."/>
      <w:lvlJc w:val="right"/>
      <w:pPr>
        <w:ind w:left="3620" w:hanging="180"/>
      </w:pPr>
    </w:lvl>
    <w:lvl w:ilvl="6" w:tplc="0409000F">
      <w:start w:val="1"/>
      <w:numFmt w:val="decimal"/>
      <w:lvlText w:val="%7."/>
      <w:lvlJc w:val="left"/>
      <w:pPr>
        <w:ind w:left="4340" w:hanging="360"/>
      </w:pPr>
    </w:lvl>
    <w:lvl w:ilvl="7" w:tplc="04090019">
      <w:start w:val="1"/>
      <w:numFmt w:val="lowerLetter"/>
      <w:lvlText w:val="%8."/>
      <w:lvlJc w:val="left"/>
      <w:pPr>
        <w:ind w:left="5060" w:hanging="360"/>
      </w:pPr>
    </w:lvl>
    <w:lvl w:ilvl="8" w:tplc="0409001B">
      <w:start w:val="1"/>
      <w:numFmt w:val="lowerRoman"/>
      <w:lvlText w:val="%9."/>
      <w:lvlJc w:val="right"/>
      <w:pPr>
        <w:ind w:left="5780" w:hanging="180"/>
      </w:pPr>
    </w:lvl>
  </w:abstractNum>
  <w:abstractNum w:abstractNumId="10">
    <w:nsid w:val="61247732"/>
    <w:multiLevelType w:val="multilevel"/>
    <w:tmpl w:val="C024A742"/>
    <w:lvl w:ilvl="0">
      <w:start w:val="1"/>
      <w:numFmt w:val="hebrew1"/>
      <w:pStyle w:val="1"/>
      <w:lvlText w:val="%1."/>
      <w:lvlJc w:val="left"/>
      <w:pPr>
        <w:tabs>
          <w:tab w:val="num" w:pos="397"/>
        </w:tabs>
        <w:ind w:left="397" w:hanging="397"/>
      </w:pPr>
      <w:rPr>
        <w:rFonts w:hint="default"/>
      </w:rPr>
    </w:lvl>
    <w:lvl w:ilvl="1">
      <w:start w:val="1"/>
      <w:numFmt w:val="decimal"/>
      <w:lvlText w:val="(%2)"/>
      <w:lvlJc w:val="left"/>
      <w:pPr>
        <w:tabs>
          <w:tab w:val="num" w:pos="794"/>
        </w:tabs>
        <w:ind w:left="794" w:hanging="397"/>
      </w:pPr>
      <w:rPr>
        <w:rFonts w:hint="default"/>
      </w:rPr>
    </w:lvl>
    <w:lvl w:ilvl="2">
      <w:start w:val="1"/>
      <w:numFmt w:val="hebrew1"/>
      <w:lvlText w:val="(%3)"/>
      <w:lvlJc w:val="left"/>
      <w:pPr>
        <w:tabs>
          <w:tab w:val="num" w:pos="1361"/>
        </w:tabs>
        <w:ind w:left="1191" w:hanging="397"/>
      </w:pPr>
      <w:rPr>
        <w:rFonts w:hint="default"/>
      </w:rPr>
    </w:lvl>
    <w:lvl w:ilvl="3">
      <w:start w:val="1"/>
      <w:numFmt w:val="decimal"/>
      <w:lvlText w:val="(%4)"/>
      <w:lvlJc w:val="left"/>
      <w:pPr>
        <w:tabs>
          <w:tab w:val="num" w:pos="1758"/>
        </w:tabs>
        <w:ind w:left="1588" w:hanging="397"/>
      </w:pPr>
      <w:rPr>
        <w:rFonts w:hint="default"/>
      </w:rPr>
    </w:lvl>
    <w:lvl w:ilvl="4">
      <w:start w:val="1"/>
      <w:numFmt w:val="decimal"/>
      <w:lvlText w:val="(%3)%4.%5."/>
      <w:lvlJc w:val="left"/>
      <w:pPr>
        <w:tabs>
          <w:tab w:val="num" w:pos="1928"/>
        </w:tabs>
        <w:ind w:left="1985" w:hanging="397"/>
      </w:pPr>
      <w:rPr>
        <w:rFonts w:hint="default"/>
      </w:rPr>
    </w:lvl>
    <w:lvl w:ilvl="5">
      <w:start w:val="1"/>
      <w:numFmt w:val="decimal"/>
      <w:lvlText w:val="(%3)%4.%5.%6."/>
      <w:lvlJc w:val="left"/>
      <w:pPr>
        <w:tabs>
          <w:tab w:val="num" w:pos="2325"/>
        </w:tabs>
        <w:ind w:left="2382" w:hanging="397"/>
      </w:pPr>
      <w:rPr>
        <w:rFonts w:hint="default"/>
      </w:rPr>
    </w:lvl>
    <w:lvl w:ilvl="6">
      <w:start w:val="1"/>
      <w:numFmt w:val="decimal"/>
      <w:lvlText w:val="(%3)%4.%5.%6.%7."/>
      <w:lvlJc w:val="left"/>
      <w:pPr>
        <w:tabs>
          <w:tab w:val="num" w:pos="2722"/>
        </w:tabs>
        <w:ind w:left="2779" w:hanging="397"/>
      </w:pPr>
      <w:rPr>
        <w:rFonts w:hint="default"/>
      </w:rPr>
    </w:lvl>
    <w:lvl w:ilvl="7">
      <w:start w:val="1"/>
      <w:numFmt w:val="decimal"/>
      <w:lvlText w:val="(%3)%4.%5.%6.%7.%8."/>
      <w:lvlJc w:val="left"/>
      <w:pPr>
        <w:tabs>
          <w:tab w:val="num" w:pos="3119"/>
        </w:tabs>
        <w:ind w:left="3176" w:hanging="397"/>
      </w:pPr>
      <w:rPr>
        <w:rFonts w:hint="default"/>
      </w:rPr>
    </w:lvl>
    <w:lvl w:ilvl="8">
      <w:start w:val="1"/>
      <w:numFmt w:val="decimal"/>
      <w:lvlText w:val="(%3)%4.%5.%6.%7.%8.%9."/>
      <w:lvlJc w:val="left"/>
      <w:pPr>
        <w:tabs>
          <w:tab w:val="num" w:pos="3516"/>
        </w:tabs>
        <w:ind w:left="3573" w:hanging="397"/>
      </w:pPr>
      <w:rPr>
        <w:rFonts w:hint="default"/>
      </w:rPr>
    </w:lvl>
  </w:abstractNum>
  <w:abstractNum w:abstractNumId="11">
    <w:nsid w:val="664D5B8B"/>
    <w:multiLevelType w:val="hybridMultilevel"/>
    <w:tmpl w:val="FB78DD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7E510DF"/>
    <w:multiLevelType w:val="multilevel"/>
    <w:tmpl w:val="B29E0AE8"/>
    <w:lvl w:ilvl="0">
      <w:start w:val="1"/>
      <w:numFmt w:val="hebrew1"/>
      <w:pStyle w:val="a0"/>
      <w:lvlText w:val="%1."/>
      <w:lvlJc w:val="left"/>
      <w:pPr>
        <w:tabs>
          <w:tab w:val="num" w:pos="360"/>
        </w:tabs>
        <w:ind w:left="360" w:hanging="360"/>
      </w:pPr>
      <w:rPr>
        <w:rFonts w:cs="Narkisim" w:hint="cs"/>
        <w:bCs/>
        <w:iCs w:val="0"/>
        <w:szCs w:val="24"/>
      </w:rPr>
    </w:lvl>
    <w:lvl w:ilvl="1">
      <w:start w:val="1"/>
      <w:numFmt w:val="hebrew1"/>
      <w:pStyle w:val="a1"/>
      <w:lvlText w:val="%2."/>
      <w:lvlJc w:val="left"/>
      <w:pPr>
        <w:tabs>
          <w:tab w:val="num" w:pos="794"/>
        </w:tabs>
        <w:ind w:left="397" w:hanging="397"/>
      </w:pPr>
      <w:rPr>
        <w:rFonts w:cs="Narkisim" w:hint="cs"/>
        <w:bCs/>
        <w:iCs w:val="0"/>
        <w:szCs w:val="24"/>
      </w:rPr>
    </w:lvl>
    <w:lvl w:ilvl="2">
      <w:start w:val="1"/>
      <w:numFmt w:val="decimal"/>
      <w:pStyle w:val="10"/>
      <w:lvlText w:val="(%3)"/>
      <w:lvlJc w:val="left"/>
      <w:pPr>
        <w:tabs>
          <w:tab w:val="num" w:pos="397"/>
        </w:tabs>
        <w:ind w:left="0" w:firstLine="0"/>
      </w:pPr>
      <w:rPr>
        <w:rFonts w:cs="Narkisim" w:hint="cs"/>
        <w:bCs/>
        <w:i/>
        <w:iCs w:val="0"/>
        <w:szCs w:val="22"/>
      </w:rPr>
    </w:lvl>
    <w:lvl w:ilvl="3">
      <w:start w:val="1"/>
      <w:numFmt w:val="hebrew1"/>
      <w:pStyle w:val="a2"/>
      <w:lvlText w:val="(%4)"/>
      <w:lvlJc w:val="left"/>
      <w:pPr>
        <w:tabs>
          <w:tab w:val="num" w:pos="397"/>
        </w:tabs>
        <w:ind w:left="0" w:firstLine="0"/>
      </w:pPr>
      <w:rPr>
        <w:rFonts w:hint="default"/>
        <w:bCs w:val="0"/>
        <w:iCs w:val="0"/>
        <w:szCs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69B6346A"/>
    <w:multiLevelType w:val="hybridMultilevel"/>
    <w:tmpl w:val="7C70491A"/>
    <w:lvl w:ilvl="0" w:tplc="FA7E540A">
      <w:start w:val="1"/>
      <w:numFmt w:val="hebrew1"/>
      <w:lvlText w:val="%1)"/>
      <w:lvlJc w:val="left"/>
      <w:pPr>
        <w:ind w:left="309" w:hanging="360"/>
      </w:pPr>
    </w:lvl>
    <w:lvl w:ilvl="1" w:tplc="04090019">
      <w:start w:val="1"/>
      <w:numFmt w:val="lowerLetter"/>
      <w:lvlText w:val="%2."/>
      <w:lvlJc w:val="left"/>
      <w:pPr>
        <w:ind w:left="1029" w:hanging="360"/>
      </w:pPr>
    </w:lvl>
    <w:lvl w:ilvl="2" w:tplc="0409001B">
      <w:start w:val="1"/>
      <w:numFmt w:val="lowerRoman"/>
      <w:lvlText w:val="%3."/>
      <w:lvlJc w:val="right"/>
      <w:pPr>
        <w:ind w:left="1749" w:hanging="180"/>
      </w:pPr>
    </w:lvl>
    <w:lvl w:ilvl="3" w:tplc="0409000F">
      <w:start w:val="1"/>
      <w:numFmt w:val="decimal"/>
      <w:lvlText w:val="%4."/>
      <w:lvlJc w:val="left"/>
      <w:pPr>
        <w:ind w:left="2469" w:hanging="360"/>
      </w:pPr>
    </w:lvl>
    <w:lvl w:ilvl="4" w:tplc="04090019">
      <w:start w:val="1"/>
      <w:numFmt w:val="lowerLetter"/>
      <w:lvlText w:val="%5."/>
      <w:lvlJc w:val="left"/>
      <w:pPr>
        <w:ind w:left="3189" w:hanging="360"/>
      </w:pPr>
    </w:lvl>
    <w:lvl w:ilvl="5" w:tplc="0409001B">
      <w:start w:val="1"/>
      <w:numFmt w:val="lowerRoman"/>
      <w:lvlText w:val="%6."/>
      <w:lvlJc w:val="right"/>
      <w:pPr>
        <w:ind w:left="3909" w:hanging="180"/>
      </w:pPr>
    </w:lvl>
    <w:lvl w:ilvl="6" w:tplc="0409000F">
      <w:start w:val="1"/>
      <w:numFmt w:val="decimal"/>
      <w:lvlText w:val="%7."/>
      <w:lvlJc w:val="left"/>
      <w:pPr>
        <w:ind w:left="4629" w:hanging="360"/>
      </w:pPr>
    </w:lvl>
    <w:lvl w:ilvl="7" w:tplc="04090019">
      <w:start w:val="1"/>
      <w:numFmt w:val="lowerLetter"/>
      <w:lvlText w:val="%8."/>
      <w:lvlJc w:val="left"/>
      <w:pPr>
        <w:ind w:left="5349" w:hanging="360"/>
      </w:pPr>
    </w:lvl>
    <w:lvl w:ilvl="8" w:tplc="0409001B">
      <w:start w:val="1"/>
      <w:numFmt w:val="lowerRoman"/>
      <w:lvlText w:val="%9."/>
      <w:lvlJc w:val="right"/>
      <w:pPr>
        <w:ind w:left="6069" w:hanging="180"/>
      </w:pPr>
    </w:lvl>
  </w:abstractNum>
  <w:abstractNum w:abstractNumId="14">
    <w:nsid w:val="6CB11A54"/>
    <w:multiLevelType w:val="hybridMultilevel"/>
    <w:tmpl w:val="F88EE728"/>
    <w:lvl w:ilvl="0" w:tplc="A72E027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7B302D42"/>
    <w:multiLevelType w:val="hybridMultilevel"/>
    <w:tmpl w:val="AF840FF4"/>
    <w:lvl w:ilvl="0" w:tplc="67F0BD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0"/>
  </w:num>
  <w:num w:numId="2">
    <w:abstractNumId w:val="12"/>
  </w:num>
  <w:num w:numId="3">
    <w:abstractNumId w:val="5"/>
    <w:lvlOverride w:ilvl="0">
      <w:lvl w:ilvl="0">
        <w:start w:val="1"/>
        <w:numFmt w:val="decimal"/>
        <w:pStyle w:val="11"/>
        <w:lvlText w:val="%1."/>
        <w:lvlJc w:val="left"/>
        <w:pPr>
          <w:tabs>
            <w:tab w:val="num" w:pos="397"/>
          </w:tabs>
          <w:ind w:left="397" w:hanging="397"/>
        </w:pPr>
        <w:rPr>
          <w:rFonts w:hint="default"/>
        </w:rPr>
      </w:lvl>
    </w:lvlOverride>
    <w:lvlOverride w:ilvl="1">
      <w:lvl w:ilvl="1">
        <w:start w:val="1"/>
        <w:numFmt w:val="hebrew1"/>
        <w:lvlText w:val="(%2)"/>
        <w:lvlJc w:val="left"/>
        <w:pPr>
          <w:tabs>
            <w:tab w:val="num" w:pos="964"/>
          </w:tabs>
          <w:ind w:left="794" w:hanging="397"/>
        </w:pPr>
        <w:rPr>
          <w:rFonts w:hint="default"/>
        </w:rPr>
      </w:lvl>
    </w:lvlOverride>
    <w:lvlOverride w:ilvl="2">
      <w:lvl w:ilvl="2">
        <w:start w:val="1"/>
        <w:numFmt w:val="decimal"/>
        <w:lvlText w:val="(%3)"/>
        <w:lvlJc w:val="left"/>
        <w:pPr>
          <w:tabs>
            <w:tab w:val="num" w:pos="1361"/>
          </w:tabs>
          <w:ind w:left="1191" w:hanging="397"/>
        </w:pPr>
        <w:rPr>
          <w:rFonts w:hint="default"/>
        </w:rPr>
      </w:lvl>
    </w:lvlOverride>
    <w:lvlOverride w:ilvl="3">
      <w:lvl w:ilvl="3">
        <w:start w:val="1"/>
        <w:numFmt w:val="hebrew1"/>
        <w:lvlText w:val="(%4)"/>
        <w:lvlJc w:val="left"/>
        <w:pPr>
          <w:tabs>
            <w:tab w:val="num" w:pos="1758"/>
          </w:tabs>
          <w:ind w:left="1588" w:hanging="397"/>
        </w:pPr>
        <w:rPr>
          <w:rFonts w:hint="default"/>
        </w:rPr>
      </w:lvl>
    </w:lvlOverride>
    <w:lvlOverride w:ilvl="4">
      <w:lvl w:ilvl="4">
        <w:start w:val="1"/>
        <w:numFmt w:val="decimal"/>
        <w:lvlText w:val="%5."/>
        <w:lvlJc w:val="left"/>
        <w:pPr>
          <w:tabs>
            <w:tab w:val="num" w:pos="2155"/>
          </w:tabs>
          <w:ind w:left="1985" w:hanging="397"/>
        </w:pPr>
        <w:rPr>
          <w:rFonts w:hint="default"/>
        </w:rPr>
      </w:lvl>
    </w:lvlOverride>
    <w:lvlOverride w:ilvl="5">
      <w:lvl w:ilvl="5">
        <w:start w:val="1"/>
        <w:numFmt w:val="decimal"/>
        <w:lvlText w:val="%6."/>
        <w:lvlJc w:val="left"/>
        <w:pPr>
          <w:tabs>
            <w:tab w:val="num" w:pos="2552"/>
          </w:tabs>
          <w:ind w:left="2382" w:hanging="397"/>
        </w:pPr>
        <w:rPr>
          <w:rFonts w:hint="default"/>
        </w:rPr>
      </w:lvl>
    </w:lvlOverride>
    <w:lvlOverride w:ilvl="6">
      <w:lvl w:ilvl="6">
        <w:start w:val="1"/>
        <w:numFmt w:val="decimal"/>
        <w:lvlText w:val="%7."/>
        <w:lvlJc w:val="left"/>
        <w:pPr>
          <w:tabs>
            <w:tab w:val="num" w:pos="2949"/>
          </w:tabs>
          <w:ind w:left="2779" w:hanging="397"/>
        </w:pPr>
        <w:rPr>
          <w:rFonts w:hint="default"/>
        </w:rPr>
      </w:lvl>
    </w:lvlOverride>
    <w:lvlOverride w:ilvl="7">
      <w:lvl w:ilvl="7">
        <w:start w:val="1"/>
        <w:numFmt w:val="decimal"/>
        <w:lvlText w:val="%8."/>
        <w:lvlJc w:val="left"/>
        <w:pPr>
          <w:tabs>
            <w:tab w:val="num" w:pos="3346"/>
          </w:tabs>
          <w:ind w:left="3176" w:hanging="397"/>
        </w:pPr>
        <w:rPr>
          <w:rFonts w:hint="default"/>
        </w:rPr>
      </w:lvl>
    </w:lvlOverride>
    <w:lvlOverride w:ilvl="8">
      <w:lvl w:ilvl="8">
        <w:start w:val="1"/>
        <w:numFmt w:val="decimal"/>
        <w:lvlText w:val="%9."/>
        <w:lvlJc w:val="left"/>
        <w:pPr>
          <w:tabs>
            <w:tab w:val="num" w:pos="3743"/>
          </w:tabs>
          <w:ind w:left="3573" w:hanging="397"/>
        </w:pPr>
        <w:rPr>
          <w:rFonts w:hint="default"/>
        </w:rPr>
      </w:lvl>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 w:ilvl="0">
        <w:start w:val="1"/>
        <w:numFmt w:val="decimal"/>
        <w:pStyle w:val="11"/>
        <w:lvlText w:val="%1."/>
        <w:lvlJc w:val="left"/>
        <w:pPr>
          <w:tabs>
            <w:tab w:val="num" w:pos="567"/>
          </w:tabs>
          <w:ind w:left="567" w:hanging="567"/>
        </w:pPr>
      </w:lvl>
    </w:lvlOverride>
    <w:lvlOverride w:ilvl="1">
      <w:lvl w:ilvl="1">
        <w:start w:val="1"/>
        <w:numFmt w:val="hebrew1"/>
        <w:lvlText w:val="(%2)"/>
        <w:lvlJc w:val="left"/>
        <w:pPr>
          <w:tabs>
            <w:tab w:val="num" w:pos="1134"/>
          </w:tabs>
          <w:ind w:left="1134" w:hanging="567"/>
        </w:pPr>
      </w:lvl>
    </w:lvlOverride>
    <w:lvlOverride w:ilvl="2">
      <w:lvl w:ilvl="2">
        <w:start w:val="1"/>
        <w:numFmt w:val="decimal"/>
        <w:lvlText w:val="(%3)"/>
        <w:lvlJc w:val="left"/>
        <w:pPr>
          <w:tabs>
            <w:tab w:val="num" w:pos="1701"/>
          </w:tabs>
          <w:ind w:left="1701" w:hanging="567"/>
        </w:pPr>
      </w:lvl>
    </w:lvlOverride>
    <w:lvlOverride w:ilvl="3">
      <w:lvl w:ilvl="3">
        <w:start w:val="1"/>
        <w:numFmt w:val="hebrew1"/>
        <w:lvlText w:val="(%4)"/>
        <w:lvlJc w:val="left"/>
        <w:pPr>
          <w:tabs>
            <w:tab w:val="num" w:pos="2268"/>
          </w:tabs>
          <w:ind w:left="2268" w:hanging="567"/>
        </w:pPr>
      </w:lvl>
    </w:lvlOverride>
    <w:lvlOverride w:ilvl="4">
      <w:lvl w:ilvl="4">
        <w:start w:val="1"/>
        <w:numFmt w:val="decimal"/>
        <w:lvlText w:val="%5."/>
        <w:lvlJc w:val="left"/>
        <w:pPr>
          <w:tabs>
            <w:tab w:val="num" w:pos="2835"/>
          </w:tabs>
          <w:ind w:left="2835" w:hanging="567"/>
        </w:pPr>
      </w:lvl>
    </w:lvlOverride>
    <w:lvlOverride w:ilvl="5">
      <w:lvl w:ilvl="5">
        <w:start w:val="1"/>
        <w:numFmt w:val="decimal"/>
        <w:lvlText w:val="%6."/>
        <w:lvlJc w:val="left"/>
        <w:pPr>
          <w:tabs>
            <w:tab w:val="num" w:pos="3402"/>
          </w:tabs>
          <w:ind w:left="3402" w:hanging="567"/>
        </w:pPr>
      </w:lvl>
    </w:lvlOverride>
    <w:lvlOverride w:ilvl="6">
      <w:lvl w:ilvl="6">
        <w:start w:val="1"/>
        <w:numFmt w:val="decimal"/>
        <w:lvlText w:val="%7."/>
        <w:lvlJc w:val="left"/>
        <w:pPr>
          <w:tabs>
            <w:tab w:val="num" w:pos="3969"/>
          </w:tabs>
          <w:ind w:left="3969" w:hanging="567"/>
        </w:pPr>
      </w:lvl>
    </w:lvlOverride>
    <w:lvlOverride w:ilvl="7">
      <w:lvl w:ilvl="7">
        <w:start w:val="1"/>
        <w:numFmt w:val="decimal"/>
        <w:lvlText w:val="%8."/>
        <w:lvlJc w:val="left"/>
        <w:pPr>
          <w:tabs>
            <w:tab w:val="num" w:pos="4536"/>
          </w:tabs>
          <w:ind w:left="4536" w:hanging="567"/>
        </w:pPr>
      </w:lvl>
    </w:lvlOverride>
    <w:lvlOverride w:ilvl="8">
      <w:lvl w:ilvl="8">
        <w:start w:val="1"/>
        <w:numFmt w:val="decimal"/>
        <w:lvlText w:val="%9."/>
        <w:lvlJc w:val="left"/>
        <w:pPr>
          <w:tabs>
            <w:tab w:val="num" w:pos="5103"/>
          </w:tabs>
          <w:ind w:left="5103" w:hanging="567"/>
        </w:pPr>
      </w:lvl>
    </w:lvlOverride>
  </w:num>
  <w:num w:numId="8">
    <w:abstractNumId w:val="5"/>
    <w:lvlOverride w:ilvl="0">
      <w:lvl w:ilvl="0">
        <w:start w:val="1"/>
        <w:numFmt w:val="decimal"/>
        <w:pStyle w:val="11"/>
        <w:lvlText w:val="%1."/>
        <w:lvlJc w:val="left"/>
        <w:pPr>
          <w:tabs>
            <w:tab w:val="num" w:pos="567"/>
          </w:tabs>
          <w:ind w:left="567" w:hanging="567"/>
        </w:pPr>
      </w:lvl>
    </w:lvlOverride>
    <w:lvlOverride w:ilvl="1">
      <w:lvl w:ilvl="1">
        <w:start w:val="1"/>
        <w:numFmt w:val="hebrew1"/>
        <w:lvlText w:val="(%2)"/>
        <w:lvlJc w:val="left"/>
        <w:pPr>
          <w:tabs>
            <w:tab w:val="num" w:pos="1134"/>
          </w:tabs>
          <w:ind w:left="1134" w:hanging="567"/>
        </w:pPr>
      </w:lvl>
    </w:lvlOverride>
    <w:lvlOverride w:ilvl="2">
      <w:lvl w:ilvl="2">
        <w:start w:val="1"/>
        <w:numFmt w:val="decimal"/>
        <w:lvlText w:val="(%3)"/>
        <w:lvlJc w:val="left"/>
        <w:pPr>
          <w:tabs>
            <w:tab w:val="num" w:pos="1701"/>
          </w:tabs>
          <w:ind w:left="1701" w:hanging="567"/>
        </w:pPr>
      </w:lvl>
    </w:lvlOverride>
    <w:lvlOverride w:ilvl="3">
      <w:lvl w:ilvl="3">
        <w:start w:val="1"/>
        <w:numFmt w:val="hebrew1"/>
        <w:lvlText w:val="(%4)"/>
        <w:lvlJc w:val="left"/>
        <w:pPr>
          <w:tabs>
            <w:tab w:val="num" w:pos="2268"/>
          </w:tabs>
          <w:ind w:left="2268" w:hanging="567"/>
        </w:pPr>
      </w:lvl>
    </w:lvlOverride>
    <w:lvlOverride w:ilvl="4">
      <w:lvl w:ilvl="4">
        <w:start w:val="1"/>
        <w:numFmt w:val="decimal"/>
        <w:lvlText w:val="%5."/>
        <w:lvlJc w:val="left"/>
        <w:pPr>
          <w:tabs>
            <w:tab w:val="num" w:pos="2835"/>
          </w:tabs>
          <w:ind w:left="2835" w:hanging="567"/>
        </w:pPr>
      </w:lvl>
    </w:lvlOverride>
    <w:lvlOverride w:ilvl="5">
      <w:lvl w:ilvl="5">
        <w:start w:val="1"/>
        <w:numFmt w:val="decimal"/>
        <w:lvlText w:val="%6."/>
        <w:lvlJc w:val="left"/>
        <w:pPr>
          <w:tabs>
            <w:tab w:val="num" w:pos="3402"/>
          </w:tabs>
          <w:ind w:left="3402" w:hanging="567"/>
        </w:pPr>
      </w:lvl>
    </w:lvlOverride>
    <w:lvlOverride w:ilvl="6">
      <w:lvl w:ilvl="6">
        <w:start w:val="1"/>
        <w:numFmt w:val="decimal"/>
        <w:lvlText w:val="%7."/>
        <w:lvlJc w:val="left"/>
        <w:pPr>
          <w:tabs>
            <w:tab w:val="num" w:pos="3969"/>
          </w:tabs>
          <w:ind w:left="3969" w:hanging="567"/>
        </w:pPr>
      </w:lvl>
    </w:lvlOverride>
    <w:lvlOverride w:ilvl="7">
      <w:lvl w:ilvl="7">
        <w:start w:val="1"/>
        <w:numFmt w:val="decimal"/>
        <w:lvlText w:val="%8."/>
        <w:lvlJc w:val="left"/>
        <w:pPr>
          <w:tabs>
            <w:tab w:val="num" w:pos="4536"/>
          </w:tabs>
          <w:ind w:left="4536" w:hanging="567"/>
        </w:pPr>
      </w:lvl>
    </w:lvlOverride>
    <w:lvlOverride w:ilvl="8">
      <w:lvl w:ilvl="8">
        <w:start w:val="1"/>
        <w:numFmt w:val="decimal"/>
        <w:lvlText w:val="%9."/>
        <w:lvlJc w:val="left"/>
        <w:pPr>
          <w:tabs>
            <w:tab w:val="num" w:pos="5103"/>
          </w:tabs>
          <w:ind w:left="5103" w:hanging="567"/>
        </w:pPr>
      </w:lvl>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 w:ilvl="0">
        <w:start w:val="1"/>
        <w:numFmt w:val="decimal"/>
        <w:pStyle w:val="11"/>
        <w:lvlText w:val="%1."/>
        <w:lvlJc w:val="left"/>
        <w:pPr>
          <w:tabs>
            <w:tab w:val="num" w:pos="567"/>
          </w:tabs>
          <w:ind w:left="567" w:hanging="567"/>
        </w:pPr>
      </w:lvl>
    </w:lvlOverride>
    <w:lvlOverride w:ilvl="1">
      <w:lvl w:ilvl="1">
        <w:start w:val="1"/>
        <w:numFmt w:val="hebrew1"/>
        <w:lvlText w:val="(%2)"/>
        <w:lvlJc w:val="left"/>
        <w:pPr>
          <w:tabs>
            <w:tab w:val="num" w:pos="1134"/>
          </w:tabs>
          <w:ind w:left="1134" w:hanging="567"/>
        </w:pPr>
      </w:lvl>
    </w:lvlOverride>
    <w:lvlOverride w:ilvl="2">
      <w:lvl w:ilvl="2">
        <w:start w:val="1"/>
        <w:numFmt w:val="decimal"/>
        <w:lvlText w:val="(%3)"/>
        <w:lvlJc w:val="left"/>
        <w:pPr>
          <w:tabs>
            <w:tab w:val="num" w:pos="1701"/>
          </w:tabs>
          <w:ind w:left="1701" w:hanging="567"/>
        </w:pPr>
      </w:lvl>
    </w:lvlOverride>
    <w:lvlOverride w:ilvl="3">
      <w:lvl w:ilvl="3">
        <w:start w:val="1"/>
        <w:numFmt w:val="hebrew1"/>
        <w:lvlText w:val="(%4)"/>
        <w:lvlJc w:val="left"/>
        <w:pPr>
          <w:tabs>
            <w:tab w:val="num" w:pos="2268"/>
          </w:tabs>
          <w:ind w:left="2268" w:hanging="567"/>
        </w:pPr>
      </w:lvl>
    </w:lvlOverride>
    <w:lvlOverride w:ilvl="4">
      <w:lvl w:ilvl="4">
        <w:start w:val="1"/>
        <w:numFmt w:val="decimal"/>
        <w:lvlText w:val="%5."/>
        <w:lvlJc w:val="left"/>
        <w:pPr>
          <w:tabs>
            <w:tab w:val="num" w:pos="2835"/>
          </w:tabs>
          <w:ind w:left="2835" w:hanging="567"/>
        </w:pPr>
      </w:lvl>
    </w:lvlOverride>
    <w:lvlOverride w:ilvl="5">
      <w:lvl w:ilvl="5">
        <w:start w:val="1"/>
        <w:numFmt w:val="decimal"/>
        <w:lvlText w:val="%6."/>
        <w:lvlJc w:val="left"/>
        <w:pPr>
          <w:tabs>
            <w:tab w:val="num" w:pos="3402"/>
          </w:tabs>
          <w:ind w:left="3402" w:hanging="567"/>
        </w:pPr>
      </w:lvl>
    </w:lvlOverride>
    <w:lvlOverride w:ilvl="6">
      <w:lvl w:ilvl="6">
        <w:start w:val="1"/>
        <w:numFmt w:val="decimal"/>
        <w:lvlText w:val="%7."/>
        <w:lvlJc w:val="left"/>
        <w:pPr>
          <w:tabs>
            <w:tab w:val="num" w:pos="3969"/>
          </w:tabs>
          <w:ind w:left="3969" w:hanging="567"/>
        </w:pPr>
      </w:lvl>
    </w:lvlOverride>
    <w:lvlOverride w:ilvl="7">
      <w:lvl w:ilvl="7">
        <w:start w:val="1"/>
        <w:numFmt w:val="decimal"/>
        <w:lvlText w:val="%8."/>
        <w:lvlJc w:val="left"/>
        <w:pPr>
          <w:tabs>
            <w:tab w:val="num" w:pos="4536"/>
          </w:tabs>
          <w:ind w:left="4536" w:hanging="567"/>
        </w:pPr>
      </w:lvl>
    </w:lvlOverride>
    <w:lvlOverride w:ilvl="8">
      <w:lvl w:ilvl="8">
        <w:start w:val="1"/>
        <w:numFmt w:val="decimal"/>
        <w:lvlText w:val="%9."/>
        <w:lvlJc w:val="left"/>
        <w:pPr>
          <w:tabs>
            <w:tab w:val="num" w:pos="5103"/>
          </w:tabs>
          <w:ind w:left="5103" w:hanging="567"/>
        </w:pPr>
      </w:lvl>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2"/>
    <w:lvlOverride w:ilvl="0">
      <w:lvl w:ilvl="0">
        <w:start w:val="1"/>
        <w:numFmt w:val="hebrew1"/>
        <w:pStyle w:val="a0"/>
        <w:lvlText w:val="%1."/>
        <w:lvlJc w:val="left"/>
        <w:pPr>
          <w:tabs>
            <w:tab w:val="num" w:pos="360"/>
          </w:tabs>
          <w:ind w:left="360" w:hanging="360"/>
        </w:pPr>
        <w:rPr>
          <w:rFonts w:cs="Narkisim" w:hint="cs"/>
          <w:bCs/>
          <w:iCs w:val="0"/>
          <w:szCs w:val="24"/>
        </w:rPr>
      </w:lvl>
    </w:lvlOverride>
    <w:lvlOverride w:ilvl="1">
      <w:lvl w:ilvl="1">
        <w:start w:val="1"/>
        <w:numFmt w:val="hebrew1"/>
        <w:pStyle w:val="a1"/>
        <w:lvlText w:val="%2."/>
        <w:lvlJc w:val="left"/>
        <w:pPr>
          <w:tabs>
            <w:tab w:val="num" w:pos="794"/>
          </w:tabs>
          <w:ind w:left="397" w:hanging="397"/>
        </w:pPr>
        <w:rPr>
          <w:rFonts w:cs="Narkisim" w:hint="cs"/>
          <w:bCs/>
          <w:iCs w:val="0"/>
          <w:szCs w:val="24"/>
        </w:rPr>
      </w:lvl>
    </w:lvlOverride>
    <w:lvlOverride w:ilvl="2">
      <w:lvl w:ilvl="2">
        <w:start w:val="1"/>
        <w:numFmt w:val="decimal"/>
        <w:pStyle w:val="10"/>
        <w:lvlText w:val="(%3)"/>
        <w:lvlJc w:val="left"/>
        <w:pPr>
          <w:tabs>
            <w:tab w:val="num" w:pos="397"/>
          </w:tabs>
          <w:ind w:left="0" w:firstLine="0"/>
        </w:pPr>
        <w:rPr>
          <w:rFonts w:cs="Narkisim" w:hint="cs"/>
          <w:bCs/>
          <w:i/>
          <w:iCs w:val="0"/>
          <w:szCs w:val="22"/>
        </w:rPr>
      </w:lvl>
    </w:lvlOverride>
    <w:lvlOverride w:ilvl="3">
      <w:lvl w:ilvl="3">
        <w:start w:val="1"/>
        <w:numFmt w:val="hebrew1"/>
        <w:pStyle w:val="a2"/>
        <w:lvlText w:val="(%4)"/>
        <w:lvlJc w:val="left"/>
        <w:pPr>
          <w:tabs>
            <w:tab w:val="num" w:pos="397"/>
          </w:tabs>
          <w:ind w:left="0" w:firstLine="0"/>
        </w:pPr>
        <w:rPr>
          <w:rFonts w:cs="Narkisim" w:hint="cs"/>
          <w:bCs/>
          <w:iCs/>
          <w:szCs w:val="18"/>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14">
    <w:abstractNumId w:val="12"/>
    <w:lvlOverride w:ilvl="0">
      <w:lvl w:ilvl="0">
        <w:start w:val="1"/>
        <w:numFmt w:val="hebrew1"/>
        <w:pStyle w:val="a0"/>
        <w:lvlText w:val="%1."/>
        <w:lvlJc w:val="left"/>
        <w:pPr>
          <w:tabs>
            <w:tab w:val="num" w:pos="360"/>
          </w:tabs>
          <w:ind w:left="360" w:hanging="360"/>
        </w:pPr>
        <w:rPr>
          <w:rFonts w:cs="Narkisim" w:hint="cs"/>
          <w:bCs/>
          <w:iCs w:val="0"/>
          <w:szCs w:val="24"/>
        </w:rPr>
      </w:lvl>
    </w:lvlOverride>
    <w:lvlOverride w:ilvl="1">
      <w:lvl w:ilvl="1">
        <w:start w:val="1"/>
        <w:numFmt w:val="hebrew1"/>
        <w:pStyle w:val="a1"/>
        <w:lvlText w:val="%2."/>
        <w:lvlJc w:val="left"/>
        <w:pPr>
          <w:tabs>
            <w:tab w:val="num" w:pos="794"/>
          </w:tabs>
          <w:ind w:left="397" w:hanging="397"/>
        </w:pPr>
        <w:rPr>
          <w:rFonts w:cs="Narkisim" w:hint="cs"/>
          <w:bCs/>
          <w:iCs w:val="0"/>
          <w:szCs w:val="24"/>
        </w:rPr>
      </w:lvl>
    </w:lvlOverride>
    <w:lvlOverride w:ilvl="2">
      <w:lvl w:ilvl="2">
        <w:start w:val="1"/>
        <w:numFmt w:val="decimal"/>
        <w:pStyle w:val="10"/>
        <w:lvlText w:val="(%3)"/>
        <w:lvlJc w:val="left"/>
        <w:pPr>
          <w:tabs>
            <w:tab w:val="num" w:pos="397"/>
          </w:tabs>
          <w:ind w:left="0" w:firstLine="0"/>
        </w:pPr>
        <w:rPr>
          <w:rFonts w:cs="Narkisim" w:hint="cs"/>
          <w:bCs/>
          <w:i/>
          <w:iCs w:val="0"/>
          <w:szCs w:val="22"/>
        </w:rPr>
      </w:lvl>
    </w:lvlOverride>
    <w:lvlOverride w:ilvl="3">
      <w:lvl w:ilvl="3">
        <w:start w:val="1"/>
        <w:numFmt w:val="hebrew1"/>
        <w:pStyle w:val="a2"/>
        <w:lvlText w:val="(%4)"/>
        <w:lvlJc w:val="left"/>
        <w:pPr>
          <w:tabs>
            <w:tab w:val="num" w:pos="397"/>
          </w:tabs>
          <w:ind w:left="0" w:firstLine="0"/>
        </w:pPr>
        <w:rPr>
          <w:rFonts w:hint="default"/>
          <w:bCs w:val="0"/>
          <w:iCs/>
          <w:szCs w:val="22"/>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15">
    <w:abstractNumId w:val="3"/>
  </w:num>
  <w:num w:numId="16">
    <w:abstractNumId w:val="0"/>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7"/>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stylePaneSortMethod w:val="0000"/>
  <w:defaultTabStop w:val="397"/>
  <w:characterSpacingControl w:val="doNotCompress"/>
  <w:footnotePr>
    <w:footnote w:id="0"/>
    <w:footnote w:id="1"/>
  </w:footnotePr>
  <w:endnotePr>
    <w:endnote w:id="0"/>
    <w:endnote w:id="1"/>
  </w:endnotePr>
  <w:compat/>
  <w:rsids>
    <w:rsidRoot w:val="006108B1"/>
    <w:rsid w:val="00006421"/>
    <w:rsid w:val="00007AAC"/>
    <w:rsid w:val="00024770"/>
    <w:rsid w:val="000255C8"/>
    <w:rsid w:val="0003570F"/>
    <w:rsid w:val="00047688"/>
    <w:rsid w:val="000503D0"/>
    <w:rsid w:val="000538F0"/>
    <w:rsid w:val="00084BF4"/>
    <w:rsid w:val="00091F34"/>
    <w:rsid w:val="000C6ECB"/>
    <w:rsid w:val="000D0D05"/>
    <w:rsid w:val="000D7569"/>
    <w:rsid w:val="000E0573"/>
    <w:rsid w:val="000E5E32"/>
    <w:rsid w:val="000F3D3C"/>
    <w:rsid w:val="000F6784"/>
    <w:rsid w:val="000F76D6"/>
    <w:rsid w:val="00141834"/>
    <w:rsid w:val="001463AE"/>
    <w:rsid w:val="0017301A"/>
    <w:rsid w:val="001766B7"/>
    <w:rsid w:val="001A042C"/>
    <w:rsid w:val="001D1878"/>
    <w:rsid w:val="001E35DA"/>
    <w:rsid w:val="001E50C8"/>
    <w:rsid w:val="001F3BB4"/>
    <w:rsid w:val="00204DAE"/>
    <w:rsid w:val="0026102F"/>
    <w:rsid w:val="00265B33"/>
    <w:rsid w:val="002876DB"/>
    <w:rsid w:val="0029323C"/>
    <w:rsid w:val="002A5312"/>
    <w:rsid w:val="002B217F"/>
    <w:rsid w:val="002D1424"/>
    <w:rsid w:val="002F6A54"/>
    <w:rsid w:val="00323A5F"/>
    <w:rsid w:val="00331442"/>
    <w:rsid w:val="00336118"/>
    <w:rsid w:val="0036282A"/>
    <w:rsid w:val="003772D4"/>
    <w:rsid w:val="003832F1"/>
    <w:rsid w:val="00387082"/>
    <w:rsid w:val="003B23D0"/>
    <w:rsid w:val="003B2EE9"/>
    <w:rsid w:val="003D0A52"/>
    <w:rsid w:val="003D3DEF"/>
    <w:rsid w:val="003E5CC1"/>
    <w:rsid w:val="003E6E03"/>
    <w:rsid w:val="003F336D"/>
    <w:rsid w:val="00403D72"/>
    <w:rsid w:val="00417C0C"/>
    <w:rsid w:val="00420DDA"/>
    <w:rsid w:val="004408FD"/>
    <w:rsid w:val="004446E6"/>
    <w:rsid w:val="00444DC3"/>
    <w:rsid w:val="00445DE0"/>
    <w:rsid w:val="00460F4E"/>
    <w:rsid w:val="00473506"/>
    <w:rsid w:val="00473811"/>
    <w:rsid w:val="0047605D"/>
    <w:rsid w:val="00482C8E"/>
    <w:rsid w:val="00493D5A"/>
    <w:rsid w:val="004A70E1"/>
    <w:rsid w:val="004B2706"/>
    <w:rsid w:val="004B71CD"/>
    <w:rsid w:val="004C1FB1"/>
    <w:rsid w:val="004D5C89"/>
    <w:rsid w:val="004D747B"/>
    <w:rsid w:val="004E46AC"/>
    <w:rsid w:val="0051147D"/>
    <w:rsid w:val="00542D5D"/>
    <w:rsid w:val="005452D2"/>
    <w:rsid w:val="00551E47"/>
    <w:rsid w:val="005564F3"/>
    <w:rsid w:val="005605C5"/>
    <w:rsid w:val="00582096"/>
    <w:rsid w:val="005A0F00"/>
    <w:rsid w:val="005B7AD2"/>
    <w:rsid w:val="005C02ED"/>
    <w:rsid w:val="005D431F"/>
    <w:rsid w:val="005F3092"/>
    <w:rsid w:val="00603B20"/>
    <w:rsid w:val="006040E7"/>
    <w:rsid w:val="006107D4"/>
    <w:rsid w:val="006108B1"/>
    <w:rsid w:val="00617429"/>
    <w:rsid w:val="00621046"/>
    <w:rsid w:val="00641C31"/>
    <w:rsid w:val="00644E42"/>
    <w:rsid w:val="0065626D"/>
    <w:rsid w:val="00661492"/>
    <w:rsid w:val="006649F6"/>
    <w:rsid w:val="00670A3C"/>
    <w:rsid w:val="006B66A4"/>
    <w:rsid w:val="006B69D8"/>
    <w:rsid w:val="006C69A3"/>
    <w:rsid w:val="006D2102"/>
    <w:rsid w:val="006D232C"/>
    <w:rsid w:val="006E6BBF"/>
    <w:rsid w:val="006E7140"/>
    <w:rsid w:val="006E7815"/>
    <w:rsid w:val="00716B42"/>
    <w:rsid w:val="00735864"/>
    <w:rsid w:val="00737AE7"/>
    <w:rsid w:val="00740D3F"/>
    <w:rsid w:val="00746D83"/>
    <w:rsid w:val="00751D70"/>
    <w:rsid w:val="0075572F"/>
    <w:rsid w:val="007A0A66"/>
    <w:rsid w:val="007A5E21"/>
    <w:rsid w:val="007B25A9"/>
    <w:rsid w:val="007C0B59"/>
    <w:rsid w:val="007C1D63"/>
    <w:rsid w:val="007D387A"/>
    <w:rsid w:val="007E77A4"/>
    <w:rsid w:val="00806638"/>
    <w:rsid w:val="00806974"/>
    <w:rsid w:val="00823169"/>
    <w:rsid w:val="00833A02"/>
    <w:rsid w:val="00836161"/>
    <w:rsid w:val="008429F3"/>
    <w:rsid w:val="00845750"/>
    <w:rsid w:val="00845771"/>
    <w:rsid w:val="00857819"/>
    <w:rsid w:val="008612C3"/>
    <w:rsid w:val="00867FF0"/>
    <w:rsid w:val="008807C9"/>
    <w:rsid w:val="00883EAA"/>
    <w:rsid w:val="008A683B"/>
    <w:rsid w:val="008B341C"/>
    <w:rsid w:val="008C26EC"/>
    <w:rsid w:val="008E5955"/>
    <w:rsid w:val="00925E26"/>
    <w:rsid w:val="00927846"/>
    <w:rsid w:val="009403D8"/>
    <w:rsid w:val="00960DFF"/>
    <w:rsid w:val="009679A7"/>
    <w:rsid w:val="009A6600"/>
    <w:rsid w:val="009B7441"/>
    <w:rsid w:val="009D23D6"/>
    <w:rsid w:val="009F2662"/>
    <w:rsid w:val="00A15740"/>
    <w:rsid w:val="00A165F5"/>
    <w:rsid w:val="00A23B46"/>
    <w:rsid w:val="00A3693C"/>
    <w:rsid w:val="00A43B5A"/>
    <w:rsid w:val="00AC3C3B"/>
    <w:rsid w:val="00AD3F81"/>
    <w:rsid w:val="00AE0944"/>
    <w:rsid w:val="00AF7330"/>
    <w:rsid w:val="00B629CF"/>
    <w:rsid w:val="00B74063"/>
    <w:rsid w:val="00B843D4"/>
    <w:rsid w:val="00B91EE4"/>
    <w:rsid w:val="00BB1644"/>
    <w:rsid w:val="00BB7B01"/>
    <w:rsid w:val="00BC1FF3"/>
    <w:rsid w:val="00BC2954"/>
    <w:rsid w:val="00BC4900"/>
    <w:rsid w:val="00BD18F7"/>
    <w:rsid w:val="00BE09F6"/>
    <w:rsid w:val="00BF58F9"/>
    <w:rsid w:val="00BF7C9F"/>
    <w:rsid w:val="00C07E82"/>
    <w:rsid w:val="00C17BEA"/>
    <w:rsid w:val="00C253B0"/>
    <w:rsid w:val="00C255BB"/>
    <w:rsid w:val="00C426B1"/>
    <w:rsid w:val="00C45C07"/>
    <w:rsid w:val="00C61598"/>
    <w:rsid w:val="00C75942"/>
    <w:rsid w:val="00C85A9B"/>
    <w:rsid w:val="00C8609C"/>
    <w:rsid w:val="00C957FA"/>
    <w:rsid w:val="00CA5144"/>
    <w:rsid w:val="00CB4524"/>
    <w:rsid w:val="00CD3C23"/>
    <w:rsid w:val="00CD70E7"/>
    <w:rsid w:val="00CE18E3"/>
    <w:rsid w:val="00D01A98"/>
    <w:rsid w:val="00D02377"/>
    <w:rsid w:val="00D026AD"/>
    <w:rsid w:val="00D1056A"/>
    <w:rsid w:val="00D1058F"/>
    <w:rsid w:val="00D116D2"/>
    <w:rsid w:val="00D2669D"/>
    <w:rsid w:val="00D362E5"/>
    <w:rsid w:val="00D41648"/>
    <w:rsid w:val="00D4325A"/>
    <w:rsid w:val="00D53492"/>
    <w:rsid w:val="00D55DBB"/>
    <w:rsid w:val="00D732F4"/>
    <w:rsid w:val="00D77F78"/>
    <w:rsid w:val="00D93CE5"/>
    <w:rsid w:val="00DA2C8B"/>
    <w:rsid w:val="00DB7CB8"/>
    <w:rsid w:val="00DC2502"/>
    <w:rsid w:val="00DD0F11"/>
    <w:rsid w:val="00DD45F0"/>
    <w:rsid w:val="00DE152D"/>
    <w:rsid w:val="00DE7442"/>
    <w:rsid w:val="00DF366C"/>
    <w:rsid w:val="00DF57C1"/>
    <w:rsid w:val="00E104C3"/>
    <w:rsid w:val="00E24346"/>
    <w:rsid w:val="00E2756A"/>
    <w:rsid w:val="00E27C81"/>
    <w:rsid w:val="00E3002C"/>
    <w:rsid w:val="00E311D4"/>
    <w:rsid w:val="00E43697"/>
    <w:rsid w:val="00E478DE"/>
    <w:rsid w:val="00E56E5C"/>
    <w:rsid w:val="00E74940"/>
    <w:rsid w:val="00EA0A6F"/>
    <w:rsid w:val="00EB36FE"/>
    <w:rsid w:val="00EC5CFC"/>
    <w:rsid w:val="00ED0D18"/>
    <w:rsid w:val="00ED4071"/>
    <w:rsid w:val="00ED540D"/>
    <w:rsid w:val="00EE1DB1"/>
    <w:rsid w:val="00EE4C07"/>
    <w:rsid w:val="00F01359"/>
    <w:rsid w:val="00F12C84"/>
    <w:rsid w:val="00F4312B"/>
    <w:rsid w:val="00F504D1"/>
    <w:rsid w:val="00F56183"/>
    <w:rsid w:val="00F56D6F"/>
    <w:rsid w:val="00F97A66"/>
    <w:rsid w:val="00FA1A5E"/>
    <w:rsid w:val="00FA1DAB"/>
    <w:rsid w:val="00FB09BF"/>
    <w:rsid w:val="00FC2886"/>
    <w:rsid w:val="00FC3BF7"/>
    <w:rsid w:val="00FD1376"/>
    <w:rsid w:val="00FD4FCC"/>
    <w:rsid w:val="00FD7825"/>
    <w:rsid w:val="00FF1CAC"/>
    <w:rsid w:val="00FF7C25"/>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Miriam"/>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5626D"/>
    <w:pPr>
      <w:bidi/>
      <w:jc w:val="both"/>
    </w:pPr>
    <w:rPr>
      <w:rFonts w:cs="FrankRuehl"/>
      <w:sz w:val="22"/>
      <w:szCs w:val="28"/>
    </w:rPr>
  </w:style>
  <w:style w:type="paragraph" w:styleId="2">
    <w:name w:val="heading 2"/>
    <w:basedOn w:val="a3"/>
    <w:link w:val="20"/>
    <w:uiPriority w:val="9"/>
    <w:qFormat/>
    <w:rsid w:val="001F3BB4"/>
    <w:pPr>
      <w:bidi w:val="0"/>
      <w:spacing w:before="100" w:beforeAutospacing="1" w:after="100" w:afterAutospacing="1"/>
      <w:jc w:val="left"/>
      <w:outlineLvl w:val="1"/>
    </w:pPr>
    <w:rPr>
      <w:rFonts w:eastAsia="Times New Roman" w:cs="Times New Roman"/>
      <w:b/>
      <w:bCs/>
      <w:sz w:val="50"/>
      <w:szCs w:val="50"/>
    </w:rPr>
  </w:style>
  <w:style w:type="paragraph" w:styleId="5">
    <w:name w:val="heading 5"/>
    <w:basedOn w:val="a3"/>
    <w:next w:val="a3"/>
    <w:link w:val="50"/>
    <w:uiPriority w:val="9"/>
    <w:semiHidden/>
    <w:unhideWhenUsed/>
    <w:qFormat/>
    <w:rsid w:val="00E2756A"/>
    <w:pPr>
      <w:keepNext/>
      <w:keepLines/>
      <w:spacing w:before="200"/>
      <w:outlineLvl w:val="4"/>
    </w:pPr>
    <w:rPr>
      <w:rFonts w:asciiTheme="majorHAnsi" w:eastAsiaTheme="majorEastAsia" w:hAnsiTheme="majorHAnsi" w:cstheme="majorBidi"/>
      <w:color w:val="243F60"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0">
    <w:name w:val="כותרת 5 תו"/>
    <w:basedOn w:val="a4"/>
    <w:link w:val="5"/>
    <w:uiPriority w:val="9"/>
    <w:semiHidden/>
    <w:rsid w:val="00E2756A"/>
    <w:rPr>
      <w:rFonts w:asciiTheme="majorHAnsi" w:eastAsiaTheme="majorEastAsia" w:hAnsiTheme="majorHAnsi" w:cstheme="majorBidi"/>
      <w:color w:val="243F60" w:themeColor="accent1" w:themeShade="7F"/>
      <w:sz w:val="22"/>
      <w:szCs w:val="28"/>
    </w:rPr>
  </w:style>
  <w:style w:type="paragraph" w:styleId="a7">
    <w:name w:val="footnote text"/>
    <w:basedOn w:val="a3"/>
    <w:link w:val="a8"/>
    <w:semiHidden/>
    <w:unhideWhenUsed/>
    <w:rsid w:val="00E2756A"/>
    <w:pPr>
      <w:tabs>
        <w:tab w:val="left" w:pos="284"/>
      </w:tabs>
      <w:spacing w:before="40" w:after="40" w:line="276" w:lineRule="auto"/>
      <w:ind w:left="284" w:hanging="284"/>
    </w:pPr>
    <w:rPr>
      <w:rFonts w:eastAsia="Times New Roman"/>
      <w:sz w:val="18"/>
      <w:szCs w:val="24"/>
      <w:lang w:eastAsia="he-IL"/>
    </w:rPr>
  </w:style>
  <w:style w:type="character" w:customStyle="1" w:styleId="a8">
    <w:name w:val="טקסט הערת שוליים תו"/>
    <w:basedOn w:val="a4"/>
    <w:link w:val="a7"/>
    <w:semiHidden/>
    <w:rsid w:val="00E2756A"/>
    <w:rPr>
      <w:rFonts w:eastAsia="Times New Roman" w:cs="FrankRuehl"/>
      <w:sz w:val="18"/>
      <w:szCs w:val="24"/>
      <w:lang w:eastAsia="he-IL"/>
    </w:rPr>
  </w:style>
  <w:style w:type="paragraph" w:styleId="a9">
    <w:name w:val="List Paragraph"/>
    <w:basedOn w:val="a3"/>
    <w:uiPriority w:val="34"/>
    <w:qFormat/>
    <w:rsid w:val="00E2756A"/>
    <w:pPr>
      <w:spacing w:line="276" w:lineRule="auto"/>
      <w:ind w:left="720"/>
      <w:contextualSpacing/>
    </w:pPr>
  </w:style>
  <w:style w:type="paragraph" w:styleId="aa">
    <w:name w:val="Quote"/>
    <w:basedOn w:val="a3"/>
    <w:link w:val="ab"/>
    <w:uiPriority w:val="29"/>
    <w:qFormat/>
    <w:rsid w:val="00E2756A"/>
    <w:pPr>
      <w:snapToGrid w:val="0"/>
      <w:spacing w:after="120"/>
      <w:ind w:left="851" w:right="851"/>
    </w:pPr>
    <w:rPr>
      <w:rFonts w:eastAsia="Calibri"/>
      <w:i/>
      <w:color w:val="000000" w:themeColor="text1"/>
      <w:kern w:val="28"/>
    </w:rPr>
  </w:style>
  <w:style w:type="character" w:customStyle="1" w:styleId="ab">
    <w:name w:val="הצעת מחיר תו"/>
    <w:basedOn w:val="a4"/>
    <w:link w:val="aa"/>
    <w:uiPriority w:val="29"/>
    <w:rsid w:val="00E2756A"/>
    <w:rPr>
      <w:rFonts w:eastAsia="Calibri" w:cs="FrankRuehl"/>
      <w:i/>
      <w:color w:val="000000" w:themeColor="text1"/>
      <w:kern w:val="28"/>
      <w:sz w:val="22"/>
      <w:szCs w:val="28"/>
    </w:rPr>
  </w:style>
  <w:style w:type="paragraph" w:customStyle="1" w:styleId="ac">
    <w:name w:val="פרטי תיק פס''ד"/>
    <w:basedOn w:val="a3"/>
    <w:qFormat/>
    <w:rsid w:val="00E2756A"/>
    <w:pPr>
      <w:spacing w:line="360" w:lineRule="auto"/>
    </w:pPr>
    <w:rPr>
      <w:rFonts w:cs="David"/>
      <w:b/>
      <w:bCs/>
      <w:sz w:val="24"/>
      <w:szCs w:val="24"/>
    </w:rPr>
  </w:style>
  <w:style w:type="character" w:customStyle="1" w:styleId="ad">
    <w:name w:val="פסקת פתיחה תו"/>
    <w:link w:val="ae"/>
    <w:locked/>
    <w:rsid w:val="00DA2C8B"/>
    <w:rPr>
      <w:rFonts w:eastAsia="Times New Roman" w:cs="FrankRuehl"/>
      <w:sz w:val="28"/>
      <w:szCs w:val="28"/>
      <w:lang w:eastAsia="he-IL"/>
    </w:rPr>
  </w:style>
  <w:style w:type="paragraph" w:customStyle="1" w:styleId="af">
    <w:name w:val="פסקה רגילה"/>
    <w:basedOn w:val="a3"/>
    <w:link w:val="af0"/>
    <w:qFormat/>
    <w:rsid w:val="00E2756A"/>
    <w:pPr>
      <w:snapToGrid w:val="0"/>
      <w:spacing w:after="120" w:line="276" w:lineRule="auto"/>
      <w:ind w:firstLine="397"/>
    </w:pPr>
    <w:rPr>
      <w:rFonts w:eastAsia="Calibri"/>
      <w:kern w:val="28"/>
    </w:rPr>
  </w:style>
  <w:style w:type="paragraph" w:customStyle="1" w:styleId="ae">
    <w:name w:val="פסקת פתיחה"/>
    <w:basedOn w:val="a3"/>
    <w:next w:val="af"/>
    <w:link w:val="ad"/>
    <w:qFormat/>
    <w:rsid w:val="00DA2C8B"/>
    <w:pPr>
      <w:spacing w:before="120" w:after="120" w:line="276" w:lineRule="auto"/>
    </w:pPr>
    <w:rPr>
      <w:rFonts w:eastAsia="Times New Roman"/>
      <w:sz w:val="28"/>
      <w:lang w:eastAsia="he-IL"/>
    </w:rPr>
  </w:style>
  <w:style w:type="paragraph" w:customStyle="1" w:styleId="af1">
    <w:name w:val="כותרת אזור בית הדין הרבני"/>
    <w:basedOn w:val="a3"/>
    <w:qFormat/>
    <w:rsid w:val="00C17BEA"/>
    <w:pPr>
      <w:spacing w:before="120" w:after="240" w:line="360" w:lineRule="auto"/>
    </w:pPr>
    <w:rPr>
      <w:rFonts w:asciiTheme="minorBidi" w:eastAsia="Calibri" w:hAnsiTheme="minorBidi" w:cs="David"/>
      <w:b/>
      <w:bCs/>
      <w:color w:val="002B82"/>
      <w:sz w:val="28"/>
    </w:rPr>
  </w:style>
  <w:style w:type="character" w:customStyle="1" w:styleId="af0">
    <w:name w:val="פסקה רגילה תו"/>
    <w:basedOn w:val="a4"/>
    <w:link w:val="af"/>
    <w:locked/>
    <w:rsid w:val="00E2756A"/>
    <w:rPr>
      <w:rFonts w:eastAsia="Calibri" w:cs="FrankRuehl"/>
      <w:kern w:val="28"/>
      <w:sz w:val="22"/>
      <w:szCs w:val="28"/>
    </w:rPr>
  </w:style>
  <w:style w:type="character" w:customStyle="1" w:styleId="af2">
    <w:name w:val="ציטוט בתוך ציטוט תו"/>
    <w:basedOn w:val="a4"/>
    <w:link w:val="af3"/>
    <w:locked/>
    <w:rsid w:val="00DA2C8B"/>
    <w:rPr>
      <w:rFonts w:ascii="Calibri" w:eastAsia="Calibri" w:hAnsi="Calibri" w:cs="FrankRuehl"/>
      <w:i/>
      <w:color w:val="000000" w:themeColor="text1"/>
      <w:kern w:val="28"/>
      <w:sz w:val="28"/>
      <w:szCs w:val="28"/>
    </w:rPr>
  </w:style>
  <w:style w:type="paragraph" w:customStyle="1" w:styleId="af3">
    <w:name w:val="ציטוט בתוך ציטוט"/>
    <w:basedOn w:val="aa"/>
    <w:link w:val="af2"/>
    <w:qFormat/>
    <w:rsid w:val="00DA2C8B"/>
    <w:pPr>
      <w:ind w:left="1418"/>
    </w:pPr>
    <w:rPr>
      <w:rFonts w:ascii="Calibri" w:hAnsi="Calibri"/>
      <w:sz w:val="28"/>
    </w:rPr>
  </w:style>
  <w:style w:type="character" w:customStyle="1" w:styleId="af4">
    <w:name w:val="כותרת המאמר תו"/>
    <w:basedOn w:val="a4"/>
    <w:link w:val="af5"/>
    <w:locked/>
    <w:rsid w:val="00E2756A"/>
    <w:rPr>
      <w:rFonts w:eastAsia="Times New Roman" w:cs="Narkisim"/>
      <w:b/>
      <w:bCs/>
      <w:sz w:val="32"/>
      <w:szCs w:val="32"/>
      <w:lang w:eastAsia="he-IL"/>
    </w:rPr>
  </w:style>
  <w:style w:type="paragraph" w:customStyle="1" w:styleId="af6">
    <w:name w:val="כותרת שם כותב המאמר"/>
    <w:basedOn w:val="a3"/>
    <w:next w:val="af7"/>
    <w:link w:val="af8"/>
    <w:qFormat/>
    <w:rsid w:val="00E2756A"/>
    <w:pPr>
      <w:tabs>
        <w:tab w:val="left" w:pos="284"/>
        <w:tab w:val="left" w:pos="567"/>
      </w:tabs>
      <w:overflowPunct w:val="0"/>
      <w:autoSpaceDE w:val="0"/>
      <w:autoSpaceDN w:val="0"/>
      <w:adjustRightInd w:val="0"/>
      <w:spacing w:before="360" w:after="240"/>
      <w:jc w:val="center"/>
      <w:outlineLvl w:val="3"/>
    </w:pPr>
    <w:rPr>
      <w:rFonts w:eastAsia="Times New Roman" w:cs="Narkisim"/>
      <w:b/>
      <w:bCs/>
      <w:sz w:val="24"/>
      <w:lang w:eastAsia="he-IL"/>
    </w:rPr>
  </w:style>
  <w:style w:type="paragraph" w:customStyle="1" w:styleId="af5">
    <w:name w:val="כותרת המאמר"/>
    <w:basedOn w:val="a3"/>
    <w:next w:val="af6"/>
    <w:link w:val="af4"/>
    <w:rsid w:val="00E2756A"/>
    <w:pPr>
      <w:keepNext/>
      <w:spacing w:before="840" w:after="120" w:line="276" w:lineRule="auto"/>
      <w:jc w:val="center"/>
      <w:outlineLvl w:val="2"/>
    </w:pPr>
    <w:rPr>
      <w:rFonts w:eastAsia="Times New Roman" w:cs="Narkisim"/>
      <w:b/>
      <w:bCs/>
      <w:sz w:val="32"/>
      <w:szCs w:val="32"/>
      <w:lang w:eastAsia="he-IL"/>
    </w:rPr>
  </w:style>
  <w:style w:type="character" w:customStyle="1" w:styleId="af8">
    <w:name w:val="כותרת שם כותב המאמר תו"/>
    <w:basedOn w:val="a4"/>
    <w:link w:val="af6"/>
    <w:locked/>
    <w:rsid w:val="00E2756A"/>
    <w:rPr>
      <w:rFonts w:eastAsia="Times New Roman" w:cs="Narkisim"/>
      <w:b/>
      <w:bCs/>
      <w:sz w:val="24"/>
      <w:szCs w:val="28"/>
      <w:lang w:eastAsia="he-IL"/>
    </w:rPr>
  </w:style>
  <w:style w:type="paragraph" w:customStyle="1" w:styleId="af7">
    <w:name w:val="כותרת תפקיד כותב המאמר"/>
    <w:basedOn w:val="af6"/>
    <w:next w:val="ae"/>
    <w:link w:val="af9"/>
    <w:qFormat/>
    <w:rsid w:val="00E2756A"/>
    <w:pPr>
      <w:tabs>
        <w:tab w:val="clear" w:pos="284"/>
        <w:tab w:val="clear" w:pos="567"/>
      </w:tabs>
      <w:spacing w:before="240" w:after="600" w:line="276" w:lineRule="auto"/>
      <w:outlineLvl w:val="5"/>
    </w:pPr>
    <w:rPr>
      <w:sz w:val="26"/>
      <w:szCs w:val="26"/>
    </w:rPr>
  </w:style>
  <w:style w:type="character" w:customStyle="1" w:styleId="af9">
    <w:name w:val="כותרת תפקיד כותב המאמר תו"/>
    <w:basedOn w:val="af8"/>
    <w:link w:val="af7"/>
    <w:locked/>
    <w:rsid w:val="00E2756A"/>
    <w:rPr>
      <w:rFonts w:eastAsia="Times New Roman" w:cs="Narkisim"/>
      <w:b/>
      <w:bCs/>
      <w:sz w:val="26"/>
      <w:szCs w:val="26"/>
      <w:lang w:eastAsia="he-IL"/>
    </w:rPr>
  </w:style>
  <w:style w:type="character" w:customStyle="1" w:styleId="afa">
    <w:name w:val="פסק דין תו"/>
    <w:basedOn w:val="a4"/>
    <w:link w:val="afb"/>
    <w:locked/>
    <w:rsid w:val="003D0A52"/>
    <w:rPr>
      <w:rFonts w:ascii="Arial" w:eastAsia="Calibri" w:hAnsi="Arial" w:cs="FrankRuehl"/>
      <w:bCs/>
      <w:spacing w:val="20"/>
      <w:kern w:val="28"/>
      <w:sz w:val="24"/>
      <w:szCs w:val="32"/>
    </w:rPr>
  </w:style>
  <w:style w:type="paragraph" w:customStyle="1" w:styleId="afb">
    <w:name w:val="פסק דין"/>
    <w:basedOn w:val="a3"/>
    <w:next w:val="ae"/>
    <w:link w:val="afa"/>
    <w:qFormat/>
    <w:rsid w:val="003D0A52"/>
    <w:pPr>
      <w:keepNext/>
      <w:overflowPunct w:val="0"/>
      <w:autoSpaceDE w:val="0"/>
      <w:autoSpaceDN w:val="0"/>
      <w:adjustRightInd w:val="0"/>
      <w:spacing w:before="360" w:after="240" w:line="276" w:lineRule="exact"/>
      <w:jc w:val="center"/>
    </w:pPr>
    <w:rPr>
      <w:rFonts w:ascii="Arial" w:eastAsia="Calibri" w:hAnsi="Arial"/>
      <w:bCs/>
      <w:spacing w:val="20"/>
      <w:kern w:val="28"/>
      <w:sz w:val="24"/>
      <w:szCs w:val="32"/>
    </w:rPr>
  </w:style>
  <w:style w:type="character" w:customStyle="1" w:styleId="12">
    <w:name w:val="רשימה א(1)(א) מדורגת תו"/>
    <w:basedOn w:val="a4"/>
    <w:link w:val="1"/>
    <w:locked/>
    <w:rsid w:val="0051147D"/>
    <w:rPr>
      <w:rFonts w:ascii="David" w:eastAsia="Calibri" w:hAnsi="David" w:cs="FrankRuehl"/>
      <w:kern w:val="28"/>
      <w:sz w:val="36"/>
      <w:szCs w:val="28"/>
    </w:rPr>
  </w:style>
  <w:style w:type="paragraph" w:customStyle="1" w:styleId="1">
    <w:name w:val="רשימה א(1)(א) מדורגת"/>
    <w:basedOn w:val="af"/>
    <w:link w:val="12"/>
    <w:qFormat/>
    <w:rsid w:val="005452D2"/>
    <w:pPr>
      <w:numPr>
        <w:numId w:val="1"/>
      </w:numPr>
      <w:spacing w:before="120"/>
    </w:pPr>
    <w:rPr>
      <w:rFonts w:ascii="David" w:hAnsi="David"/>
      <w:sz w:val="36"/>
    </w:rPr>
  </w:style>
  <w:style w:type="paragraph" w:customStyle="1" w:styleId="a0">
    <w:name w:val="כותרת משנה אמצע ממוספרת"/>
    <w:basedOn w:val="a3"/>
    <w:next w:val="ae"/>
    <w:rsid w:val="00E2756A"/>
    <w:pPr>
      <w:keepNext/>
      <w:numPr>
        <w:numId w:val="2"/>
      </w:numPr>
      <w:tabs>
        <w:tab w:val="left" w:pos="397"/>
      </w:tabs>
      <w:spacing w:before="360" w:after="120" w:line="276" w:lineRule="auto"/>
      <w:jc w:val="center"/>
      <w:outlineLvl w:val="2"/>
    </w:pPr>
    <w:rPr>
      <w:rFonts w:eastAsia="Times New Roman" w:cs="Narkisim"/>
      <w:b/>
      <w:bCs/>
      <w:sz w:val="26"/>
      <w:szCs w:val="26"/>
      <w:lang w:eastAsia="he-IL"/>
    </w:rPr>
  </w:style>
  <w:style w:type="character" w:customStyle="1" w:styleId="110">
    <w:name w:val="רשימה 1(א)(1) מדורגת תו"/>
    <w:basedOn w:val="a4"/>
    <w:link w:val="11"/>
    <w:locked/>
    <w:rsid w:val="0051147D"/>
    <w:rPr>
      <w:rFonts w:ascii="David" w:eastAsia="Calibri" w:hAnsi="David" w:cs="FrankRuehl"/>
      <w:kern w:val="28"/>
      <w:sz w:val="28"/>
      <w:szCs w:val="28"/>
      <w:lang w:eastAsia="he-IL"/>
    </w:rPr>
  </w:style>
  <w:style w:type="paragraph" w:customStyle="1" w:styleId="11">
    <w:name w:val="רשימה 1(א)(1) מדורגת"/>
    <w:basedOn w:val="af"/>
    <w:link w:val="110"/>
    <w:qFormat/>
    <w:rsid w:val="00CE18E3"/>
    <w:pPr>
      <w:numPr>
        <w:numId w:val="3"/>
      </w:numPr>
      <w:spacing w:before="120"/>
    </w:pPr>
    <w:rPr>
      <w:rFonts w:ascii="David" w:hAnsi="David"/>
      <w:sz w:val="28"/>
      <w:lang w:eastAsia="he-IL"/>
    </w:rPr>
  </w:style>
  <w:style w:type="character" w:customStyle="1" w:styleId="afc">
    <w:name w:val="כותרת [א.] צד תו"/>
    <w:basedOn w:val="a4"/>
    <w:link w:val="afd"/>
    <w:locked/>
    <w:rsid w:val="008A683B"/>
    <w:rPr>
      <w:rFonts w:ascii="Arial" w:eastAsia="Times New Roman" w:hAnsi="Arial" w:cs="Narkisim"/>
      <w:b/>
      <w:bCs/>
      <w:sz w:val="24"/>
      <w:szCs w:val="24"/>
    </w:rPr>
  </w:style>
  <w:style w:type="paragraph" w:customStyle="1" w:styleId="afd">
    <w:name w:val="כותרת [א.] צד"/>
    <w:basedOn w:val="a1"/>
    <w:next w:val="ae"/>
    <w:link w:val="afc"/>
    <w:qFormat/>
    <w:rsid w:val="008A683B"/>
  </w:style>
  <w:style w:type="character" w:customStyle="1" w:styleId="-">
    <w:name w:val="כותרת [-] צד תו"/>
    <w:basedOn w:val="a4"/>
    <w:link w:val="-0"/>
    <w:locked/>
    <w:rsid w:val="00387082"/>
    <w:rPr>
      <w:rFonts w:ascii="Arial" w:eastAsia="Times New Roman" w:hAnsi="Arial" w:cs="Narkisim"/>
      <w:b/>
      <w:bCs/>
      <w:sz w:val="24"/>
      <w:szCs w:val="24"/>
    </w:rPr>
  </w:style>
  <w:style w:type="paragraph" w:customStyle="1" w:styleId="-0">
    <w:name w:val="כותרת [-] צד"/>
    <w:next w:val="a3"/>
    <w:link w:val="-"/>
    <w:qFormat/>
    <w:rsid w:val="00387082"/>
    <w:pPr>
      <w:keepNext/>
      <w:tabs>
        <w:tab w:val="left" w:pos="454"/>
      </w:tabs>
      <w:bidi/>
      <w:spacing w:before="360" w:after="120"/>
      <w:jc w:val="both"/>
      <w:outlineLvl w:val="3"/>
    </w:pPr>
    <w:rPr>
      <w:rFonts w:ascii="Arial" w:eastAsia="Times New Roman" w:hAnsi="Arial" w:cs="Narkisim"/>
      <w:b/>
      <w:bCs/>
      <w:sz w:val="24"/>
      <w:szCs w:val="24"/>
    </w:rPr>
  </w:style>
  <w:style w:type="character" w:customStyle="1" w:styleId="13">
    <w:name w:val="כותרת [(1)] צד תו"/>
    <w:basedOn w:val="a4"/>
    <w:link w:val="10"/>
    <w:locked/>
    <w:rsid w:val="008A683B"/>
    <w:rPr>
      <w:rFonts w:ascii="Arial" w:eastAsia="Times New Roman" w:hAnsi="Arial" w:cs="Narkisim"/>
      <w:b/>
      <w:bCs/>
      <w:sz w:val="22"/>
      <w:szCs w:val="22"/>
    </w:rPr>
  </w:style>
  <w:style w:type="paragraph" w:customStyle="1" w:styleId="10">
    <w:name w:val="כותרת [(1)] צד"/>
    <w:basedOn w:val="a1"/>
    <w:next w:val="ae"/>
    <w:link w:val="13"/>
    <w:qFormat/>
    <w:rsid w:val="008A683B"/>
    <w:pPr>
      <w:numPr>
        <w:ilvl w:val="2"/>
      </w:numPr>
      <w:spacing w:before="240"/>
      <w:outlineLvl w:val="4"/>
    </w:pPr>
    <w:rPr>
      <w:sz w:val="22"/>
      <w:szCs w:val="22"/>
    </w:rPr>
  </w:style>
  <w:style w:type="character" w:customStyle="1" w:styleId="afe">
    <w:name w:val="כותרת [(א)] צד תו"/>
    <w:basedOn w:val="13"/>
    <w:link w:val="a2"/>
    <w:locked/>
    <w:rsid w:val="008A683B"/>
    <w:rPr>
      <w:rFonts w:ascii="Arial" w:eastAsia="Times New Roman" w:hAnsi="Arial" w:cs="Narkisim"/>
      <w:b w:val="0"/>
      <w:bCs w:val="0"/>
      <w:i/>
      <w:iCs/>
      <w:sz w:val="22"/>
      <w:szCs w:val="22"/>
    </w:rPr>
  </w:style>
  <w:style w:type="paragraph" w:customStyle="1" w:styleId="a2">
    <w:name w:val="כותרת [(א)] צד"/>
    <w:basedOn w:val="10"/>
    <w:next w:val="ae"/>
    <w:link w:val="afe"/>
    <w:qFormat/>
    <w:rsid w:val="008A683B"/>
    <w:pPr>
      <w:numPr>
        <w:ilvl w:val="3"/>
        <w:numId w:val="14"/>
      </w:numPr>
      <w:outlineLvl w:val="5"/>
    </w:pPr>
    <w:rPr>
      <w:b w:val="0"/>
      <w:bCs w:val="0"/>
      <w:i/>
      <w:iCs/>
    </w:rPr>
  </w:style>
  <w:style w:type="character" w:styleId="aff">
    <w:name w:val="footnote reference"/>
    <w:aliases w:val="Footnote Reference"/>
    <w:semiHidden/>
    <w:unhideWhenUsed/>
    <w:qFormat/>
    <w:rsid w:val="00E2756A"/>
    <w:rPr>
      <w:rFonts w:ascii="Times New Roman" w:hAnsi="Times New Roman" w:cs="FrankRuehl" w:hint="default"/>
      <w:kern w:val="0"/>
      <w:position w:val="0"/>
      <w:sz w:val="20"/>
      <w:szCs w:val="28"/>
      <w:vertAlign w:val="superscript"/>
    </w:rPr>
  </w:style>
  <w:style w:type="character" w:styleId="aff0">
    <w:name w:val="Book Title"/>
    <w:basedOn w:val="a4"/>
    <w:uiPriority w:val="33"/>
    <w:qFormat/>
    <w:rsid w:val="00E2756A"/>
    <w:rPr>
      <w:b/>
      <w:bCs/>
      <w:smallCaps/>
      <w:spacing w:val="5"/>
    </w:rPr>
  </w:style>
  <w:style w:type="paragraph" w:customStyle="1" w:styleId="aff1">
    <w:name w:val="שמות הדיינים"/>
    <w:basedOn w:val="a3"/>
    <w:next w:val="a3"/>
    <w:link w:val="aff2"/>
    <w:qFormat/>
    <w:rsid w:val="00D77F78"/>
    <w:pPr>
      <w:tabs>
        <w:tab w:val="center" w:pos="4153"/>
        <w:tab w:val="right" w:pos="8306"/>
      </w:tabs>
      <w:overflowPunct w:val="0"/>
      <w:autoSpaceDE w:val="0"/>
      <w:autoSpaceDN w:val="0"/>
      <w:adjustRightInd w:val="0"/>
      <w:spacing w:after="360" w:line="276" w:lineRule="exact"/>
      <w:jc w:val="center"/>
      <w:textAlignment w:val="baseline"/>
    </w:pPr>
    <w:rPr>
      <w:rFonts w:eastAsia="Calibri" w:cs="Narkisim"/>
      <w:b/>
      <w:bCs/>
      <w:kern w:val="28"/>
      <w:sz w:val="23"/>
      <w:szCs w:val="23"/>
    </w:rPr>
  </w:style>
  <w:style w:type="character" w:customStyle="1" w:styleId="aff2">
    <w:name w:val="שמות הדיינים תו"/>
    <w:basedOn w:val="a4"/>
    <w:link w:val="aff1"/>
    <w:rsid w:val="00D77F78"/>
    <w:rPr>
      <w:rFonts w:eastAsia="Calibri" w:cs="Narkisim"/>
      <w:b/>
      <w:bCs/>
      <w:kern w:val="28"/>
      <w:sz w:val="23"/>
      <w:szCs w:val="23"/>
    </w:rPr>
  </w:style>
  <w:style w:type="paragraph" w:styleId="aff3">
    <w:name w:val="header"/>
    <w:basedOn w:val="a3"/>
    <w:link w:val="aff4"/>
    <w:uiPriority w:val="99"/>
    <w:unhideWhenUsed/>
    <w:rsid w:val="00FA1DAB"/>
    <w:pPr>
      <w:tabs>
        <w:tab w:val="center" w:pos="4153"/>
        <w:tab w:val="right" w:pos="8306"/>
      </w:tabs>
    </w:pPr>
  </w:style>
  <w:style w:type="character" w:customStyle="1" w:styleId="aff4">
    <w:name w:val="כותרת עליונה תו"/>
    <w:basedOn w:val="a4"/>
    <w:link w:val="aff3"/>
    <w:uiPriority w:val="99"/>
    <w:rsid w:val="00FA1DAB"/>
    <w:rPr>
      <w:rFonts w:cs="FrankRuehl"/>
      <w:sz w:val="22"/>
      <w:szCs w:val="28"/>
    </w:rPr>
  </w:style>
  <w:style w:type="paragraph" w:styleId="aff5">
    <w:name w:val="footer"/>
    <w:basedOn w:val="a3"/>
    <w:link w:val="aff6"/>
    <w:uiPriority w:val="99"/>
    <w:unhideWhenUsed/>
    <w:rsid w:val="00FA1DAB"/>
    <w:pPr>
      <w:tabs>
        <w:tab w:val="center" w:pos="4153"/>
        <w:tab w:val="right" w:pos="8306"/>
      </w:tabs>
    </w:pPr>
  </w:style>
  <w:style w:type="character" w:customStyle="1" w:styleId="aff6">
    <w:name w:val="כותרת תחתונה תו"/>
    <w:basedOn w:val="a4"/>
    <w:link w:val="aff5"/>
    <w:uiPriority w:val="99"/>
    <w:rsid w:val="00FA1DAB"/>
    <w:rPr>
      <w:rFonts w:cs="FrankRuehl"/>
      <w:sz w:val="22"/>
      <w:szCs w:val="28"/>
    </w:rPr>
  </w:style>
  <w:style w:type="paragraph" w:customStyle="1" w:styleId="aff7">
    <w:name w:val="רשימה רגילה"/>
    <w:basedOn w:val="1"/>
    <w:next w:val="af"/>
    <w:link w:val="aff8"/>
    <w:qFormat/>
    <w:rsid w:val="009D23D6"/>
    <w:pPr>
      <w:ind w:left="0" w:firstLine="0"/>
    </w:pPr>
  </w:style>
  <w:style w:type="character" w:customStyle="1" w:styleId="aff8">
    <w:name w:val="רשימה רגילה תו"/>
    <w:basedOn w:val="12"/>
    <w:link w:val="aff7"/>
    <w:rsid w:val="009D23D6"/>
    <w:rPr>
      <w:rFonts w:ascii="David" w:eastAsia="Calibri" w:hAnsi="David" w:cs="FrankRuehl"/>
      <w:kern w:val="28"/>
      <w:sz w:val="36"/>
      <w:szCs w:val="28"/>
    </w:rPr>
  </w:style>
  <w:style w:type="paragraph" w:customStyle="1" w:styleId="a1">
    <w:name w:val="כותרת [א.] צד"/>
    <w:basedOn w:val="a3"/>
    <w:next w:val="ae"/>
    <w:link w:val="14"/>
    <w:qFormat/>
    <w:rsid w:val="008A683B"/>
    <w:pPr>
      <w:keepNext/>
      <w:numPr>
        <w:ilvl w:val="1"/>
        <w:numId w:val="2"/>
      </w:numPr>
      <w:tabs>
        <w:tab w:val="left" w:pos="397"/>
      </w:tabs>
      <w:spacing w:before="360" w:after="120" w:line="276" w:lineRule="auto"/>
      <w:outlineLvl w:val="3"/>
    </w:pPr>
    <w:rPr>
      <w:rFonts w:ascii="Arial" w:eastAsia="Times New Roman" w:hAnsi="Arial" w:cs="Narkisim"/>
      <w:b/>
      <w:bCs/>
      <w:sz w:val="24"/>
      <w:szCs w:val="24"/>
    </w:rPr>
  </w:style>
  <w:style w:type="character" w:customStyle="1" w:styleId="14">
    <w:name w:val="כותרת [א.] צד תו1"/>
    <w:basedOn w:val="a4"/>
    <w:link w:val="a1"/>
    <w:rsid w:val="008A683B"/>
    <w:rPr>
      <w:rFonts w:ascii="Arial" w:eastAsia="Times New Roman" w:hAnsi="Arial" w:cs="Narkisim"/>
      <w:b/>
      <w:bCs/>
      <w:sz w:val="24"/>
      <w:szCs w:val="24"/>
    </w:rPr>
  </w:style>
  <w:style w:type="paragraph" w:customStyle="1" w:styleId="aff9">
    <w:name w:val="מספר תיק"/>
    <w:basedOn w:val="a3"/>
    <w:link w:val="affa"/>
    <w:qFormat/>
    <w:rsid w:val="003D0A52"/>
    <w:pPr>
      <w:overflowPunct w:val="0"/>
      <w:autoSpaceDE w:val="0"/>
      <w:autoSpaceDN w:val="0"/>
      <w:adjustRightInd w:val="0"/>
      <w:spacing w:after="240" w:line="276" w:lineRule="exact"/>
      <w:jc w:val="right"/>
      <w:textAlignment w:val="baseline"/>
    </w:pPr>
    <w:rPr>
      <w:rFonts w:eastAsia="Times New Roman"/>
      <w:sz w:val="24"/>
      <w:szCs w:val="32"/>
      <w:lang w:eastAsia="he-IL"/>
    </w:rPr>
  </w:style>
  <w:style w:type="character" w:customStyle="1" w:styleId="affa">
    <w:name w:val="מספר תיק תו"/>
    <w:basedOn w:val="a4"/>
    <w:link w:val="aff9"/>
    <w:rsid w:val="003D0A52"/>
    <w:rPr>
      <w:rFonts w:eastAsia="Times New Roman" w:cs="FrankRuehl"/>
      <w:sz w:val="24"/>
      <w:szCs w:val="32"/>
      <w:lang w:eastAsia="he-IL"/>
    </w:rPr>
  </w:style>
  <w:style w:type="paragraph" w:customStyle="1" w:styleId="affb">
    <w:name w:val="פלוני"/>
    <w:basedOn w:val="a3"/>
    <w:link w:val="affc"/>
    <w:qFormat/>
    <w:rsid w:val="003D0A52"/>
    <w:pPr>
      <w:overflowPunct w:val="0"/>
      <w:autoSpaceDE w:val="0"/>
      <w:autoSpaceDN w:val="0"/>
      <w:adjustRightInd w:val="0"/>
      <w:spacing w:after="100" w:line="240" w:lineRule="exact"/>
      <w:textAlignment w:val="baseline"/>
    </w:pPr>
    <w:rPr>
      <w:rFonts w:eastAsia="Times New Roman"/>
      <w:sz w:val="26"/>
      <w:szCs w:val="32"/>
      <w:lang w:eastAsia="he-IL"/>
    </w:rPr>
  </w:style>
  <w:style w:type="character" w:customStyle="1" w:styleId="affc">
    <w:name w:val="פלוני תו"/>
    <w:basedOn w:val="a4"/>
    <w:link w:val="affb"/>
    <w:rsid w:val="003D0A52"/>
    <w:rPr>
      <w:rFonts w:eastAsia="Times New Roman" w:cs="FrankRuehl"/>
      <w:sz w:val="26"/>
      <w:szCs w:val="32"/>
      <w:lang w:eastAsia="he-IL"/>
    </w:rPr>
  </w:style>
  <w:style w:type="paragraph" w:customStyle="1" w:styleId="affd">
    <w:name w:val="כותרת הנידון ומסקנות"/>
    <w:basedOn w:val="a3"/>
    <w:next w:val="affe"/>
    <w:link w:val="afff"/>
    <w:qFormat/>
    <w:rsid w:val="003D0A52"/>
    <w:pPr>
      <w:spacing w:before="360" w:after="120" w:line="276" w:lineRule="auto"/>
      <w:jc w:val="center"/>
    </w:pPr>
    <w:rPr>
      <w:rFonts w:ascii="Cambria" w:eastAsia="Times New Roman" w:hAnsi="Cambria" w:cs="Narkisim"/>
      <w:b/>
      <w:noProof/>
      <w:sz w:val="26"/>
      <w:szCs w:val="26"/>
      <w:lang w:eastAsia="he-IL"/>
    </w:rPr>
  </w:style>
  <w:style w:type="paragraph" w:customStyle="1" w:styleId="affe">
    <w:name w:val="תקציר פתיחה"/>
    <w:basedOn w:val="a3"/>
    <w:next w:val="a3"/>
    <w:link w:val="afff0"/>
    <w:qFormat/>
    <w:rsid w:val="0065626D"/>
    <w:pPr>
      <w:overflowPunct w:val="0"/>
      <w:autoSpaceDE w:val="0"/>
      <w:autoSpaceDN w:val="0"/>
      <w:adjustRightInd w:val="0"/>
      <w:spacing w:before="120" w:after="120" w:line="250" w:lineRule="exact"/>
      <w:textAlignment w:val="baseline"/>
    </w:pPr>
    <w:rPr>
      <w:rFonts w:eastAsia="Times New Roman"/>
      <w:sz w:val="20"/>
      <w:szCs w:val="24"/>
      <w:lang w:eastAsia="he-IL"/>
    </w:rPr>
  </w:style>
  <w:style w:type="character" w:customStyle="1" w:styleId="afff0">
    <w:name w:val="תקציר פתיחה תו"/>
    <w:basedOn w:val="a4"/>
    <w:link w:val="affe"/>
    <w:rsid w:val="0065626D"/>
    <w:rPr>
      <w:rFonts w:eastAsia="Times New Roman" w:cs="FrankRuehl"/>
      <w:szCs w:val="24"/>
      <w:lang w:eastAsia="he-IL"/>
    </w:rPr>
  </w:style>
  <w:style w:type="character" w:customStyle="1" w:styleId="afff">
    <w:name w:val="כותרת הנידון ומסקנות תו"/>
    <w:basedOn w:val="a4"/>
    <w:link w:val="affd"/>
    <w:rsid w:val="003D0A52"/>
    <w:rPr>
      <w:rFonts w:ascii="Cambria" w:eastAsia="Times New Roman" w:hAnsi="Cambria" w:cs="Narkisim"/>
      <w:b/>
      <w:noProof/>
      <w:sz w:val="26"/>
      <w:szCs w:val="26"/>
      <w:lang w:eastAsia="he-IL"/>
    </w:rPr>
  </w:style>
  <w:style w:type="paragraph" w:customStyle="1" w:styleId="afff1">
    <w:name w:val="מסקנות [א.] תוכן"/>
    <w:basedOn w:val="a3"/>
    <w:link w:val="afff2"/>
    <w:qFormat/>
    <w:rsid w:val="0065626D"/>
    <w:pPr>
      <w:tabs>
        <w:tab w:val="left" w:pos="340"/>
        <w:tab w:val="left" w:pos="680"/>
      </w:tabs>
      <w:overflowPunct w:val="0"/>
      <w:autoSpaceDE w:val="0"/>
      <w:autoSpaceDN w:val="0"/>
      <w:adjustRightInd w:val="0"/>
      <w:spacing w:before="120" w:after="120" w:line="250" w:lineRule="exact"/>
      <w:ind w:left="340" w:hanging="340"/>
      <w:textAlignment w:val="baseline"/>
    </w:pPr>
    <w:rPr>
      <w:rFonts w:eastAsia="Times New Roman"/>
      <w:sz w:val="20"/>
      <w:szCs w:val="24"/>
      <w:lang w:eastAsia="he-IL"/>
    </w:rPr>
  </w:style>
  <w:style w:type="character" w:customStyle="1" w:styleId="afff2">
    <w:name w:val="מסקנות [א.] תוכן תו"/>
    <w:basedOn w:val="a4"/>
    <w:link w:val="afff1"/>
    <w:rsid w:val="0065626D"/>
    <w:rPr>
      <w:rFonts w:eastAsia="Times New Roman" w:cs="FrankRuehl"/>
      <w:szCs w:val="24"/>
      <w:lang w:eastAsia="he-IL"/>
    </w:rPr>
  </w:style>
  <w:style w:type="paragraph" w:customStyle="1" w:styleId="afff3">
    <w:name w:val="בבית הדין הרבני"/>
    <w:basedOn w:val="a3"/>
    <w:next w:val="afff4"/>
    <w:link w:val="afff5"/>
    <w:rsid w:val="003D0A52"/>
    <w:pPr>
      <w:overflowPunct w:val="0"/>
      <w:autoSpaceDE w:val="0"/>
      <w:autoSpaceDN w:val="0"/>
      <w:adjustRightInd w:val="0"/>
      <w:spacing w:before="360" w:after="120" w:line="276" w:lineRule="exact"/>
      <w:jc w:val="center"/>
      <w:textAlignment w:val="baseline"/>
    </w:pPr>
    <w:rPr>
      <w:rFonts w:eastAsia="Times New Roman"/>
      <w:b/>
      <w:bCs/>
      <w:sz w:val="24"/>
      <w:lang w:eastAsia="he-IL"/>
    </w:rPr>
  </w:style>
  <w:style w:type="paragraph" w:customStyle="1" w:styleId="afff4">
    <w:name w:val="לפני כבוד הדיינים"/>
    <w:basedOn w:val="a3"/>
    <w:next w:val="aff1"/>
    <w:link w:val="afff6"/>
    <w:qFormat/>
    <w:rsid w:val="0065626D"/>
    <w:pPr>
      <w:overflowPunct w:val="0"/>
      <w:autoSpaceDE w:val="0"/>
      <w:autoSpaceDN w:val="0"/>
      <w:adjustRightInd w:val="0"/>
      <w:spacing w:after="120" w:line="276" w:lineRule="exact"/>
      <w:jc w:val="center"/>
      <w:textAlignment w:val="baseline"/>
    </w:pPr>
    <w:rPr>
      <w:rFonts w:eastAsia="Times New Roman"/>
      <w:szCs w:val="26"/>
      <w:lang w:eastAsia="he-IL"/>
    </w:rPr>
  </w:style>
  <w:style w:type="character" w:customStyle="1" w:styleId="afff6">
    <w:name w:val="לפני כבוד הדיינים תו"/>
    <w:basedOn w:val="a4"/>
    <w:link w:val="afff4"/>
    <w:rsid w:val="0065626D"/>
    <w:rPr>
      <w:rFonts w:eastAsia="Times New Roman" w:cs="FrankRuehl"/>
      <w:sz w:val="22"/>
      <w:szCs w:val="26"/>
      <w:lang w:eastAsia="he-IL"/>
    </w:rPr>
  </w:style>
  <w:style w:type="character" w:customStyle="1" w:styleId="afff5">
    <w:name w:val="בבית הדין הרבני תו"/>
    <w:basedOn w:val="a4"/>
    <w:link w:val="afff3"/>
    <w:rsid w:val="003D0A52"/>
    <w:rPr>
      <w:rFonts w:eastAsia="Times New Roman" w:cs="FrankRuehl"/>
      <w:b/>
      <w:bCs/>
      <w:sz w:val="24"/>
      <w:szCs w:val="28"/>
      <w:lang w:eastAsia="he-IL"/>
    </w:rPr>
  </w:style>
  <w:style w:type="paragraph" w:customStyle="1" w:styleId="15">
    <w:name w:val="מסקנות [א.(1)] תוכן"/>
    <w:basedOn w:val="a3"/>
    <w:link w:val="16"/>
    <w:qFormat/>
    <w:rsid w:val="0065626D"/>
    <w:pPr>
      <w:tabs>
        <w:tab w:val="left" w:pos="340"/>
        <w:tab w:val="left" w:pos="680"/>
      </w:tabs>
      <w:overflowPunct w:val="0"/>
      <w:autoSpaceDE w:val="0"/>
      <w:autoSpaceDN w:val="0"/>
      <w:adjustRightInd w:val="0"/>
      <w:spacing w:before="120" w:after="120" w:line="250" w:lineRule="exact"/>
      <w:ind w:left="680" w:hanging="680"/>
      <w:textAlignment w:val="baseline"/>
    </w:pPr>
    <w:rPr>
      <w:rFonts w:eastAsia="Times New Roman"/>
      <w:sz w:val="24"/>
      <w:szCs w:val="24"/>
      <w:lang w:eastAsia="he-IL"/>
    </w:rPr>
  </w:style>
  <w:style w:type="character" w:customStyle="1" w:styleId="16">
    <w:name w:val="מסקנות [א.(1)] תוכן תו"/>
    <w:basedOn w:val="a4"/>
    <w:link w:val="15"/>
    <w:rsid w:val="0065626D"/>
    <w:rPr>
      <w:rFonts w:eastAsia="Times New Roman" w:cs="FrankRuehl"/>
      <w:sz w:val="24"/>
      <w:szCs w:val="24"/>
      <w:lang w:eastAsia="he-IL"/>
    </w:rPr>
  </w:style>
  <w:style w:type="paragraph" w:customStyle="1" w:styleId="a">
    <w:name w:val="כללי [א.] ממוספר"/>
    <w:basedOn w:val="a3"/>
    <w:qFormat/>
    <w:rsid w:val="0065626D"/>
    <w:pPr>
      <w:numPr>
        <w:numId w:val="17"/>
      </w:numPr>
      <w:overflowPunct w:val="0"/>
      <w:autoSpaceDE w:val="0"/>
      <w:autoSpaceDN w:val="0"/>
      <w:adjustRightInd w:val="0"/>
      <w:spacing w:after="120" w:line="276" w:lineRule="auto"/>
      <w:ind w:left="794" w:hanging="397"/>
      <w:textAlignment w:val="baseline"/>
    </w:pPr>
    <w:rPr>
      <w:rFonts w:eastAsia="Times New Roman"/>
      <w:kern w:val="28"/>
      <w:szCs w:val="26"/>
    </w:rPr>
  </w:style>
  <w:style w:type="paragraph" w:customStyle="1" w:styleId="afff7">
    <w:name w:val="ראשי פרקים"/>
    <w:basedOn w:val="affe"/>
    <w:link w:val="afff8"/>
    <w:qFormat/>
    <w:rsid w:val="0065626D"/>
    <w:pPr>
      <w:tabs>
        <w:tab w:val="center" w:pos="3289"/>
      </w:tabs>
      <w:spacing w:before="240" w:after="240" w:line="360" w:lineRule="auto"/>
    </w:pPr>
    <w:rPr>
      <w:rFonts w:cs="Narkisim"/>
      <w:szCs w:val="22"/>
    </w:rPr>
  </w:style>
  <w:style w:type="character" w:customStyle="1" w:styleId="afff8">
    <w:name w:val="ראשי פרקים תו"/>
    <w:basedOn w:val="afff0"/>
    <w:link w:val="afff7"/>
    <w:rsid w:val="0065626D"/>
    <w:rPr>
      <w:rFonts w:eastAsia="Times New Roman" w:cs="Narkisim"/>
      <w:szCs w:val="22"/>
      <w:lang w:eastAsia="he-IL"/>
    </w:rPr>
  </w:style>
  <w:style w:type="character" w:customStyle="1" w:styleId="20">
    <w:name w:val="כותרת 2 תו"/>
    <w:basedOn w:val="a4"/>
    <w:link w:val="2"/>
    <w:uiPriority w:val="9"/>
    <w:rsid w:val="001F3BB4"/>
    <w:rPr>
      <w:rFonts w:eastAsia="Times New Roman" w:cs="Times New Roman"/>
      <w:b/>
      <w:bCs/>
      <w:sz w:val="50"/>
      <w:szCs w:val="50"/>
    </w:rPr>
  </w:style>
  <w:style w:type="paragraph" w:styleId="afff9">
    <w:name w:val="Balloon Text"/>
    <w:basedOn w:val="a3"/>
    <w:link w:val="afffa"/>
    <w:uiPriority w:val="99"/>
    <w:semiHidden/>
    <w:unhideWhenUsed/>
    <w:rsid w:val="001F3BB4"/>
    <w:pPr>
      <w:jc w:val="left"/>
    </w:pPr>
    <w:rPr>
      <w:rFonts w:ascii="Tahoma" w:hAnsi="Tahoma" w:cs="Tahoma"/>
      <w:sz w:val="16"/>
      <w:szCs w:val="16"/>
    </w:rPr>
  </w:style>
  <w:style w:type="character" w:customStyle="1" w:styleId="afffa">
    <w:name w:val="טקסט בלונים תו"/>
    <w:basedOn w:val="a4"/>
    <w:link w:val="afff9"/>
    <w:uiPriority w:val="99"/>
    <w:semiHidden/>
    <w:rsid w:val="001F3BB4"/>
    <w:rPr>
      <w:rFonts w:ascii="Tahoma" w:hAnsi="Tahoma" w:cs="Tahoma"/>
      <w:sz w:val="16"/>
      <w:szCs w:val="16"/>
    </w:rPr>
  </w:style>
  <w:style w:type="table" w:styleId="afffb">
    <w:name w:val="Table Grid"/>
    <w:basedOn w:val="a5"/>
    <w:uiPriority w:val="59"/>
    <w:rsid w:val="001F3BB4"/>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fc">
    <w:name w:val="Placeholder Text"/>
    <w:basedOn w:val="a4"/>
    <w:uiPriority w:val="99"/>
    <w:semiHidden/>
    <w:rsid w:val="001F3BB4"/>
    <w:rPr>
      <w:color w:val="808080"/>
    </w:rPr>
  </w:style>
  <w:style w:type="paragraph" w:styleId="NormalWeb">
    <w:name w:val="Normal (Web)"/>
    <w:basedOn w:val="a3"/>
    <w:uiPriority w:val="99"/>
    <w:semiHidden/>
    <w:unhideWhenUsed/>
    <w:rsid w:val="001F3BB4"/>
    <w:pPr>
      <w:bidi w:val="0"/>
      <w:spacing w:before="100" w:beforeAutospacing="1" w:after="100" w:afterAutospacing="1"/>
    </w:pPr>
    <w:rPr>
      <w:rFonts w:eastAsia="Times New Roman" w:cs="Times New Roman"/>
      <w:sz w:val="40"/>
      <w:szCs w:val="40"/>
    </w:rPr>
  </w:style>
  <w:style w:type="paragraph" w:customStyle="1" w:styleId="afffd">
    <w:name w:val="פרדס"/>
    <w:basedOn w:val="a3"/>
    <w:link w:val="afffe"/>
    <w:qFormat/>
    <w:rsid w:val="001F3BB4"/>
    <w:pPr>
      <w:spacing w:line="360" w:lineRule="auto"/>
    </w:pPr>
    <w:rPr>
      <w:rFonts w:ascii="Calibri" w:eastAsia="Calibri" w:hAnsi="Calibri"/>
      <w:sz w:val="28"/>
    </w:rPr>
  </w:style>
  <w:style w:type="character" w:customStyle="1" w:styleId="afffe">
    <w:name w:val="פרדס תו"/>
    <w:basedOn w:val="a4"/>
    <w:link w:val="afffd"/>
    <w:rsid w:val="001F3BB4"/>
    <w:rPr>
      <w:rFonts w:ascii="Calibri" w:eastAsia="Calibri" w:hAnsi="Calibri" w:cs="FrankRuehl"/>
      <w:sz w:val="28"/>
      <w:szCs w:val="28"/>
    </w:rPr>
  </w:style>
  <w:style w:type="table" w:customStyle="1" w:styleId="17">
    <w:name w:val="רשת טבלה1"/>
    <w:basedOn w:val="a5"/>
    <w:next w:val="afffb"/>
    <w:uiPriority w:val="59"/>
    <w:rsid w:val="002876DB"/>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a5"/>
    <w:next w:val="afffb"/>
    <w:uiPriority w:val="59"/>
    <w:rsid w:val="002876DB"/>
    <w:rPr>
      <w:rFonts w:ascii="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
    <w:name w:val="annotation reference"/>
    <w:basedOn w:val="a4"/>
    <w:uiPriority w:val="99"/>
    <w:semiHidden/>
    <w:unhideWhenUsed/>
    <w:rsid w:val="00323A5F"/>
    <w:rPr>
      <w:sz w:val="16"/>
      <w:szCs w:val="16"/>
    </w:rPr>
  </w:style>
  <w:style w:type="paragraph" w:styleId="affff0">
    <w:name w:val="annotation text"/>
    <w:basedOn w:val="a3"/>
    <w:link w:val="affff1"/>
    <w:uiPriority w:val="99"/>
    <w:semiHidden/>
    <w:unhideWhenUsed/>
    <w:rsid w:val="00323A5F"/>
    <w:rPr>
      <w:sz w:val="20"/>
      <w:szCs w:val="20"/>
    </w:rPr>
  </w:style>
  <w:style w:type="character" w:customStyle="1" w:styleId="affff1">
    <w:name w:val="טקסט הערה תו"/>
    <w:basedOn w:val="a4"/>
    <w:link w:val="affff0"/>
    <w:uiPriority w:val="99"/>
    <w:semiHidden/>
    <w:rsid w:val="00323A5F"/>
    <w:rPr>
      <w:rFonts w:cs="FrankRuehl"/>
    </w:rPr>
  </w:style>
  <w:style w:type="paragraph" w:styleId="affff2">
    <w:name w:val="annotation subject"/>
    <w:basedOn w:val="affff0"/>
    <w:next w:val="affff0"/>
    <w:link w:val="affff3"/>
    <w:uiPriority w:val="99"/>
    <w:semiHidden/>
    <w:unhideWhenUsed/>
    <w:rsid w:val="00323A5F"/>
    <w:rPr>
      <w:b/>
      <w:bCs/>
    </w:rPr>
  </w:style>
  <w:style w:type="character" w:customStyle="1" w:styleId="affff3">
    <w:name w:val="נושא הערה תו"/>
    <w:basedOn w:val="affff1"/>
    <w:link w:val="affff2"/>
    <w:uiPriority w:val="99"/>
    <w:semiHidden/>
    <w:rsid w:val="00323A5F"/>
    <w:rPr>
      <w:rFonts w:cs="FrankRuehl"/>
      <w:b/>
      <w:bCs/>
    </w:rPr>
  </w:style>
</w:styles>
</file>

<file path=word/webSettings.xml><?xml version="1.0" encoding="utf-8"?>
<w:webSettings xmlns:r="http://schemas.openxmlformats.org/officeDocument/2006/relationships" xmlns:w="http://schemas.openxmlformats.org/wordprocessingml/2006/main">
  <w:divs>
    <w:div w:id="204042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3178/1" TargetMode="External"/><Relationship Id="rId13" Type="http://schemas.openxmlformats.org/officeDocument/2006/relationships/hyperlink" Target="http://www.nevo.co.il/links/psika/?link=&#1489;&#1490;&#1509;%208754/0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vo.co.il/law/73178/4" TargetMode="External"/><Relationship Id="rId12" Type="http://schemas.openxmlformats.org/officeDocument/2006/relationships/hyperlink" Target="http://www.nevo.co.il/law/73178/4"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nevo.co.il/links/psika/?link=&#1489;&#1490;&#1509;%201480/01&amp;Pvol=&#1504;&#14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inks/psika/?link=&#1489;&#1490;&#1509;%20323/73&amp;Pvol=&#1499;&#1495;" TargetMode="External"/><Relationship Id="rId5" Type="http://schemas.openxmlformats.org/officeDocument/2006/relationships/footnotes" Target="footnotes.xml"/><Relationship Id="rId15" Type="http://schemas.openxmlformats.org/officeDocument/2006/relationships/hyperlink" Target="http://www.nevo.co.il/links/psika/?link=&#1506;&#1488;%203868/95&amp;Pvol=&#1504;&#1489;" TargetMode="External"/><Relationship Id="rId10" Type="http://schemas.openxmlformats.org/officeDocument/2006/relationships/hyperlink" Target="http://www.nevo.co.il/links/psika/?link=&#1489;&#1490;&#1509;%20159/63&amp;Pvol=&#1497;&#149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evo.co.il/links/psika/?link=&#1492;&#1502;%20135/58&amp;Pvol=&#1497;&#1489;" TargetMode="External"/><Relationship Id="rId14" Type="http://schemas.openxmlformats.org/officeDocument/2006/relationships/hyperlink" Target="http://www.nevo.co.il/law/73178/1"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1843</Words>
  <Characters>9220</Characters>
  <Application>Microsoft Office Word</Application>
  <DocSecurity>0</DocSecurity>
  <Lines>76</Lines>
  <Paragraphs>22</Paragraphs>
  <ScaleCrop>false</ScaleCrop>
  <HeadingPairs>
    <vt:vector size="2" baseType="variant">
      <vt:variant>
        <vt:lpstr>שם</vt:lpstr>
      </vt:variant>
      <vt:variant>
        <vt:i4>1</vt:i4>
      </vt:variant>
    </vt:vector>
  </HeadingPairs>
  <TitlesOfParts>
    <vt:vector size="1" baseType="lpstr">
      <vt:lpstr>סמכויות</vt:lpstr>
    </vt:vector>
  </TitlesOfParts>
  <Company>HP</Company>
  <LinksUpToDate>false</LinksUpToDate>
  <CharactersWithSpaces>11041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סמכויות</dc:title>
  <dc:subject>כריכה בתביעת גירושין שלפי סעיף 4א לחוק שיפוט בתי דין רבניים, תשי"ג – 1953; סמכות במזונות "שלא אגב גירושין" – פרשנות וסייגים</dc:subject>
  <dc:creator>הרב אליעזר איגרא;הרב א' אהרן כץ;הרב שלמה  שפירא</dc:creator>
  <cp:lastModifiedBy>Windows User</cp:lastModifiedBy>
  <cp:revision>2</cp:revision>
  <dcterms:created xsi:type="dcterms:W3CDTF">2019-02-11T23:05:00Z</dcterms:created>
  <dcterms:modified xsi:type="dcterms:W3CDTF">2019-02-11T23:05:00Z</dcterms:modified>
</cp:coreProperties>
</file>