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356E" w:rsidRPr="003F5BDD" w:rsidRDefault="0026356E" w:rsidP="0026356E">
      <w:pPr>
        <w:pStyle w:val="1"/>
        <w:tabs>
          <w:tab w:val="center" w:pos="6804"/>
          <w:tab w:val="left" w:pos="8164"/>
        </w:tabs>
        <w:jc w:val="center"/>
        <w:rPr>
          <w:b/>
          <w:bCs/>
          <w:sz w:val="28"/>
          <w:szCs w:val="28"/>
          <w:u w:val="single"/>
          <w:rtl/>
          <w:lang w:eastAsia="en-US"/>
        </w:rPr>
      </w:pPr>
      <w:bookmarkStart w:id="0" w:name="_GoBack"/>
      <w:bookmarkEnd w:id="0"/>
      <w:r w:rsidRPr="003F5BDD">
        <w:rPr>
          <w:b/>
          <w:bCs/>
          <w:sz w:val="28"/>
          <w:szCs w:val="28"/>
          <w:u w:val="single"/>
          <w:rtl/>
          <w:lang w:eastAsia="en-US"/>
        </w:rPr>
        <w:t>תזכיר חוק</w:t>
      </w:r>
    </w:p>
    <w:p w:rsidR="0026356E" w:rsidRDefault="0026356E" w:rsidP="0026356E">
      <w:pPr>
        <w:pStyle w:val="1"/>
        <w:numPr>
          <w:ilvl w:val="0"/>
          <w:numId w:val="12"/>
        </w:numPr>
        <w:tabs>
          <w:tab w:val="center" w:pos="6804"/>
          <w:tab w:val="left" w:pos="8164"/>
        </w:tabs>
        <w:ind w:right="360"/>
        <w:rPr>
          <w:b/>
          <w:bCs/>
          <w:rtl/>
          <w:lang w:eastAsia="en-US"/>
        </w:rPr>
      </w:pPr>
      <w:r>
        <w:rPr>
          <w:b/>
          <w:bCs/>
          <w:u w:val="single"/>
          <w:rtl/>
          <w:lang w:eastAsia="en-US"/>
        </w:rPr>
        <w:t>שם החוק המוצע</w:t>
      </w:r>
    </w:p>
    <w:p w:rsidR="0026356E" w:rsidRDefault="0026356E" w:rsidP="0026356E">
      <w:pPr>
        <w:pStyle w:val="1"/>
        <w:tabs>
          <w:tab w:val="center" w:pos="6804"/>
          <w:tab w:val="left" w:pos="8164"/>
        </w:tabs>
        <w:ind w:left="567"/>
        <w:rPr>
          <w:b/>
          <w:bCs/>
          <w:rtl/>
          <w:lang w:eastAsia="en-US"/>
        </w:rPr>
      </w:pPr>
    </w:p>
    <w:p w:rsidR="0026356E" w:rsidRDefault="0026356E" w:rsidP="00DC4FA2">
      <w:pPr>
        <w:pStyle w:val="1"/>
        <w:tabs>
          <w:tab w:val="center" w:pos="6804"/>
          <w:tab w:val="left" w:pos="8164"/>
        </w:tabs>
        <w:rPr>
          <w:b/>
          <w:bCs/>
          <w:rtl/>
          <w:lang w:eastAsia="en-US"/>
        </w:rPr>
      </w:pPr>
      <w:r>
        <w:rPr>
          <w:rtl/>
          <w:lang w:eastAsia="en-US"/>
        </w:rPr>
        <w:t>חוק הכשרות המשפטית והאפוטרופסות (</w:t>
      </w:r>
      <w:r>
        <w:rPr>
          <w:rFonts w:hint="cs"/>
          <w:rtl/>
          <w:lang w:eastAsia="en-US"/>
        </w:rPr>
        <w:t>תיקוני חקיקה)</w:t>
      </w:r>
      <w:r>
        <w:rPr>
          <w:rtl/>
          <w:lang w:eastAsia="en-US"/>
        </w:rPr>
        <w:t>, התשע"</w:t>
      </w:r>
      <w:r w:rsidR="00DC4FA2">
        <w:rPr>
          <w:rFonts w:hint="cs"/>
          <w:rtl/>
          <w:lang w:eastAsia="en-US"/>
        </w:rPr>
        <w:t>ט</w:t>
      </w:r>
      <w:r>
        <w:rPr>
          <w:rtl/>
          <w:lang w:eastAsia="en-US"/>
        </w:rPr>
        <w:t>–201</w:t>
      </w:r>
      <w:r w:rsidR="007F3A75">
        <w:rPr>
          <w:rFonts w:hint="cs"/>
          <w:rtl/>
          <w:lang w:eastAsia="en-US"/>
        </w:rPr>
        <w:t>8</w:t>
      </w:r>
      <w:r>
        <w:rPr>
          <w:rFonts w:hint="cs"/>
          <w:b/>
          <w:bCs/>
          <w:rtl/>
          <w:lang w:eastAsia="en-US"/>
        </w:rPr>
        <w:t>.</w:t>
      </w:r>
    </w:p>
    <w:p w:rsidR="0026356E" w:rsidRDefault="0026356E" w:rsidP="0026356E">
      <w:pPr>
        <w:pStyle w:val="1"/>
        <w:tabs>
          <w:tab w:val="center" w:pos="6804"/>
          <w:tab w:val="left" w:pos="8164"/>
        </w:tabs>
        <w:rPr>
          <w:b/>
          <w:bCs/>
          <w:rtl/>
          <w:lang w:eastAsia="en-US"/>
        </w:rPr>
      </w:pPr>
    </w:p>
    <w:p w:rsidR="0026356E" w:rsidRDefault="0026356E" w:rsidP="0026356E">
      <w:pPr>
        <w:pStyle w:val="1"/>
        <w:numPr>
          <w:ilvl w:val="0"/>
          <w:numId w:val="12"/>
        </w:numPr>
        <w:tabs>
          <w:tab w:val="left" w:pos="651"/>
          <w:tab w:val="center" w:pos="6804"/>
          <w:tab w:val="left" w:pos="8164"/>
        </w:tabs>
        <w:ind w:right="360"/>
        <w:rPr>
          <w:b/>
          <w:bCs/>
          <w:rtl/>
          <w:lang w:eastAsia="en-US"/>
        </w:rPr>
      </w:pPr>
      <w:r>
        <w:rPr>
          <w:b/>
          <w:bCs/>
          <w:u w:val="single"/>
          <w:rtl/>
          <w:lang w:eastAsia="en-US"/>
        </w:rPr>
        <w:t>מטרת החוק המוצע והצורך בו</w:t>
      </w:r>
    </w:p>
    <w:p w:rsidR="0026356E" w:rsidRPr="0058560C" w:rsidRDefault="0026356E" w:rsidP="0026356E">
      <w:pPr>
        <w:pStyle w:val="1"/>
        <w:tabs>
          <w:tab w:val="center" w:pos="6804"/>
          <w:tab w:val="left" w:pos="8164"/>
        </w:tabs>
        <w:rPr>
          <w:b/>
          <w:bCs/>
          <w:u w:val="single"/>
          <w:rtl/>
          <w:lang w:eastAsia="en-US"/>
        </w:rPr>
      </w:pPr>
      <w:r w:rsidRPr="0058560C">
        <w:rPr>
          <w:rFonts w:hint="cs"/>
          <w:b/>
          <w:bCs/>
          <w:u w:val="single"/>
          <w:rtl/>
          <w:lang w:eastAsia="en-US"/>
        </w:rPr>
        <w:t>כללי</w:t>
      </w:r>
    </w:p>
    <w:p w:rsidR="00DA044A" w:rsidRPr="007B727F" w:rsidRDefault="00DA044A" w:rsidP="00E210AB">
      <w:pPr>
        <w:pStyle w:val="1"/>
        <w:tabs>
          <w:tab w:val="center" w:pos="6804"/>
          <w:tab w:val="left" w:pos="8164"/>
        </w:tabs>
        <w:rPr>
          <w:rtl/>
          <w:lang w:eastAsia="en-US"/>
        </w:rPr>
      </w:pPr>
      <w:r w:rsidRPr="007D6C4A">
        <w:rPr>
          <w:rFonts w:hint="cs"/>
          <w:rtl/>
          <w:lang w:eastAsia="en-US"/>
        </w:rPr>
        <w:t>חוק הכשרות המשפטית והאפוטרופסות (תיקון מס' 18), התשע"ו-2016 פורסם ברשומות ביום 11.4.2016</w:t>
      </w:r>
      <w:r w:rsidR="00E24E87">
        <w:rPr>
          <w:rFonts w:hint="cs"/>
          <w:rtl/>
          <w:lang w:eastAsia="en-US"/>
        </w:rPr>
        <w:t xml:space="preserve"> (להלן- "תיקון מס' 18 לחוק")</w:t>
      </w:r>
      <w:r w:rsidRPr="007D6C4A">
        <w:rPr>
          <w:rFonts w:hint="cs"/>
          <w:rtl/>
          <w:lang w:eastAsia="en-US"/>
        </w:rPr>
        <w:t xml:space="preserve">. מדובר בתיקון </w:t>
      </w:r>
      <w:r w:rsidRPr="007B727F">
        <w:rPr>
          <w:rFonts w:hint="cs"/>
          <w:rtl/>
          <w:lang w:eastAsia="en-US"/>
        </w:rPr>
        <w:t>אשר מביא לידי ביטוי מגמות הקיימות כיום בארץ ובעולם בנוגע לאנשים המוגבלים ביכולתם לדאוג לענייניהם (</w:t>
      </w:r>
      <w:r w:rsidR="00A62903">
        <w:rPr>
          <w:rFonts w:hint="cs"/>
          <w:rtl/>
          <w:lang w:eastAsia="en-US"/>
        </w:rPr>
        <w:t xml:space="preserve">בשל </w:t>
      </w:r>
      <w:r w:rsidR="00BD145A">
        <w:rPr>
          <w:rFonts w:hint="cs"/>
          <w:rtl/>
          <w:lang w:eastAsia="en-US"/>
        </w:rPr>
        <w:t xml:space="preserve">מחלות </w:t>
      </w:r>
      <w:r w:rsidR="00A62903">
        <w:rPr>
          <w:rFonts w:hint="cs"/>
          <w:rtl/>
          <w:lang w:eastAsia="en-US"/>
        </w:rPr>
        <w:t>זקנה,</w:t>
      </w:r>
      <w:r w:rsidRPr="007B727F">
        <w:rPr>
          <w:rFonts w:hint="cs"/>
          <w:rtl/>
          <w:lang w:eastAsia="en-US"/>
        </w:rPr>
        <w:t xml:space="preserve"> מוגבלות שכלית ונפשית ועוד), ובהם אמנת האו"ם בדבר זכויות אנשים עם מוגבלות</w:t>
      </w:r>
      <w:r>
        <w:rPr>
          <w:rFonts w:hint="cs"/>
          <w:rtl/>
          <w:lang w:eastAsia="en-US"/>
        </w:rPr>
        <w:t xml:space="preserve"> ש</w:t>
      </w:r>
      <w:r w:rsidR="003F49C9">
        <w:rPr>
          <w:rFonts w:hint="cs"/>
          <w:rtl/>
          <w:lang w:eastAsia="en-US"/>
        </w:rPr>
        <w:t xml:space="preserve">מדינת </w:t>
      </w:r>
      <w:r>
        <w:rPr>
          <w:rFonts w:hint="cs"/>
          <w:rtl/>
          <w:lang w:eastAsia="en-US"/>
        </w:rPr>
        <w:t>ישראל אשררה</w:t>
      </w:r>
      <w:r w:rsidR="003F49C9">
        <w:rPr>
          <w:rFonts w:hint="cs"/>
          <w:rtl/>
          <w:lang w:eastAsia="en-US"/>
        </w:rPr>
        <w:t xml:space="preserve"> בשנת 2012</w:t>
      </w:r>
      <w:r w:rsidRPr="007B727F">
        <w:rPr>
          <w:rFonts w:hint="cs"/>
          <w:rtl/>
          <w:lang w:eastAsia="en-US"/>
        </w:rPr>
        <w:t xml:space="preserve">.מגמות אלה שמות דגש על כבודם ועל זכויותיהם של אנשים המוגבלים ביכולתם לדאוג לענייניהם ולקבל החלטות בקשר להם, על שמירת העצמאות והאוטונומיה שלהם ככל האפשר, ועל כיבוד רצונם ושיתופם בהחלטות הנוגעות להם כל זמן שהם מסוגלים להביע רצון. זאת, מבלי לגרוע ממחויבותה של החברה להגן עליהם ולשמור על ענייניהם במקום שהדבר נדרש. </w:t>
      </w:r>
    </w:p>
    <w:p w:rsidR="00DA044A" w:rsidRDefault="00DA044A" w:rsidP="00E8383B">
      <w:pPr>
        <w:pStyle w:val="1"/>
        <w:tabs>
          <w:tab w:val="center" w:pos="6804"/>
          <w:tab w:val="left" w:pos="8164"/>
        </w:tabs>
        <w:rPr>
          <w:rtl/>
          <w:lang w:eastAsia="en-US"/>
        </w:rPr>
      </w:pPr>
      <w:r>
        <w:rPr>
          <w:rFonts w:hint="cs"/>
          <w:rtl/>
          <w:lang w:eastAsia="en-US"/>
        </w:rPr>
        <w:t xml:space="preserve">לאור המגמות שתוארו ובהתאם </w:t>
      </w:r>
      <w:r w:rsidRPr="007B727F">
        <w:rPr>
          <w:rFonts w:hint="cs"/>
          <w:rtl/>
          <w:lang w:eastAsia="en-US"/>
        </w:rPr>
        <w:t>לאמנת האו"ם נקבע בחוק כי לא ימונה לאדם אפוטרופ</w:t>
      </w:r>
      <w:r>
        <w:rPr>
          <w:rFonts w:hint="cs"/>
          <w:rtl/>
          <w:lang w:eastAsia="en-US"/>
        </w:rPr>
        <w:t>ו</w:t>
      </w:r>
      <w:r w:rsidRPr="007B727F">
        <w:rPr>
          <w:rFonts w:hint="cs"/>
          <w:rtl/>
          <w:lang w:eastAsia="en-US"/>
        </w:rPr>
        <w:t>ס אם ישנן חלופות המגבילות פחות את עצמאותו. על רקע האמור נקבעו בחוק שתי חלופות משמעו</w:t>
      </w:r>
      <w:r>
        <w:rPr>
          <w:rFonts w:hint="cs"/>
          <w:rtl/>
          <w:lang w:eastAsia="en-US"/>
        </w:rPr>
        <w:t>ת</w:t>
      </w:r>
      <w:r w:rsidRPr="007B727F">
        <w:rPr>
          <w:rFonts w:hint="cs"/>
          <w:rtl/>
          <w:lang w:eastAsia="en-US"/>
        </w:rPr>
        <w:t xml:space="preserve">יות </w:t>
      </w:r>
      <w:r w:rsidR="00BF7C00">
        <w:rPr>
          <w:rFonts w:hint="cs"/>
          <w:rtl/>
          <w:lang w:eastAsia="en-US"/>
        </w:rPr>
        <w:t>ל</w:t>
      </w:r>
      <w:r w:rsidRPr="007B727F">
        <w:rPr>
          <w:rFonts w:hint="cs"/>
          <w:rtl/>
          <w:lang w:eastAsia="en-US"/>
        </w:rPr>
        <w:t>מוסד האפוטרופס</w:t>
      </w:r>
      <w:r>
        <w:rPr>
          <w:rFonts w:hint="cs"/>
          <w:rtl/>
          <w:lang w:eastAsia="en-US"/>
        </w:rPr>
        <w:t>ות</w:t>
      </w:r>
      <w:r w:rsidR="00BF7C00">
        <w:rPr>
          <w:rFonts w:hint="cs"/>
          <w:rtl/>
          <w:lang w:eastAsia="en-US"/>
        </w:rPr>
        <w:t>ה</w:t>
      </w:r>
      <w:r w:rsidRPr="007B727F">
        <w:rPr>
          <w:rFonts w:hint="cs"/>
          <w:rtl/>
          <w:lang w:eastAsia="en-US"/>
        </w:rPr>
        <w:t>שמות דגש על רצונו של האדם והאוטונומיה שלו: ייפוי כוח מתמשך ו</w:t>
      </w:r>
      <w:r>
        <w:rPr>
          <w:rFonts w:hint="cs"/>
          <w:rtl/>
          <w:lang w:eastAsia="en-US"/>
        </w:rPr>
        <w:t>קבלת החלטות נתמכת</w:t>
      </w:r>
      <w:r w:rsidRPr="007B727F">
        <w:rPr>
          <w:rFonts w:hint="cs"/>
          <w:rtl/>
          <w:lang w:eastAsia="en-US"/>
        </w:rPr>
        <w:t xml:space="preserve">. החוק מסדיר את החלופה של ייפוי כוח מתמשך וקובע, בין היתר, מי רשאי להתמנות </w:t>
      </w:r>
      <w:r>
        <w:rPr>
          <w:rFonts w:hint="cs"/>
          <w:rtl/>
          <w:lang w:eastAsia="en-US"/>
        </w:rPr>
        <w:t>כ</w:t>
      </w:r>
      <w:r w:rsidRPr="007B727F">
        <w:rPr>
          <w:rFonts w:hint="cs"/>
          <w:rtl/>
          <w:lang w:eastAsia="en-US"/>
        </w:rPr>
        <w:t>מיופה כוח, סמכויותיו וחובותיו, דרכי פעולתו ו</w:t>
      </w:r>
      <w:r w:rsidR="001A13AB">
        <w:rPr>
          <w:rFonts w:hint="cs"/>
          <w:rtl/>
          <w:lang w:eastAsia="en-US"/>
        </w:rPr>
        <w:t xml:space="preserve">דרכי </w:t>
      </w:r>
      <w:r w:rsidRPr="007B727F">
        <w:rPr>
          <w:rFonts w:hint="cs"/>
          <w:rtl/>
          <w:lang w:eastAsia="en-US"/>
        </w:rPr>
        <w:t>קבלת החלטות</w:t>
      </w:r>
      <w:r w:rsidR="001A13AB">
        <w:rPr>
          <w:rFonts w:hint="cs"/>
          <w:rtl/>
          <w:lang w:eastAsia="en-US"/>
        </w:rPr>
        <w:t xml:space="preserve">, והאפשרות לתת הנחיות מקדימות למיופה הכח </w:t>
      </w:r>
      <w:r w:rsidR="001A13AB" w:rsidRPr="007B727F">
        <w:rPr>
          <w:rFonts w:hint="cs"/>
          <w:rtl/>
          <w:lang w:eastAsia="en-US"/>
        </w:rPr>
        <w:t>כיצד לפעול בנוגע לענייניו האישיים</w:t>
      </w:r>
      <w:r w:rsidR="00BD145A">
        <w:rPr>
          <w:rFonts w:hint="cs"/>
          <w:rtl/>
          <w:lang w:eastAsia="en-US"/>
        </w:rPr>
        <w:t xml:space="preserve">או </w:t>
      </w:r>
      <w:r w:rsidR="001A13AB" w:rsidRPr="007B727F">
        <w:rPr>
          <w:rFonts w:hint="cs"/>
          <w:rtl/>
          <w:lang w:eastAsia="en-US"/>
        </w:rPr>
        <w:t xml:space="preserve">הרכושיים </w:t>
      </w:r>
      <w:r w:rsidR="001A13AB">
        <w:rPr>
          <w:rFonts w:hint="cs"/>
          <w:rtl/>
          <w:lang w:eastAsia="en-US"/>
        </w:rPr>
        <w:t>של אדם.</w:t>
      </w:r>
      <w:r w:rsidRPr="007B727F">
        <w:rPr>
          <w:rFonts w:hint="cs"/>
          <w:rtl/>
          <w:lang w:eastAsia="en-US"/>
        </w:rPr>
        <w:t xml:space="preserve"> כמו כן החוק מסדיר מנגנון לבירור תלונות ולהתערבות בית המשפט במקרה הצורך.</w:t>
      </w:r>
      <w:r>
        <w:rPr>
          <w:rFonts w:hint="cs"/>
          <w:rtl/>
          <w:lang w:eastAsia="en-US"/>
        </w:rPr>
        <w:t>הכלי החלופי הנוסף</w:t>
      </w:r>
      <w:r w:rsidR="00B035FE">
        <w:rPr>
          <w:rFonts w:hint="cs"/>
          <w:rtl/>
          <w:lang w:eastAsia="en-US"/>
        </w:rPr>
        <w:t xml:space="preserve">, אשר מוסדר בסעיף 67ב לחוק, </w:t>
      </w:r>
      <w:r>
        <w:rPr>
          <w:rFonts w:hint="cs"/>
          <w:rtl/>
          <w:lang w:eastAsia="en-US"/>
        </w:rPr>
        <w:t xml:space="preserve">הוא קבלת החלטות נתמכת </w:t>
      </w:r>
      <w:r w:rsidR="00B035FE">
        <w:rPr>
          <w:rFonts w:hint="cs"/>
          <w:rtl/>
          <w:lang w:eastAsia="en-US"/>
        </w:rPr>
        <w:t>ו</w:t>
      </w:r>
      <w:r>
        <w:rPr>
          <w:rFonts w:hint="cs"/>
          <w:rtl/>
          <w:lang w:eastAsia="en-US"/>
        </w:rPr>
        <w:t xml:space="preserve">עיקרו </w:t>
      </w:r>
      <w:r w:rsidRPr="007B727F">
        <w:rPr>
          <w:rFonts w:hint="cs"/>
          <w:rtl/>
          <w:lang w:eastAsia="en-US"/>
        </w:rPr>
        <w:t xml:space="preserve">במינוי של תומך לאדם המצוי במצב בו הוא </w:t>
      </w:r>
      <w:r w:rsidR="006E6E02">
        <w:rPr>
          <w:rFonts w:hint="cs"/>
          <w:rtl/>
          <w:lang w:eastAsia="en-US"/>
        </w:rPr>
        <w:t xml:space="preserve">מסוגל </w:t>
      </w:r>
      <w:r w:rsidRPr="007B727F">
        <w:rPr>
          <w:rFonts w:hint="cs"/>
          <w:rtl/>
          <w:lang w:eastAsia="en-US"/>
        </w:rPr>
        <w:t xml:space="preserve">לקבל החלטות על ענייניו אך </w:t>
      </w:r>
      <w:r w:rsidR="006E6E02">
        <w:rPr>
          <w:rFonts w:hint="cs"/>
          <w:rtl/>
          <w:lang w:eastAsia="en-US"/>
        </w:rPr>
        <w:t xml:space="preserve">נדרש לו </w:t>
      </w:r>
      <w:r w:rsidRPr="007B727F">
        <w:rPr>
          <w:rFonts w:hint="cs"/>
          <w:rtl/>
          <w:lang w:eastAsia="en-US"/>
        </w:rPr>
        <w:t>סיוע</w:t>
      </w:r>
      <w:r w:rsidR="006E6E02">
        <w:rPr>
          <w:rFonts w:hint="cs"/>
          <w:rtl/>
          <w:lang w:eastAsia="en-US"/>
        </w:rPr>
        <w:t xml:space="preserve"> לשם כך</w:t>
      </w:r>
      <w:r w:rsidRPr="007B727F">
        <w:rPr>
          <w:rFonts w:hint="cs"/>
          <w:rtl/>
          <w:lang w:eastAsia="en-US"/>
        </w:rPr>
        <w:t>. תפקידו של התומך לסייע לאדם בקבלת החלטות כאמור מבלי שיקבל את ההחלטות במקומו.</w:t>
      </w:r>
      <w:r w:rsidRPr="0058560C">
        <w:rPr>
          <w:rFonts w:hint="cs"/>
          <w:rtl/>
          <w:lang w:eastAsia="en-US"/>
        </w:rPr>
        <w:t> החוק מגדיר את תפקידיו של התומך ואת סמכויותיו לרבות סיוע בקבלת מידע, הבנתו, הבאת החלופות העומדות בפני האדם וסיוע במימוש ההחלטה לרבות כלפי צדדים שלישיים. כמו כן</w:t>
      </w:r>
      <w:r>
        <w:rPr>
          <w:rFonts w:hint="cs"/>
          <w:rtl/>
          <w:lang w:eastAsia="en-US"/>
        </w:rPr>
        <w:t>,</w:t>
      </w:r>
      <w:r w:rsidRPr="0058560C">
        <w:rPr>
          <w:rFonts w:hint="cs"/>
          <w:rtl/>
          <w:lang w:eastAsia="en-US"/>
        </w:rPr>
        <w:t xml:space="preserve"> החוק מסמיך את שר המשפטים (בהסכמת שר הרווחה ו</w:t>
      </w:r>
      <w:r>
        <w:rPr>
          <w:rFonts w:hint="cs"/>
          <w:rtl/>
          <w:lang w:eastAsia="en-US"/>
        </w:rPr>
        <w:t>ה</w:t>
      </w:r>
      <w:r w:rsidRPr="0058560C">
        <w:rPr>
          <w:rFonts w:hint="cs"/>
          <w:rtl/>
          <w:lang w:eastAsia="en-US"/>
        </w:rPr>
        <w:t xml:space="preserve">שירותים </w:t>
      </w:r>
      <w:r>
        <w:rPr>
          <w:rFonts w:hint="cs"/>
          <w:rtl/>
          <w:lang w:eastAsia="en-US"/>
        </w:rPr>
        <w:t>ה</w:t>
      </w:r>
      <w:r w:rsidRPr="0058560C">
        <w:rPr>
          <w:rFonts w:hint="cs"/>
          <w:rtl/>
          <w:lang w:eastAsia="en-US"/>
        </w:rPr>
        <w:t>חברתיים</w:t>
      </w:r>
      <w:r w:rsidR="00E8383B">
        <w:rPr>
          <w:rFonts w:hint="cs"/>
          <w:rtl/>
          <w:lang w:eastAsia="en-US"/>
        </w:rPr>
        <w:t xml:space="preserve"> ו</w:t>
      </w:r>
      <w:r w:rsidR="00E8383B" w:rsidRPr="0058560C">
        <w:rPr>
          <w:rFonts w:hint="cs"/>
          <w:rtl/>
          <w:lang w:eastAsia="en-US"/>
        </w:rPr>
        <w:t>שר האוצר ו</w:t>
      </w:r>
      <w:r w:rsidR="00E8383B">
        <w:rPr>
          <w:rFonts w:hint="cs"/>
          <w:rtl/>
          <w:lang w:eastAsia="en-US"/>
        </w:rPr>
        <w:t>בהתייעצות עם שר הבריאות ובאישור ועדת החוקה חוק ומשפט של הכנסת</w:t>
      </w:r>
      <w:r w:rsidRPr="0058560C">
        <w:rPr>
          <w:rFonts w:hint="cs"/>
          <w:rtl/>
          <w:lang w:eastAsia="en-US"/>
        </w:rPr>
        <w:t xml:space="preserve">) להתקין תקנות שיאפשרו הסדרה של הכלי של </w:t>
      </w:r>
      <w:r>
        <w:rPr>
          <w:rFonts w:hint="cs"/>
          <w:rtl/>
          <w:lang w:eastAsia="en-US"/>
        </w:rPr>
        <w:t>קבלת החלטות נתמכת</w:t>
      </w:r>
      <w:r w:rsidR="00A64D84">
        <w:rPr>
          <w:rFonts w:hint="cs"/>
          <w:rtl/>
          <w:lang w:eastAsia="en-US"/>
        </w:rPr>
        <w:t>,</w:t>
      </w:r>
      <w:r w:rsidRPr="0058560C">
        <w:rPr>
          <w:rFonts w:hint="cs"/>
          <w:rtl/>
          <w:lang w:eastAsia="en-US"/>
        </w:rPr>
        <w:t xml:space="preserve"> בין היתר</w:t>
      </w:r>
      <w:r w:rsidR="00A64D84">
        <w:rPr>
          <w:rFonts w:hint="cs"/>
          <w:rtl/>
          <w:lang w:eastAsia="en-US"/>
        </w:rPr>
        <w:t>,</w:t>
      </w:r>
      <w:r w:rsidRPr="0058560C">
        <w:rPr>
          <w:rFonts w:hint="cs"/>
          <w:rtl/>
          <w:lang w:eastAsia="en-US"/>
        </w:rPr>
        <w:t xml:space="preserve"> בעניינים הבאים: מי רשאי להתמנות כתומך בקבלת החלטות, איזו הכשרה נדרשת, מהן חובותיו ואחריותו של התומך, מועד סיום התמיכה ואופן ההתקשרות לצורך תמיכה בקבלת החלטות.</w:t>
      </w:r>
      <w:r>
        <w:rPr>
          <w:rFonts w:hint="cs"/>
          <w:rtl/>
          <w:lang w:eastAsia="en-US"/>
        </w:rPr>
        <w:t xml:space="preserve"> החוק </w:t>
      </w:r>
      <w:r w:rsidR="005F1258">
        <w:rPr>
          <w:rFonts w:hint="cs"/>
          <w:rtl/>
          <w:lang w:eastAsia="en-US"/>
        </w:rPr>
        <w:t xml:space="preserve">-קבע </w:t>
      </w:r>
      <w:r>
        <w:rPr>
          <w:rFonts w:hint="cs"/>
          <w:rtl/>
          <w:lang w:eastAsia="en-US"/>
        </w:rPr>
        <w:t xml:space="preserve">כי כניסתו של הסעיף לתוקף תהא </w:t>
      </w:r>
      <w:r w:rsidRPr="0058560C">
        <w:rPr>
          <w:rFonts w:hint="cs"/>
          <w:rtl/>
          <w:lang w:eastAsia="en-US"/>
        </w:rPr>
        <w:t xml:space="preserve">בתוך שנתיים מיום פרסום החוק (קרי, אפריל </w:t>
      </w:r>
      <w:r w:rsidR="003845E3">
        <w:rPr>
          <w:rFonts w:hint="cs"/>
          <w:rtl/>
          <w:lang w:eastAsia="en-US"/>
        </w:rPr>
        <w:t>2018</w:t>
      </w:r>
      <w:r w:rsidRPr="0058560C">
        <w:rPr>
          <w:rFonts w:hint="cs"/>
          <w:rtl/>
          <w:lang w:eastAsia="en-US"/>
        </w:rPr>
        <w:t xml:space="preserve">), ועוד נקבע כי </w:t>
      </w:r>
      <w:r w:rsidR="00E24E87">
        <w:rPr>
          <w:rFonts w:hint="cs"/>
          <w:rtl/>
          <w:lang w:eastAsia="en-US"/>
        </w:rPr>
        <w:t>"</w:t>
      </w:r>
      <w:r w:rsidRPr="0058560C">
        <w:rPr>
          <w:rFonts w:hint="cs"/>
          <w:rtl/>
          <w:lang w:eastAsia="en-US"/>
        </w:rPr>
        <w:t xml:space="preserve">עד למועד תחילתו של סעיף </w:t>
      </w:r>
      <w:r w:rsidR="00E24E87">
        <w:rPr>
          <w:rFonts w:hint="cs"/>
          <w:rtl/>
          <w:lang w:eastAsia="en-US"/>
        </w:rPr>
        <w:t>זה רשאי שר המשפטים, בהסכמת שר הרווחה והשירותים החברתיים ושר האוצר, לקבוע נוהל זמני שיכול ויהיה מוגבל לאזורים מסוימים, לתקופות מסוימות ולענינים מסוימים...".</w:t>
      </w:r>
    </w:p>
    <w:p w:rsidR="00DA044A" w:rsidRDefault="00DA044A" w:rsidP="00E24E87">
      <w:pPr>
        <w:pStyle w:val="1"/>
        <w:tabs>
          <w:tab w:val="center" w:pos="6804"/>
          <w:tab w:val="left" w:pos="8164"/>
        </w:tabs>
        <w:rPr>
          <w:rtl/>
          <w:lang w:eastAsia="en-US"/>
        </w:rPr>
      </w:pPr>
      <w:r w:rsidRPr="007B727F">
        <w:rPr>
          <w:rFonts w:hint="cs"/>
          <w:rtl/>
          <w:lang w:eastAsia="en-US"/>
        </w:rPr>
        <w:t xml:space="preserve">כמו כן, במסגרת תיקון </w:t>
      </w:r>
      <w:r w:rsidR="00E24E87">
        <w:rPr>
          <w:rFonts w:hint="cs"/>
          <w:rtl/>
          <w:lang w:eastAsia="en-US"/>
        </w:rPr>
        <w:t xml:space="preserve">מס' 18 </w:t>
      </w:r>
      <w:r w:rsidRPr="007B727F">
        <w:rPr>
          <w:rFonts w:hint="cs"/>
          <w:rtl/>
          <w:lang w:eastAsia="en-US"/>
        </w:rPr>
        <w:t>לחוק נכללו תיקונים שונים בתחום האפוטרופסות שמטרתם לשמור על כבוד ה</w:t>
      </w:r>
      <w:r>
        <w:rPr>
          <w:rFonts w:hint="cs"/>
          <w:rtl/>
          <w:lang w:eastAsia="en-US"/>
        </w:rPr>
        <w:t>אדם שמונה לו אפוטרופוס</w:t>
      </w:r>
      <w:r w:rsidRPr="007B727F">
        <w:rPr>
          <w:rFonts w:hint="cs"/>
          <w:rtl/>
          <w:lang w:eastAsia="en-US"/>
        </w:rPr>
        <w:t xml:space="preserve"> והאוטונומיה שלו</w:t>
      </w:r>
      <w:r w:rsidR="001A13AB">
        <w:rPr>
          <w:rFonts w:hint="cs"/>
          <w:rtl/>
          <w:lang w:eastAsia="en-US"/>
        </w:rPr>
        <w:t>.</w:t>
      </w:r>
    </w:p>
    <w:p w:rsidR="00E24E87" w:rsidRPr="007B727F" w:rsidRDefault="00E24E87" w:rsidP="001A13AB">
      <w:pPr>
        <w:pStyle w:val="1"/>
        <w:tabs>
          <w:tab w:val="center" w:pos="6804"/>
          <w:tab w:val="left" w:pos="8164"/>
        </w:tabs>
        <w:rPr>
          <w:rtl/>
          <w:lang w:eastAsia="en-US"/>
        </w:rPr>
      </w:pPr>
    </w:p>
    <w:p w:rsidR="00DA044A" w:rsidRPr="0058560C" w:rsidRDefault="00DA044A" w:rsidP="00DA044A">
      <w:pPr>
        <w:pStyle w:val="1"/>
        <w:tabs>
          <w:tab w:val="center" w:pos="6804"/>
          <w:tab w:val="left" w:pos="8164"/>
        </w:tabs>
        <w:rPr>
          <w:b/>
          <w:bCs/>
          <w:u w:val="single"/>
        </w:rPr>
      </w:pPr>
      <w:r w:rsidRPr="0058560C">
        <w:rPr>
          <w:rFonts w:hint="cs"/>
          <w:b/>
          <w:bCs/>
          <w:u w:val="single"/>
          <w:rtl/>
        </w:rPr>
        <w:t>תיקון החוק</w:t>
      </w:r>
    </w:p>
    <w:p w:rsidR="00DA044A" w:rsidRDefault="00DA044A" w:rsidP="00AE764E">
      <w:pPr>
        <w:pStyle w:val="1"/>
        <w:tabs>
          <w:tab w:val="center" w:pos="6804"/>
          <w:tab w:val="left" w:pos="8164"/>
        </w:tabs>
        <w:rPr>
          <w:rtl/>
          <w:lang w:eastAsia="en-US"/>
        </w:rPr>
      </w:pPr>
      <w:r>
        <w:rPr>
          <w:rFonts w:hint="cs"/>
          <w:rtl/>
          <w:lang w:eastAsia="en-US"/>
        </w:rPr>
        <w:t xml:space="preserve">לאחר כניסתו </w:t>
      </w:r>
      <w:r w:rsidR="00E24E87">
        <w:rPr>
          <w:rFonts w:hint="cs"/>
          <w:rtl/>
          <w:lang w:eastAsia="en-US"/>
        </w:rPr>
        <w:t xml:space="preserve">לתוקף </w:t>
      </w:r>
      <w:r>
        <w:rPr>
          <w:rFonts w:hint="cs"/>
          <w:rtl/>
          <w:lang w:eastAsia="en-US"/>
        </w:rPr>
        <w:t xml:space="preserve">של </w:t>
      </w:r>
      <w:r w:rsidR="00E24E87">
        <w:rPr>
          <w:rFonts w:hint="cs"/>
          <w:rtl/>
          <w:lang w:eastAsia="en-US"/>
        </w:rPr>
        <w:t>תיקון מס' 18 לחוק ו</w:t>
      </w:r>
      <w:r w:rsidR="00A62903">
        <w:rPr>
          <w:rFonts w:hint="cs"/>
          <w:rtl/>
          <w:lang w:eastAsia="en-US"/>
        </w:rPr>
        <w:t xml:space="preserve">בעקבות הפעלתו </w:t>
      </w:r>
      <w:r>
        <w:rPr>
          <w:rFonts w:hint="cs"/>
          <w:rtl/>
          <w:lang w:eastAsia="en-US"/>
        </w:rPr>
        <w:t xml:space="preserve">התגלו </w:t>
      </w:r>
      <w:r w:rsidR="00A62903">
        <w:rPr>
          <w:rFonts w:hint="cs"/>
          <w:rtl/>
          <w:lang w:eastAsia="en-US"/>
        </w:rPr>
        <w:t xml:space="preserve">מספר </w:t>
      </w:r>
      <w:r>
        <w:rPr>
          <w:rFonts w:hint="cs"/>
          <w:rtl/>
          <w:lang w:eastAsia="en-US"/>
        </w:rPr>
        <w:t xml:space="preserve">קשיים יישומיים </w:t>
      </w:r>
      <w:r w:rsidR="00A62903">
        <w:rPr>
          <w:rFonts w:hint="cs"/>
          <w:rtl/>
          <w:lang w:eastAsia="en-US"/>
        </w:rPr>
        <w:t xml:space="preserve">המצריכים עריכת תיקונים. בהזדמנות זו אף ראינו לנכון לתקן מספר </w:t>
      </w:r>
      <w:r>
        <w:rPr>
          <w:rFonts w:hint="cs"/>
          <w:rtl/>
          <w:lang w:eastAsia="en-US"/>
        </w:rPr>
        <w:t xml:space="preserve">שגיאות ניסוחיות </w:t>
      </w:r>
      <w:r w:rsidR="00A62903">
        <w:rPr>
          <w:rFonts w:hint="cs"/>
          <w:rtl/>
          <w:lang w:eastAsia="en-US"/>
        </w:rPr>
        <w:t>ולהבהיר עניינים שונים</w:t>
      </w:r>
      <w:r>
        <w:rPr>
          <w:rFonts w:hint="cs"/>
          <w:rtl/>
          <w:lang w:eastAsia="en-US"/>
        </w:rPr>
        <w:t xml:space="preserve">. נוסף על האמור, </w:t>
      </w:r>
      <w:r w:rsidR="00AE764E">
        <w:rPr>
          <w:rFonts w:hint="cs"/>
          <w:rtl/>
          <w:lang w:eastAsia="en-US"/>
        </w:rPr>
        <w:t xml:space="preserve">נוספו סעיפים מהותיים בעניין תומך בקבלת החלטות, הנדרשים ליישומו של הסדר זה.  </w:t>
      </w:r>
    </w:p>
    <w:p w:rsidR="0026356E" w:rsidRDefault="0026356E" w:rsidP="0026356E">
      <w:pPr>
        <w:pStyle w:val="1"/>
        <w:tabs>
          <w:tab w:val="center" w:pos="6804"/>
          <w:tab w:val="left" w:pos="8164"/>
        </w:tabs>
        <w:rPr>
          <w:rtl/>
          <w:lang w:eastAsia="en-US"/>
        </w:rPr>
      </w:pPr>
    </w:p>
    <w:p w:rsidR="0026356E" w:rsidRDefault="0026356E" w:rsidP="0026356E">
      <w:pPr>
        <w:pStyle w:val="1"/>
        <w:numPr>
          <w:ilvl w:val="0"/>
          <w:numId w:val="12"/>
        </w:numPr>
        <w:tabs>
          <w:tab w:val="center" w:pos="6804"/>
          <w:tab w:val="left" w:pos="8164"/>
        </w:tabs>
        <w:ind w:right="360"/>
        <w:rPr>
          <w:b/>
          <w:bCs/>
          <w:u w:val="single"/>
          <w:lang w:eastAsia="en-US"/>
        </w:rPr>
      </w:pPr>
      <w:r>
        <w:rPr>
          <w:b/>
          <w:bCs/>
          <w:u w:val="single"/>
          <w:rtl/>
          <w:lang w:eastAsia="en-US"/>
        </w:rPr>
        <w:lastRenderedPageBreak/>
        <w:t>עיקרי החוק המוצע</w:t>
      </w:r>
      <w:r w:rsidRPr="000065E2">
        <w:rPr>
          <w:b/>
          <w:bCs/>
          <w:u w:val="single"/>
          <w:rtl/>
          <w:lang w:eastAsia="en-US"/>
        </w:rPr>
        <w:t>:</w:t>
      </w:r>
    </w:p>
    <w:p w:rsidR="0026356E" w:rsidRDefault="00003047" w:rsidP="0026356E">
      <w:pPr>
        <w:pStyle w:val="1"/>
        <w:tabs>
          <w:tab w:val="center" w:pos="6804"/>
          <w:tab w:val="left" w:pos="8164"/>
        </w:tabs>
        <w:ind w:left="170"/>
        <w:rPr>
          <w:rtl/>
          <w:lang w:eastAsia="en-US"/>
        </w:rPr>
      </w:pPr>
      <w:r>
        <w:rPr>
          <w:rFonts w:hint="cs"/>
          <w:rtl/>
          <w:lang w:eastAsia="en-US"/>
        </w:rPr>
        <w:t>התיקונים העיקריים לחוק הם:</w:t>
      </w:r>
    </w:p>
    <w:p w:rsidR="00003047" w:rsidRPr="009659C1" w:rsidRDefault="00003047" w:rsidP="009659C1">
      <w:pPr>
        <w:pStyle w:val="1"/>
        <w:tabs>
          <w:tab w:val="center" w:pos="6804"/>
          <w:tab w:val="left" w:pos="8164"/>
        </w:tabs>
        <w:ind w:left="170"/>
        <w:rPr>
          <w:rtl/>
          <w:lang w:eastAsia="en-US"/>
        </w:rPr>
      </w:pPr>
      <w:r w:rsidRPr="009659C1">
        <w:rPr>
          <w:rFonts w:hint="cs"/>
          <w:rtl/>
          <w:lang w:eastAsia="en-US"/>
        </w:rPr>
        <w:t>עיקר ראשון - תיקוני נוסח</w:t>
      </w:r>
      <w:r w:rsidR="00A518B2" w:rsidRPr="009659C1">
        <w:rPr>
          <w:rFonts w:hint="cs"/>
          <w:rtl/>
          <w:lang w:eastAsia="en-US"/>
        </w:rPr>
        <w:t xml:space="preserve">: בעקבות כניסתו </w:t>
      </w:r>
      <w:r w:rsidR="00E24E87" w:rsidRPr="009659C1">
        <w:rPr>
          <w:rFonts w:hint="cs"/>
          <w:rtl/>
          <w:lang w:eastAsia="en-US"/>
        </w:rPr>
        <w:t xml:space="preserve">לתוקף </w:t>
      </w:r>
      <w:r w:rsidR="00A518B2" w:rsidRPr="009659C1">
        <w:rPr>
          <w:rFonts w:hint="cs"/>
          <w:rtl/>
          <w:lang w:eastAsia="en-US"/>
        </w:rPr>
        <w:t xml:space="preserve">של תיקון </w:t>
      </w:r>
      <w:r w:rsidR="00E24E87" w:rsidRPr="009659C1">
        <w:rPr>
          <w:rFonts w:hint="cs"/>
          <w:rtl/>
          <w:lang w:eastAsia="en-US"/>
        </w:rPr>
        <w:t>מס' 18</w:t>
      </w:r>
      <w:r w:rsidR="00A518B2" w:rsidRPr="009659C1">
        <w:rPr>
          <w:rFonts w:hint="cs"/>
          <w:rtl/>
          <w:lang w:eastAsia="en-US"/>
        </w:rPr>
        <w:t>ל</w:t>
      </w:r>
      <w:r w:rsidR="00E24E87" w:rsidRPr="009659C1">
        <w:rPr>
          <w:rFonts w:hint="cs"/>
          <w:rtl/>
          <w:lang w:eastAsia="en-US"/>
        </w:rPr>
        <w:t xml:space="preserve">חוק </w:t>
      </w:r>
      <w:r w:rsidR="00A518B2" w:rsidRPr="009659C1">
        <w:rPr>
          <w:rFonts w:hint="cs"/>
          <w:rtl/>
          <w:lang w:eastAsia="en-US"/>
        </w:rPr>
        <w:t>והפעלתו התברר כי ישנ</w:t>
      </w:r>
      <w:r w:rsidR="00413D4B" w:rsidRPr="009659C1">
        <w:rPr>
          <w:rFonts w:hint="cs"/>
          <w:rtl/>
          <w:lang w:eastAsia="en-US"/>
        </w:rPr>
        <w:t>ן</w:t>
      </w:r>
      <w:r w:rsidR="00A518B2" w:rsidRPr="009659C1">
        <w:rPr>
          <w:rFonts w:hint="cs"/>
          <w:rtl/>
          <w:lang w:eastAsia="en-US"/>
        </w:rPr>
        <w:t xml:space="preserve"> אי בהירויות בקשר למספר סעיפים בחוק ויש צורך לתקן את </w:t>
      </w:r>
      <w:r w:rsidR="00E24E87" w:rsidRPr="009659C1">
        <w:rPr>
          <w:rFonts w:hint="cs"/>
          <w:rtl/>
          <w:lang w:eastAsia="en-US"/>
        </w:rPr>
        <w:t>ה</w:t>
      </w:r>
      <w:r w:rsidR="00A518B2" w:rsidRPr="009659C1">
        <w:rPr>
          <w:rFonts w:hint="cs"/>
          <w:rtl/>
          <w:lang w:eastAsia="en-US"/>
        </w:rPr>
        <w:t>נוסח</w:t>
      </w:r>
      <w:r w:rsidR="003845E3" w:rsidRPr="009659C1">
        <w:rPr>
          <w:rFonts w:hint="cs"/>
          <w:rtl/>
          <w:lang w:eastAsia="en-US"/>
        </w:rPr>
        <w:t>.</w:t>
      </w:r>
    </w:p>
    <w:p w:rsidR="00003047" w:rsidRPr="009659C1" w:rsidRDefault="00003047" w:rsidP="00BF7C00">
      <w:pPr>
        <w:pStyle w:val="1"/>
        <w:tabs>
          <w:tab w:val="center" w:pos="6804"/>
          <w:tab w:val="left" w:pos="8164"/>
        </w:tabs>
        <w:ind w:left="170"/>
        <w:rPr>
          <w:rtl/>
          <w:lang w:eastAsia="en-US"/>
        </w:rPr>
      </w:pPr>
      <w:r w:rsidRPr="009659C1">
        <w:rPr>
          <w:rFonts w:hint="cs"/>
          <w:rtl/>
          <w:lang w:eastAsia="en-US"/>
        </w:rPr>
        <w:t xml:space="preserve">עיקר שני - </w:t>
      </w:r>
      <w:r w:rsidR="00A518B2" w:rsidRPr="009659C1">
        <w:rPr>
          <w:rFonts w:hint="cs"/>
          <w:rtl/>
          <w:lang w:eastAsia="en-US"/>
        </w:rPr>
        <w:t>תיק</w:t>
      </w:r>
      <w:r w:rsidR="001069C0" w:rsidRPr="009659C1">
        <w:rPr>
          <w:rFonts w:hint="cs"/>
          <w:rtl/>
          <w:lang w:eastAsia="en-US"/>
        </w:rPr>
        <w:t>ו</w:t>
      </w:r>
      <w:r w:rsidR="00A518B2" w:rsidRPr="009659C1">
        <w:rPr>
          <w:rFonts w:hint="cs"/>
          <w:rtl/>
          <w:lang w:eastAsia="en-US"/>
        </w:rPr>
        <w:t xml:space="preserve">נים מהותיים </w:t>
      </w:r>
      <w:r w:rsidR="001069C0" w:rsidRPr="009659C1">
        <w:rPr>
          <w:rFonts w:hint="cs"/>
          <w:rtl/>
          <w:lang w:eastAsia="en-US"/>
        </w:rPr>
        <w:t xml:space="preserve">לסעיפים קיימים </w:t>
      </w:r>
      <w:r w:rsidR="00A518B2" w:rsidRPr="009659C1">
        <w:rPr>
          <w:rFonts w:hint="cs"/>
          <w:rtl/>
          <w:lang w:eastAsia="en-US"/>
        </w:rPr>
        <w:t>שהוכנסו בעקבות הערות שקיבלנו מהציבור ומגורמים ממשלתיים</w:t>
      </w:r>
      <w:r w:rsidR="00BF7C00">
        <w:rPr>
          <w:rFonts w:hint="cs"/>
          <w:rtl/>
          <w:lang w:eastAsia="en-US"/>
        </w:rPr>
        <w:t>,</w:t>
      </w:r>
      <w:r w:rsidR="00BF7C00" w:rsidRPr="00BF7C00">
        <w:rPr>
          <w:rFonts w:hint="cs"/>
          <w:rtl/>
          <w:lang w:eastAsia="en-US"/>
        </w:rPr>
        <w:t>ובין השאר מתן הקלות והתאמות בנוגע לייפוי כ</w:t>
      </w:r>
      <w:r w:rsidR="00BF7C00">
        <w:rPr>
          <w:rFonts w:hint="cs"/>
          <w:rtl/>
          <w:lang w:eastAsia="en-US"/>
        </w:rPr>
        <w:t>ו</w:t>
      </w:r>
      <w:r w:rsidR="00BF7C00" w:rsidRPr="00BF7C00">
        <w:rPr>
          <w:rFonts w:hint="cs"/>
          <w:rtl/>
          <w:lang w:eastAsia="en-US"/>
        </w:rPr>
        <w:t>ח בתחומי הרפואה</w:t>
      </w:r>
      <w:r w:rsidR="00A518B2" w:rsidRPr="009659C1">
        <w:rPr>
          <w:rFonts w:hint="cs"/>
          <w:rtl/>
          <w:lang w:eastAsia="en-US"/>
        </w:rPr>
        <w:t xml:space="preserve">. </w:t>
      </w:r>
    </w:p>
    <w:p w:rsidR="001069C0" w:rsidRPr="009659C1" w:rsidRDefault="001069C0" w:rsidP="00A6748E">
      <w:pPr>
        <w:pStyle w:val="1"/>
        <w:tabs>
          <w:tab w:val="center" w:pos="6804"/>
          <w:tab w:val="left" w:pos="8164"/>
        </w:tabs>
        <w:ind w:left="170"/>
        <w:rPr>
          <w:rtl/>
          <w:lang w:eastAsia="en-US"/>
        </w:rPr>
      </w:pPr>
      <w:r w:rsidRPr="009659C1">
        <w:rPr>
          <w:rFonts w:hint="cs"/>
          <w:rtl/>
          <w:lang w:eastAsia="en-US"/>
        </w:rPr>
        <w:t xml:space="preserve">עיקר שלישי </w:t>
      </w:r>
      <w:r w:rsidRPr="009659C1">
        <w:rPr>
          <w:rtl/>
          <w:lang w:eastAsia="en-US"/>
        </w:rPr>
        <w:t>–</w:t>
      </w:r>
      <w:r w:rsidRPr="009659C1">
        <w:rPr>
          <w:rFonts w:hint="cs"/>
          <w:rtl/>
          <w:lang w:eastAsia="en-US"/>
        </w:rPr>
        <w:t xml:space="preserve"> הוספת סעיפים מהותיים </w:t>
      </w:r>
      <w:r w:rsidR="00413D4B" w:rsidRPr="009659C1">
        <w:rPr>
          <w:rFonts w:hint="cs"/>
          <w:rtl/>
          <w:lang w:eastAsia="en-US"/>
        </w:rPr>
        <w:t>ב</w:t>
      </w:r>
      <w:r w:rsidRPr="009659C1">
        <w:rPr>
          <w:rFonts w:hint="cs"/>
          <w:rtl/>
          <w:lang w:eastAsia="en-US"/>
        </w:rPr>
        <w:t>עניין מינוי תומך בקבלת החלטות</w:t>
      </w:r>
      <w:r w:rsidR="00413D4B" w:rsidRPr="009659C1">
        <w:rPr>
          <w:rFonts w:hint="cs"/>
          <w:rtl/>
          <w:lang w:eastAsia="en-US"/>
        </w:rPr>
        <w:t>- חיובי צד שלישי, הגנ</w:t>
      </w:r>
      <w:r w:rsidR="00A6748E">
        <w:rPr>
          <w:rFonts w:hint="cs"/>
          <w:rtl/>
          <w:lang w:eastAsia="en-US"/>
        </w:rPr>
        <w:t>ו</w:t>
      </w:r>
      <w:r w:rsidR="00413D4B" w:rsidRPr="009659C1">
        <w:rPr>
          <w:rFonts w:hint="cs"/>
          <w:rtl/>
          <w:lang w:eastAsia="en-US"/>
        </w:rPr>
        <w:t xml:space="preserve">ת צד שלישי. כמו כן, תיקון הסעיף המסמיך </w:t>
      </w:r>
      <w:r w:rsidR="00334B58" w:rsidRPr="009659C1">
        <w:rPr>
          <w:rFonts w:hint="cs"/>
          <w:rtl/>
          <w:lang w:eastAsia="en-US"/>
        </w:rPr>
        <w:t xml:space="preserve">את השר </w:t>
      </w:r>
      <w:r w:rsidR="00413D4B" w:rsidRPr="009659C1">
        <w:rPr>
          <w:rFonts w:hint="cs"/>
          <w:rtl/>
          <w:lang w:eastAsia="en-US"/>
        </w:rPr>
        <w:t>להתק</w:t>
      </w:r>
      <w:r w:rsidR="00334B58" w:rsidRPr="009659C1">
        <w:rPr>
          <w:rFonts w:hint="cs"/>
          <w:rtl/>
          <w:lang w:eastAsia="en-US"/>
        </w:rPr>
        <w:t xml:space="preserve">ין </w:t>
      </w:r>
      <w:r w:rsidR="00413D4B" w:rsidRPr="009659C1">
        <w:rPr>
          <w:rFonts w:hint="cs"/>
          <w:rtl/>
          <w:lang w:eastAsia="en-US"/>
        </w:rPr>
        <w:t>תקנות</w:t>
      </w:r>
      <w:r w:rsidR="00334B58" w:rsidRPr="009659C1">
        <w:rPr>
          <w:rFonts w:hint="cs"/>
          <w:rtl/>
          <w:lang w:eastAsia="en-US"/>
        </w:rPr>
        <w:t xml:space="preserve"> בעניין</w:t>
      </w:r>
      <w:r w:rsidRPr="009659C1">
        <w:rPr>
          <w:rFonts w:hint="cs"/>
          <w:rtl/>
          <w:lang w:eastAsia="en-US"/>
        </w:rPr>
        <w:t>.</w:t>
      </w:r>
    </w:p>
    <w:p w:rsidR="0026356E" w:rsidRPr="0093052C" w:rsidRDefault="0026356E" w:rsidP="0026356E">
      <w:pPr>
        <w:pStyle w:val="1"/>
        <w:tabs>
          <w:tab w:val="center" w:pos="6804"/>
          <w:tab w:val="left" w:pos="8164"/>
        </w:tabs>
        <w:ind w:left="170"/>
        <w:rPr>
          <w:lang w:eastAsia="en-US"/>
        </w:rPr>
      </w:pPr>
    </w:p>
    <w:p w:rsidR="0026356E" w:rsidRPr="0026356E" w:rsidRDefault="0026356E" w:rsidP="0026356E">
      <w:pPr>
        <w:widowControl/>
        <w:numPr>
          <w:ilvl w:val="0"/>
          <w:numId w:val="12"/>
        </w:numPr>
        <w:autoSpaceDE/>
        <w:autoSpaceDN/>
        <w:adjustRightInd/>
        <w:spacing w:before="0" w:line="360" w:lineRule="auto"/>
        <w:textAlignment w:val="auto"/>
        <w:rPr>
          <w:rFonts w:cs="David"/>
          <w:b/>
          <w:bCs/>
          <w:sz w:val="24"/>
          <w:szCs w:val="24"/>
          <w:u w:val="single"/>
        </w:rPr>
      </w:pPr>
      <w:r w:rsidRPr="0026356E">
        <w:rPr>
          <w:rFonts w:cs="David"/>
          <w:b/>
          <w:bCs/>
          <w:sz w:val="24"/>
          <w:szCs w:val="24"/>
          <w:u w:val="single"/>
          <w:rtl/>
        </w:rPr>
        <w:t>השפעת החוק המוצע על החוק הקיים:</w:t>
      </w:r>
    </w:p>
    <w:p w:rsidR="0026356E" w:rsidRPr="009C5261" w:rsidRDefault="0026356E" w:rsidP="0026356E">
      <w:pPr>
        <w:rPr>
          <w:rtl/>
        </w:rPr>
      </w:pPr>
      <w:r w:rsidRPr="009C5261">
        <w:rPr>
          <w:rtl/>
        </w:rPr>
        <w:tab/>
      </w:r>
    </w:p>
    <w:p w:rsidR="0026356E" w:rsidRPr="009C5261" w:rsidRDefault="0026356E" w:rsidP="004543AD">
      <w:pPr>
        <w:pStyle w:val="1"/>
        <w:tabs>
          <w:tab w:val="center" w:pos="6804"/>
          <w:tab w:val="left" w:pos="8164"/>
        </w:tabs>
        <w:rPr>
          <w:rtl/>
          <w:lang w:eastAsia="en-US"/>
        </w:rPr>
      </w:pPr>
      <w:r w:rsidRPr="009C5261">
        <w:rPr>
          <w:rtl/>
          <w:lang w:eastAsia="en-US"/>
        </w:rPr>
        <w:t xml:space="preserve">יתוקנו סעיפים </w:t>
      </w:r>
      <w:r w:rsidRPr="00334B58">
        <w:rPr>
          <w:rFonts w:hint="cs"/>
          <w:rtl/>
          <w:lang w:eastAsia="en-US"/>
        </w:rPr>
        <w:t xml:space="preserve">32ג, </w:t>
      </w:r>
      <w:r w:rsidR="00D96739" w:rsidRPr="00334B58">
        <w:rPr>
          <w:rFonts w:hint="cs"/>
          <w:rtl/>
          <w:lang w:eastAsia="en-US"/>
        </w:rPr>
        <w:t xml:space="preserve">32ו, </w:t>
      </w:r>
      <w:r w:rsidR="001069C0" w:rsidRPr="00334B58">
        <w:rPr>
          <w:rFonts w:hint="cs"/>
          <w:rtl/>
          <w:lang w:eastAsia="en-US"/>
        </w:rPr>
        <w:t>32יג</w:t>
      </w:r>
      <w:r w:rsidR="00334B58" w:rsidRPr="00334B58">
        <w:rPr>
          <w:rFonts w:hint="cs"/>
          <w:rtl/>
          <w:lang w:eastAsia="en-US"/>
        </w:rPr>
        <w:t xml:space="preserve"> עד</w:t>
      </w:r>
      <w:r w:rsidRPr="00334B58">
        <w:rPr>
          <w:rFonts w:hint="cs"/>
          <w:rtl/>
          <w:lang w:eastAsia="en-US"/>
        </w:rPr>
        <w:t>32</w:t>
      </w:r>
      <w:r w:rsidR="00334B58" w:rsidRPr="00334B58">
        <w:rPr>
          <w:rFonts w:hint="cs"/>
          <w:rtl/>
          <w:lang w:eastAsia="en-US"/>
        </w:rPr>
        <w:t>טו, 32</w:t>
      </w:r>
      <w:r w:rsidRPr="00334B58">
        <w:rPr>
          <w:rFonts w:hint="cs"/>
          <w:rtl/>
          <w:lang w:eastAsia="en-US"/>
        </w:rPr>
        <w:t>יז</w:t>
      </w:r>
      <w:r w:rsidR="004543AD">
        <w:rPr>
          <w:rFonts w:hint="cs"/>
          <w:rtl/>
          <w:lang w:eastAsia="en-US"/>
        </w:rPr>
        <w:t xml:space="preserve"> עד</w:t>
      </w:r>
      <w:r w:rsidR="001069C0" w:rsidRPr="00334B58">
        <w:rPr>
          <w:rFonts w:hint="cs"/>
          <w:rtl/>
          <w:lang w:eastAsia="en-US"/>
        </w:rPr>
        <w:t xml:space="preserve">32יט, </w:t>
      </w:r>
      <w:r w:rsidRPr="00334B58">
        <w:rPr>
          <w:rFonts w:hint="cs"/>
          <w:rtl/>
          <w:lang w:eastAsia="en-US"/>
        </w:rPr>
        <w:t xml:space="preserve">34, 35א, 48, </w:t>
      </w:r>
      <w:r w:rsidR="001069C0" w:rsidRPr="00334B58">
        <w:rPr>
          <w:rFonts w:hint="cs"/>
          <w:rtl/>
          <w:lang w:eastAsia="en-US"/>
        </w:rPr>
        <w:t xml:space="preserve">51, 57, </w:t>
      </w:r>
      <w:r w:rsidRPr="00334B58">
        <w:rPr>
          <w:rFonts w:hint="cs"/>
          <w:rtl/>
          <w:lang w:eastAsia="en-US"/>
        </w:rPr>
        <w:t>64, 64א</w:t>
      </w:r>
      <w:r w:rsidR="006717F9" w:rsidRPr="00334B58">
        <w:rPr>
          <w:rFonts w:hint="cs"/>
          <w:rtl/>
          <w:lang w:eastAsia="en-US"/>
        </w:rPr>
        <w:t xml:space="preserve"> ו-67ב</w:t>
      </w:r>
      <w:r w:rsidRPr="009C5261">
        <w:rPr>
          <w:rFonts w:hint="cs"/>
          <w:rtl/>
          <w:lang w:eastAsia="en-US"/>
        </w:rPr>
        <w:t xml:space="preserve"> לחוק.</w:t>
      </w:r>
    </w:p>
    <w:p w:rsidR="0026356E" w:rsidRDefault="0026356E" w:rsidP="0026356E">
      <w:pPr>
        <w:pStyle w:val="1"/>
        <w:tabs>
          <w:tab w:val="center" w:pos="6804"/>
          <w:tab w:val="left" w:pos="8164"/>
        </w:tabs>
        <w:rPr>
          <w:rtl/>
          <w:lang w:eastAsia="en-US"/>
        </w:rPr>
      </w:pPr>
    </w:p>
    <w:p w:rsidR="0026356E" w:rsidRDefault="0026356E" w:rsidP="0026356E">
      <w:pPr>
        <w:rPr>
          <w:rtl/>
        </w:rPr>
      </w:pPr>
    </w:p>
    <w:p w:rsidR="0026356E" w:rsidRPr="0026356E" w:rsidRDefault="0026356E" w:rsidP="0026356E">
      <w:pPr>
        <w:widowControl/>
        <w:numPr>
          <w:ilvl w:val="0"/>
          <w:numId w:val="12"/>
        </w:numPr>
        <w:autoSpaceDE/>
        <w:autoSpaceDN/>
        <w:adjustRightInd/>
        <w:spacing w:before="0" w:line="360" w:lineRule="auto"/>
        <w:textAlignment w:val="auto"/>
        <w:rPr>
          <w:rFonts w:cs="David"/>
          <w:b/>
          <w:bCs/>
          <w:sz w:val="24"/>
          <w:szCs w:val="24"/>
          <w:u w:val="single"/>
        </w:rPr>
      </w:pPr>
      <w:r w:rsidRPr="0026356E">
        <w:rPr>
          <w:rFonts w:cs="David"/>
          <w:b/>
          <w:bCs/>
          <w:sz w:val="24"/>
          <w:szCs w:val="24"/>
          <w:u w:val="single"/>
          <w:rtl/>
        </w:rPr>
        <w:t>השפעת החוק המוצע על תקציב המדינה, תקנים במשרדי הממשלה וההיבט המינהלי:</w:t>
      </w:r>
    </w:p>
    <w:p w:rsidR="0026356E" w:rsidRDefault="0026356E" w:rsidP="0026356E">
      <w:pPr>
        <w:ind w:left="567"/>
        <w:rPr>
          <w:rtl/>
        </w:rPr>
      </w:pPr>
    </w:p>
    <w:p w:rsidR="0026356E" w:rsidRDefault="0026356E" w:rsidP="0026356E">
      <w:pPr>
        <w:pStyle w:val="1"/>
        <w:tabs>
          <w:tab w:val="center" w:pos="6804"/>
          <w:tab w:val="left" w:pos="8164"/>
        </w:tabs>
        <w:rPr>
          <w:rtl/>
          <w:lang w:eastAsia="en-US"/>
        </w:rPr>
      </w:pPr>
      <w:r>
        <w:rPr>
          <w:rtl/>
          <w:lang w:eastAsia="en-US"/>
        </w:rPr>
        <w:t>הוראות החוק אינן כרוכות בתוספת תקציבית.</w:t>
      </w:r>
    </w:p>
    <w:p w:rsidR="005129BB" w:rsidRDefault="005129BB" w:rsidP="0026356E">
      <w:pPr>
        <w:pStyle w:val="1"/>
        <w:tabs>
          <w:tab w:val="center" w:pos="6804"/>
          <w:tab w:val="left" w:pos="8164"/>
        </w:tabs>
        <w:rPr>
          <w:rtl/>
          <w:lang w:eastAsia="en-US"/>
        </w:rPr>
      </w:pPr>
    </w:p>
    <w:p w:rsidR="0026356E" w:rsidRPr="00F85C46" w:rsidRDefault="0026356E" w:rsidP="00F85C46">
      <w:pPr>
        <w:widowControl/>
        <w:numPr>
          <w:ilvl w:val="0"/>
          <w:numId w:val="12"/>
        </w:numPr>
        <w:autoSpaceDE/>
        <w:autoSpaceDN/>
        <w:adjustRightInd/>
        <w:spacing w:before="0" w:line="360" w:lineRule="auto"/>
        <w:textAlignment w:val="auto"/>
        <w:rPr>
          <w:rFonts w:cs="David"/>
          <w:b/>
          <w:bCs/>
          <w:sz w:val="24"/>
          <w:szCs w:val="24"/>
          <w:u w:val="single"/>
          <w:rtl/>
        </w:rPr>
      </w:pPr>
      <w:r w:rsidRPr="0026356E">
        <w:rPr>
          <w:rFonts w:cs="David"/>
          <w:b/>
          <w:bCs/>
          <w:sz w:val="24"/>
          <w:szCs w:val="24"/>
          <w:u w:val="single"/>
          <w:rtl/>
        </w:rPr>
        <w:t>להלן נוסח החוק המוצע</w:t>
      </w:r>
      <w:r w:rsidRPr="0026356E">
        <w:rPr>
          <w:rFonts w:cs="David" w:hint="cs"/>
          <w:b/>
          <w:bCs/>
          <w:sz w:val="24"/>
          <w:szCs w:val="24"/>
          <w:u w:val="single"/>
          <w:rtl/>
        </w:rPr>
        <w:t xml:space="preserve"> ודברי הסבר</w:t>
      </w:r>
      <w:r w:rsidRPr="0026356E">
        <w:rPr>
          <w:rFonts w:cs="David"/>
          <w:b/>
          <w:bCs/>
          <w:sz w:val="24"/>
          <w:szCs w:val="24"/>
          <w:u w:val="single"/>
          <w:rtl/>
        </w:rPr>
        <w:t>:</w:t>
      </w:r>
    </w:p>
    <w:p w:rsidR="00013281" w:rsidRDefault="00013281">
      <w:pPr>
        <w:pStyle w:val="HeadMitparsemetBaze"/>
        <w:keepNext w:val="0"/>
        <w:keepLines w:val="0"/>
        <w:pageBreakBefore w:val="0"/>
        <w:rPr>
          <w:rtl/>
        </w:rPr>
      </w:pPr>
      <w:r>
        <w:rPr>
          <w:rtl/>
        </w:rPr>
        <w:t xml:space="preserve">הצעת חוק </w:t>
      </w:r>
      <w:r>
        <w:rPr>
          <w:rFonts w:hint="cs"/>
          <w:rtl/>
        </w:rPr>
        <w:t xml:space="preserve">מטעם הממשלה: </w:t>
      </w:r>
    </w:p>
    <w:p w:rsidR="00013281" w:rsidRDefault="00013281" w:rsidP="002D325A">
      <w:pPr>
        <w:pStyle w:val="HeadHatzaotHok"/>
        <w:keepNext w:val="0"/>
        <w:keepLines w:val="0"/>
        <w:pBdr>
          <w:top w:val="single" w:sz="4" w:space="1" w:color="auto"/>
          <w:left w:val="single" w:sz="4" w:space="4" w:color="auto"/>
          <w:bottom w:val="single" w:sz="4" w:space="1" w:color="auto"/>
          <w:right w:val="single" w:sz="4" w:space="6" w:color="auto"/>
          <w:between w:val="single" w:sz="4" w:space="1" w:color="auto"/>
          <w:bar w:val="single" w:sz="4" w:color="auto"/>
        </w:pBdr>
        <w:rPr>
          <w:rtl/>
        </w:rPr>
      </w:pPr>
      <w:r>
        <w:rPr>
          <w:rtl/>
        </w:rPr>
        <w:t>הצעת חו</w:t>
      </w:r>
      <w:r>
        <w:rPr>
          <w:rFonts w:hint="cs"/>
          <w:rtl/>
        </w:rPr>
        <w:t xml:space="preserve">ק </w:t>
      </w:r>
      <w:r w:rsidR="0026356E">
        <w:rPr>
          <w:rFonts w:hint="cs"/>
          <w:rtl/>
        </w:rPr>
        <w:t>הכשרות המשפטית והאפוטרופסות (תיקון מס' 19) (תיקוני חקיקה)</w:t>
      </w:r>
    </w:p>
    <w:tbl>
      <w:tblPr>
        <w:bidiVisual/>
        <w:tblW w:w="9783" w:type="dxa"/>
        <w:tblInd w:w="-137" w:type="dxa"/>
        <w:tblLayout w:type="fixed"/>
        <w:tblCellMar>
          <w:top w:w="57" w:type="dxa"/>
          <w:left w:w="0" w:type="dxa"/>
          <w:bottom w:w="57" w:type="dxa"/>
          <w:right w:w="0" w:type="dxa"/>
        </w:tblCellMar>
        <w:tblLook w:val="01E0"/>
      </w:tblPr>
      <w:tblGrid>
        <w:gridCol w:w="2013"/>
        <w:gridCol w:w="680"/>
        <w:gridCol w:w="567"/>
        <w:gridCol w:w="567"/>
        <w:gridCol w:w="5956"/>
      </w:tblGrid>
      <w:tr w:rsidR="00A84B4E" w:rsidTr="00ED00D2">
        <w:trPr>
          <w:cantSplit/>
          <w:trHeight w:val="60"/>
        </w:trPr>
        <w:tc>
          <w:tcPr>
            <w:tcW w:w="2013" w:type="dxa"/>
            <w:tcBorders>
              <w:top w:val="single" w:sz="4" w:space="0" w:color="auto"/>
              <w:left w:val="single" w:sz="4" w:space="0" w:color="auto"/>
              <w:bottom w:val="single" w:sz="4" w:space="0" w:color="auto"/>
              <w:right w:val="single" w:sz="4" w:space="0" w:color="auto"/>
            </w:tcBorders>
          </w:tcPr>
          <w:p w:rsidR="00013281" w:rsidRDefault="00013281" w:rsidP="00CC4C82">
            <w:pPr>
              <w:pStyle w:val="TableSideHeading"/>
              <w:keepLines w:val="0"/>
            </w:pPr>
            <w:r>
              <w:rPr>
                <w:rFonts w:hint="cs"/>
                <w:rtl/>
              </w:rPr>
              <w:t>תיקון סעיף 32ג</w:t>
            </w:r>
          </w:p>
        </w:tc>
        <w:tc>
          <w:tcPr>
            <w:tcW w:w="680" w:type="dxa"/>
            <w:tcBorders>
              <w:top w:val="single" w:sz="4" w:space="0" w:color="auto"/>
              <w:left w:val="single" w:sz="4" w:space="0" w:color="auto"/>
              <w:bottom w:val="single" w:sz="4" w:space="0" w:color="auto"/>
              <w:right w:val="single" w:sz="4" w:space="0" w:color="auto"/>
            </w:tcBorders>
          </w:tcPr>
          <w:p w:rsidR="00013281" w:rsidRDefault="00013281" w:rsidP="00013281">
            <w:pPr>
              <w:pStyle w:val="TableText"/>
              <w:keepLines w:val="0"/>
              <w:numPr>
                <w:ilvl w:val="0"/>
                <w:numId w:val="2"/>
              </w:numPr>
              <w:tabs>
                <w:tab w:val="clear" w:pos="624"/>
              </w:tabs>
            </w:pPr>
          </w:p>
        </w:tc>
        <w:tc>
          <w:tcPr>
            <w:tcW w:w="7090" w:type="dxa"/>
            <w:gridSpan w:val="3"/>
            <w:tcBorders>
              <w:top w:val="single" w:sz="4" w:space="0" w:color="auto"/>
              <w:left w:val="single" w:sz="4" w:space="0" w:color="auto"/>
              <w:bottom w:val="single" w:sz="4" w:space="0" w:color="auto"/>
              <w:right w:val="single" w:sz="4" w:space="0" w:color="auto"/>
            </w:tcBorders>
          </w:tcPr>
          <w:p w:rsidR="00013281" w:rsidRPr="00C34DE2" w:rsidRDefault="00013281" w:rsidP="00287CD1">
            <w:pPr>
              <w:pStyle w:val="TableBlock"/>
              <w:keepLines w:val="0"/>
              <w:rPr>
                <w:rtl/>
              </w:rPr>
            </w:pPr>
            <w:r>
              <w:rPr>
                <w:rFonts w:hint="cs"/>
                <w:color w:val="auto"/>
                <w:rtl/>
              </w:rPr>
              <w:t>ב</w:t>
            </w:r>
            <w:r w:rsidR="00173230">
              <w:rPr>
                <w:rFonts w:hint="cs"/>
                <w:color w:val="auto"/>
                <w:rtl/>
              </w:rPr>
              <w:t>סעיף 32ג</w:t>
            </w:r>
            <w:r w:rsidR="0026356E">
              <w:rPr>
                <w:rFonts w:hint="cs"/>
                <w:color w:val="auto"/>
                <w:rtl/>
              </w:rPr>
              <w:t>(א)</w:t>
            </w:r>
            <w:r w:rsidR="00173230">
              <w:rPr>
                <w:rFonts w:hint="cs"/>
                <w:color w:val="auto"/>
                <w:rtl/>
              </w:rPr>
              <w:t xml:space="preserve"> ל</w:t>
            </w:r>
            <w:r w:rsidRPr="00230364">
              <w:rPr>
                <w:rFonts w:hint="cs"/>
                <w:color w:val="auto"/>
                <w:rtl/>
              </w:rPr>
              <w:t>חוק הכשרות המשפטית והאפוטרופסות, התשכ"ב</w:t>
            </w:r>
            <w:r w:rsidRPr="00230364">
              <w:rPr>
                <w:color w:val="auto"/>
                <w:rtl/>
              </w:rPr>
              <w:t>–</w:t>
            </w:r>
            <w:r w:rsidRPr="00230364">
              <w:rPr>
                <w:rFonts w:hint="cs"/>
                <w:color w:val="auto"/>
                <w:rtl/>
              </w:rPr>
              <w:t>1962</w:t>
            </w:r>
            <w:r w:rsidRPr="00230364">
              <w:rPr>
                <w:rStyle w:val="a6"/>
                <w:color w:val="auto"/>
                <w:rtl/>
              </w:rPr>
              <w:footnoteReference w:id="3"/>
            </w:r>
            <w:r w:rsidRPr="00230364">
              <w:rPr>
                <w:rFonts w:hint="cs"/>
                <w:color w:val="auto"/>
                <w:rtl/>
              </w:rPr>
              <w:t xml:space="preserve"> (להלן </w:t>
            </w:r>
            <w:r w:rsidRPr="00230364">
              <w:rPr>
                <w:color w:val="auto"/>
                <w:rtl/>
              </w:rPr>
              <w:t>–</w:t>
            </w:r>
            <w:r w:rsidRPr="00230364">
              <w:rPr>
                <w:rFonts w:hint="cs"/>
                <w:color w:val="auto"/>
                <w:rtl/>
              </w:rPr>
              <w:t xml:space="preserve"> החוק העיקרי)</w:t>
            </w:r>
            <w:r w:rsidR="00287CD1">
              <w:rPr>
                <w:rFonts w:hint="cs"/>
                <w:color w:val="auto"/>
                <w:rtl/>
              </w:rPr>
              <w:t xml:space="preserve"> - </w:t>
            </w:r>
          </w:p>
        </w:tc>
      </w:tr>
      <w:tr w:rsidR="00287CD1" w:rsidTr="00ED00D2">
        <w:trPr>
          <w:cantSplit/>
          <w:trHeight w:val="60"/>
        </w:trPr>
        <w:tc>
          <w:tcPr>
            <w:tcW w:w="2013" w:type="dxa"/>
            <w:tcBorders>
              <w:top w:val="single" w:sz="4" w:space="0" w:color="auto"/>
              <w:left w:val="single" w:sz="4" w:space="0" w:color="auto"/>
              <w:bottom w:val="single" w:sz="4" w:space="0" w:color="auto"/>
              <w:right w:val="single" w:sz="4" w:space="0" w:color="auto"/>
            </w:tcBorders>
          </w:tcPr>
          <w:p w:rsidR="00287CD1" w:rsidRDefault="00287CD1" w:rsidP="00CC4C82">
            <w:pPr>
              <w:pStyle w:val="TableSideHeading"/>
              <w:keepLines w:val="0"/>
              <w:rPr>
                <w:rtl/>
              </w:rPr>
            </w:pPr>
          </w:p>
        </w:tc>
        <w:tc>
          <w:tcPr>
            <w:tcW w:w="680" w:type="dxa"/>
            <w:tcBorders>
              <w:top w:val="single" w:sz="4" w:space="0" w:color="auto"/>
              <w:left w:val="single" w:sz="4" w:space="0" w:color="auto"/>
              <w:bottom w:val="single" w:sz="4" w:space="0" w:color="auto"/>
              <w:right w:val="single" w:sz="4" w:space="0" w:color="auto"/>
            </w:tcBorders>
          </w:tcPr>
          <w:p w:rsidR="00287CD1" w:rsidRDefault="00287CD1" w:rsidP="00287CD1">
            <w:pPr>
              <w:pStyle w:val="TableText"/>
            </w:pPr>
          </w:p>
        </w:tc>
        <w:tc>
          <w:tcPr>
            <w:tcW w:w="7090" w:type="dxa"/>
            <w:gridSpan w:val="3"/>
            <w:tcBorders>
              <w:top w:val="single" w:sz="4" w:space="0" w:color="auto"/>
              <w:left w:val="single" w:sz="4" w:space="0" w:color="auto"/>
              <w:bottom w:val="single" w:sz="4" w:space="0" w:color="auto"/>
              <w:right w:val="single" w:sz="4" w:space="0" w:color="auto"/>
            </w:tcBorders>
          </w:tcPr>
          <w:p w:rsidR="005129BB" w:rsidRPr="008E0ED6" w:rsidRDefault="00287CD1" w:rsidP="008E0ED6">
            <w:pPr>
              <w:pStyle w:val="TableBlock"/>
              <w:keepLines w:val="0"/>
              <w:numPr>
                <w:ilvl w:val="1"/>
                <w:numId w:val="2"/>
              </w:numPr>
              <w:rPr>
                <w:color w:val="auto"/>
                <w:rtl/>
              </w:rPr>
            </w:pPr>
            <w:r w:rsidRPr="00287CD1">
              <w:rPr>
                <w:rFonts w:hint="cs"/>
                <w:color w:val="auto"/>
                <w:rtl/>
              </w:rPr>
              <w:t>אחרי המילים "יחיד שמתקיימים לגביו" יבוא "בעת החתימה על ייפוי הכוח, ובעת כניסתו לתוקף"</w:t>
            </w:r>
            <w:r w:rsidR="00CD0066">
              <w:rPr>
                <w:rFonts w:hint="cs"/>
                <w:color w:val="auto"/>
                <w:rtl/>
              </w:rPr>
              <w:t>.</w:t>
            </w:r>
          </w:p>
        </w:tc>
      </w:tr>
      <w:tr w:rsidR="008E0ED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8E0ED6" w:rsidRDefault="008E0ED6" w:rsidP="00CC4C82">
            <w:pPr>
              <w:pStyle w:val="TableSideHeading"/>
              <w:keepLines w:val="0"/>
              <w:rPr>
                <w:rtl/>
              </w:rPr>
            </w:pPr>
          </w:p>
        </w:tc>
        <w:tc>
          <w:tcPr>
            <w:tcW w:w="680" w:type="dxa"/>
            <w:tcBorders>
              <w:top w:val="single" w:sz="4" w:space="0" w:color="auto"/>
              <w:left w:val="single" w:sz="4" w:space="0" w:color="auto"/>
              <w:bottom w:val="single" w:sz="4" w:space="0" w:color="auto"/>
              <w:right w:val="single" w:sz="4" w:space="0" w:color="auto"/>
            </w:tcBorders>
          </w:tcPr>
          <w:p w:rsidR="008E0ED6" w:rsidRDefault="008E0ED6" w:rsidP="008E0ED6">
            <w:pPr>
              <w:pStyle w:val="TableText"/>
            </w:pPr>
          </w:p>
        </w:tc>
        <w:tc>
          <w:tcPr>
            <w:tcW w:w="7090" w:type="dxa"/>
            <w:gridSpan w:val="3"/>
            <w:tcBorders>
              <w:top w:val="single" w:sz="4" w:space="0" w:color="auto"/>
              <w:left w:val="single" w:sz="4" w:space="0" w:color="auto"/>
              <w:bottom w:val="single" w:sz="4" w:space="0" w:color="auto"/>
              <w:right w:val="single" w:sz="4" w:space="0" w:color="auto"/>
            </w:tcBorders>
          </w:tcPr>
          <w:p w:rsidR="008E0ED6" w:rsidRPr="00287CD1" w:rsidRDefault="008E0ED6" w:rsidP="0026356E">
            <w:pPr>
              <w:pStyle w:val="TableBlock"/>
              <w:keepLines w:val="0"/>
              <w:numPr>
                <w:ilvl w:val="1"/>
                <w:numId w:val="2"/>
              </w:numPr>
              <w:rPr>
                <w:color w:val="auto"/>
                <w:rtl/>
              </w:rPr>
            </w:pPr>
            <w:r>
              <w:rPr>
                <w:rFonts w:hint="cs"/>
                <w:rtl/>
              </w:rPr>
              <w:t>בסעיף קטן (3), המילים "בעת החתימה על ייפוי הכוח ובעת כניסתו לתוקף" יימחקו.</w:t>
            </w:r>
          </w:p>
        </w:tc>
      </w:tr>
      <w:tr w:rsidR="00736C5A" w:rsidTr="00513FD2">
        <w:trPr>
          <w:cantSplit/>
          <w:trHeight w:val="60"/>
        </w:trPr>
        <w:tc>
          <w:tcPr>
            <w:tcW w:w="2013" w:type="dxa"/>
            <w:tcBorders>
              <w:top w:val="single" w:sz="4" w:space="0" w:color="auto"/>
              <w:left w:val="single" w:sz="4" w:space="0" w:color="auto"/>
              <w:bottom w:val="single" w:sz="4" w:space="0" w:color="auto"/>
              <w:right w:val="single" w:sz="4" w:space="0" w:color="auto"/>
            </w:tcBorders>
          </w:tcPr>
          <w:p w:rsidR="00173230" w:rsidRDefault="00173230" w:rsidP="00CC4C82">
            <w:pPr>
              <w:pStyle w:val="TableSideHeading"/>
              <w:keepLines w:val="0"/>
            </w:pPr>
            <w:r>
              <w:rPr>
                <w:rFonts w:hint="cs"/>
                <w:rtl/>
              </w:rPr>
              <w:t>תיקון סעיף 32ו</w:t>
            </w:r>
          </w:p>
        </w:tc>
        <w:tc>
          <w:tcPr>
            <w:tcW w:w="680" w:type="dxa"/>
            <w:tcBorders>
              <w:top w:val="single" w:sz="4" w:space="0" w:color="auto"/>
              <w:left w:val="single" w:sz="4" w:space="0" w:color="auto"/>
              <w:bottom w:val="single" w:sz="4" w:space="0" w:color="auto"/>
              <w:right w:val="single" w:sz="4" w:space="0" w:color="auto"/>
            </w:tcBorders>
          </w:tcPr>
          <w:p w:rsidR="00173230" w:rsidRDefault="00173230" w:rsidP="00173230">
            <w:pPr>
              <w:pStyle w:val="TableText"/>
              <w:keepLines w:val="0"/>
              <w:numPr>
                <w:ilvl w:val="0"/>
                <w:numId w:val="2"/>
              </w:numPr>
              <w:tabs>
                <w:tab w:val="clear" w:pos="624"/>
              </w:tabs>
            </w:pPr>
            <w:r>
              <w:rPr>
                <w:rFonts w:hint="cs"/>
                <w:rtl/>
              </w:rPr>
              <w:t>ב</w:t>
            </w:r>
          </w:p>
        </w:tc>
        <w:tc>
          <w:tcPr>
            <w:tcW w:w="7090" w:type="dxa"/>
            <w:gridSpan w:val="3"/>
            <w:tcBorders>
              <w:top w:val="single" w:sz="4" w:space="0" w:color="auto"/>
              <w:left w:val="single" w:sz="4" w:space="0" w:color="auto"/>
              <w:bottom w:val="single" w:sz="4" w:space="0" w:color="auto"/>
              <w:right w:val="single" w:sz="4" w:space="0" w:color="auto"/>
            </w:tcBorders>
          </w:tcPr>
          <w:p w:rsidR="00173230" w:rsidRPr="00C34DE2" w:rsidRDefault="00173230" w:rsidP="00287CD1">
            <w:pPr>
              <w:pStyle w:val="TableBlock"/>
              <w:keepLines w:val="0"/>
            </w:pPr>
            <w:r>
              <w:rPr>
                <w:rFonts w:hint="cs"/>
                <w:rtl/>
              </w:rPr>
              <w:t>בסעיף 32ו</w:t>
            </w:r>
            <w:r w:rsidR="00287CD1">
              <w:rPr>
                <w:rFonts w:hint="cs"/>
                <w:rtl/>
              </w:rPr>
              <w:t xml:space="preserve"> לחוק העיקרי - </w:t>
            </w:r>
          </w:p>
        </w:tc>
      </w:tr>
      <w:tr w:rsidR="00E24E87" w:rsidTr="00513FD2">
        <w:trPr>
          <w:cantSplit/>
          <w:trHeight w:val="60"/>
        </w:trPr>
        <w:tc>
          <w:tcPr>
            <w:tcW w:w="2013" w:type="dxa"/>
            <w:tcBorders>
              <w:top w:val="single" w:sz="4" w:space="0" w:color="auto"/>
              <w:left w:val="single" w:sz="4" w:space="0" w:color="auto"/>
              <w:bottom w:val="single" w:sz="4" w:space="0" w:color="auto"/>
              <w:right w:val="single" w:sz="4" w:space="0" w:color="auto"/>
            </w:tcBorders>
          </w:tcPr>
          <w:p w:rsidR="00E24E87" w:rsidRDefault="00E24E87">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E24E87" w:rsidRDefault="00E24E87">
            <w:pPr>
              <w:pStyle w:val="TableText"/>
            </w:pPr>
          </w:p>
        </w:tc>
        <w:tc>
          <w:tcPr>
            <w:tcW w:w="7090" w:type="dxa"/>
            <w:gridSpan w:val="3"/>
            <w:tcBorders>
              <w:top w:val="single" w:sz="4" w:space="0" w:color="auto"/>
              <w:left w:val="single" w:sz="4" w:space="0" w:color="auto"/>
              <w:bottom w:val="single" w:sz="4" w:space="0" w:color="auto"/>
              <w:right w:val="single" w:sz="4" w:space="0" w:color="auto"/>
            </w:tcBorders>
          </w:tcPr>
          <w:p w:rsidR="00E24E87" w:rsidRDefault="00E24E87" w:rsidP="008E0ED6">
            <w:pPr>
              <w:pStyle w:val="TableText"/>
              <w:numPr>
                <w:ilvl w:val="1"/>
                <w:numId w:val="2"/>
              </w:numPr>
              <w:jc w:val="both"/>
              <w:rPr>
                <w:rtl/>
              </w:rPr>
            </w:pPr>
            <w:r>
              <w:rPr>
                <w:rFonts w:hint="cs"/>
                <w:rtl/>
              </w:rPr>
              <w:t>בסעיף קטן (ג), במקום המילים "מיופה כוח לא יהיה מוסמך לבצע בשם הממנה פעולה מהפעולות המנויות להלן, אלא אם כן הוסמך לכך במפורש בייפוי הכוח" יבוא - "מיופה כוח יהיה מוסמך לבצע בשם הממנה פעולה מהפעולות המנויות להלן, רק אם הוסמך לכך במפורש בייפוי הכוח".</w:t>
            </w:r>
          </w:p>
        </w:tc>
      </w:tr>
      <w:tr w:rsidR="008E0ED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8E0ED6" w:rsidRDefault="008E0ED6">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8E0ED6" w:rsidRDefault="008E0ED6" w:rsidP="008E0ED6">
            <w:pPr>
              <w:pStyle w:val="TableText"/>
            </w:pPr>
          </w:p>
        </w:tc>
        <w:tc>
          <w:tcPr>
            <w:tcW w:w="7090" w:type="dxa"/>
            <w:gridSpan w:val="3"/>
            <w:tcBorders>
              <w:top w:val="single" w:sz="4" w:space="0" w:color="auto"/>
              <w:left w:val="single" w:sz="4" w:space="0" w:color="auto"/>
              <w:bottom w:val="single" w:sz="4" w:space="0" w:color="auto"/>
              <w:right w:val="single" w:sz="4" w:space="0" w:color="auto"/>
            </w:tcBorders>
          </w:tcPr>
          <w:p w:rsidR="008E0ED6" w:rsidRDefault="008E0ED6" w:rsidP="008E0ED6">
            <w:pPr>
              <w:pStyle w:val="TableText"/>
              <w:numPr>
                <w:ilvl w:val="1"/>
                <w:numId w:val="2"/>
              </w:numPr>
              <w:jc w:val="both"/>
              <w:rPr>
                <w:rtl/>
              </w:rPr>
            </w:pPr>
            <w:r>
              <w:rPr>
                <w:rFonts w:hint="cs"/>
                <w:rtl/>
              </w:rPr>
              <w:t xml:space="preserve">בסעיף קטן (ג)(1)(א) במקום המילה "שהסכום" יבוא </w:t>
            </w:r>
            <w:r>
              <w:rPr>
                <w:rtl/>
              </w:rPr>
              <w:t>–</w:t>
            </w:r>
            <w:r>
              <w:rPr>
                <w:rFonts w:hint="cs"/>
                <w:rtl/>
              </w:rPr>
              <w:t xml:space="preserve"> "שסכום </w:t>
            </w:r>
            <w:r w:rsidRPr="00003047">
              <w:rPr>
                <w:rFonts w:hint="cs"/>
                <w:rtl/>
              </w:rPr>
              <w:t>התרומותלכללהגורמיםיחד</w:t>
            </w:r>
            <w:r>
              <w:rPr>
                <w:rFonts w:hint="cs"/>
                <w:rtl/>
              </w:rPr>
              <w:t>"</w:t>
            </w:r>
          </w:p>
        </w:tc>
      </w:tr>
      <w:tr w:rsidR="008E0ED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8E0ED6" w:rsidRDefault="008E0ED6">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8E0ED6" w:rsidRDefault="008E0ED6" w:rsidP="008E0ED6">
            <w:pPr>
              <w:pStyle w:val="TableText"/>
            </w:pPr>
          </w:p>
        </w:tc>
        <w:tc>
          <w:tcPr>
            <w:tcW w:w="7090" w:type="dxa"/>
            <w:gridSpan w:val="3"/>
            <w:tcBorders>
              <w:top w:val="single" w:sz="4" w:space="0" w:color="auto"/>
              <w:left w:val="single" w:sz="4" w:space="0" w:color="auto"/>
              <w:bottom w:val="single" w:sz="4" w:space="0" w:color="auto"/>
              <w:right w:val="single" w:sz="4" w:space="0" w:color="auto"/>
            </w:tcBorders>
          </w:tcPr>
          <w:p w:rsidR="008E0ED6" w:rsidRDefault="008E0ED6" w:rsidP="008E0ED6">
            <w:pPr>
              <w:pStyle w:val="TableText"/>
              <w:numPr>
                <w:ilvl w:val="1"/>
                <w:numId w:val="2"/>
              </w:numPr>
              <w:jc w:val="both"/>
              <w:rPr>
                <w:rtl/>
              </w:rPr>
            </w:pPr>
            <w:r>
              <w:rPr>
                <w:rFonts w:hint="cs"/>
                <w:rtl/>
              </w:rPr>
              <w:t xml:space="preserve">בסעיף קטן (ג)(1)(ב) במקום המילה "שהסכום" יבוא </w:t>
            </w:r>
            <w:r>
              <w:rPr>
                <w:rtl/>
              </w:rPr>
              <w:t>–</w:t>
            </w:r>
            <w:r>
              <w:rPr>
                <w:rFonts w:hint="cs"/>
                <w:rtl/>
              </w:rPr>
              <w:t xml:space="preserve"> "שסכום </w:t>
            </w:r>
            <w:r w:rsidRPr="008A264F">
              <w:rPr>
                <w:rFonts w:hint="cs"/>
                <w:rtl/>
              </w:rPr>
              <w:t>ה</w:t>
            </w:r>
            <w:r>
              <w:rPr>
                <w:rFonts w:hint="cs"/>
                <w:rtl/>
              </w:rPr>
              <w:t>מתנות</w:t>
            </w:r>
            <w:r w:rsidRPr="008A264F">
              <w:rPr>
                <w:rFonts w:hint="cs"/>
                <w:rtl/>
              </w:rPr>
              <w:t xml:space="preserve"> לכלל הגורמים יחד</w:t>
            </w:r>
            <w:r>
              <w:rPr>
                <w:rFonts w:hint="cs"/>
                <w:rtl/>
              </w:rPr>
              <w:t>"</w:t>
            </w:r>
          </w:p>
        </w:tc>
      </w:tr>
      <w:tr w:rsidR="008E0ED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8E0ED6" w:rsidRDefault="008E0ED6">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8E0ED6" w:rsidRDefault="008E0ED6" w:rsidP="008E0ED6">
            <w:pPr>
              <w:pStyle w:val="TableText"/>
            </w:pPr>
          </w:p>
        </w:tc>
        <w:tc>
          <w:tcPr>
            <w:tcW w:w="7090" w:type="dxa"/>
            <w:gridSpan w:val="3"/>
            <w:tcBorders>
              <w:top w:val="single" w:sz="4" w:space="0" w:color="auto"/>
              <w:left w:val="single" w:sz="4" w:space="0" w:color="auto"/>
              <w:bottom w:val="single" w:sz="4" w:space="0" w:color="auto"/>
              <w:right w:val="single" w:sz="4" w:space="0" w:color="auto"/>
            </w:tcBorders>
          </w:tcPr>
          <w:p w:rsidR="008E0ED6" w:rsidRDefault="008E0ED6" w:rsidP="008E0ED6">
            <w:pPr>
              <w:pStyle w:val="TableText"/>
              <w:numPr>
                <w:ilvl w:val="1"/>
                <w:numId w:val="2"/>
              </w:numPr>
              <w:jc w:val="both"/>
              <w:rPr>
                <w:rtl/>
              </w:rPr>
            </w:pPr>
            <w:r>
              <w:rPr>
                <w:rFonts w:hint="cs"/>
                <w:rtl/>
              </w:rPr>
              <w:t xml:space="preserve">בסעיף קטן (ג)(1)(ג) במקום המילה "שהסכום" יבוא </w:t>
            </w:r>
            <w:r>
              <w:rPr>
                <w:rtl/>
              </w:rPr>
              <w:t>–</w:t>
            </w:r>
            <w:r>
              <w:rPr>
                <w:rFonts w:hint="cs"/>
                <w:rtl/>
              </w:rPr>
              <w:t xml:space="preserve"> "שסכום הלוואות</w:t>
            </w:r>
            <w:r w:rsidRPr="008A264F">
              <w:rPr>
                <w:rFonts w:hint="cs"/>
                <w:rtl/>
              </w:rPr>
              <w:t xml:space="preserve"> לכלל הגורמים יחד</w:t>
            </w:r>
            <w:r>
              <w:rPr>
                <w:rFonts w:hint="cs"/>
                <w:rtl/>
              </w:rPr>
              <w:t>"</w:t>
            </w:r>
          </w:p>
        </w:tc>
      </w:tr>
      <w:tr w:rsidR="008E0ED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8E0ED6" w:rsidRDefault="008E0ED6">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8E0ED6" w:rsidRDefault="008E0ED6" w:rsidP="008E0ED6">
            <w:pPr>
              <w:pStyle w:val="TableText"/>
            </w:pPr>
          </w:p>
        </w:tc>
        <w:tc>
          <w:tcPr>
            <w:tcW w:w="7090" w:type="dxa"/>
            <w:gridSpan w:val="3"/>
            <w:tcBorders>
              <w:top w:val="single" w:sz="4" w:space="0" w:color="auto"/>
              <w:left w:val="single" w:sz="4" w:space="0" w:color="auto"/>
              <w:bottom w:val="single" w:sz="4" w:space="0" w:color="auto"/>
              <w:right w:val="single" w:sz="4" w:space="0" w:color="auto"/>
            </w:tcBorders>
          </w:tcPr>
          <w:p w:rsidR="008E0ED6" w:rsidRDefault="008E0ED6" w:rsidP="008E0ED6">
            <w:pPr>
              <w:pStyle w:val="TableText"/>
              <w:numPr>
                <w:ilvl w:val="1"/>
                <w:numId w:val="2"/>
              </w:numPr>
              <w:jc w:val="both"/>
              <w:rPr>
                <w:rtl/>
              </w:rPr>
            </w:pPr>
            <w:r>
              <w:rPr>
                <w:rFonts w:hint="cs"/>
                <w:rtl/>
              </w:rPr>
              <w:t>בסעיף קטן (ג)(1)(ה) המילה "למעט" תמחק, ובמקומה יבוא "ואולם בעניינים אלה לא תידרש הסמכה מפורשת בייפוי הכוח".</w:t>
            </w:r>
          </w:p>
        </w:tc>
      </w:tr>
      <w:tr w:rsidR="008E0ED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8E0ED6" w:rsidRDefault="008E0ED6">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8E0ED6" w:rsidRDefault="008E0ED6" w:rsidP="008E0ED6">
            <w:pPr>
              <w:pStyle w:val="TableText"/>
            </w:pPr>
          </w:p>
        </w:tc>
        <w:tc>
          <w:tcPr>
            <w:tcW w:w="7090" w:type="dxa"/>
            <w:gridSpan w:val="3"/>
            <w:tcBorders>
              <w:top w:val="single" w:sz="4" w:space="0" w:color="auto"/>
              <w:left w:val="single" w:sz="4" w:space="0" w:color="auto"/>
              <w:bottom w:val="single" w:sz="4" w:space="0" w:color="auto"/>
              <w:right w:val="single" w:sz="4" w:space="0" w:color="auto"/>
            </w:tcBorders>
          </w:tcPr>
          <w:p w:rsidR="008E0ED6" w:rsidRDefault="008E0ED6" w:rsidP="008E0ED6">
            <w:pPr>
              <w:pStyle w:val="TableText"/>
              <w:numPr>
                <w:ilvl w:val="1"/>
                <w:numId w:val="2"/>
              </w:numPr>
              <w:jc w:val="both"/>
              <w:rPr>
                <w:rtl/>
              </w:rPr>
            </w:pPr>
            <w:r>
              <w:rPr>
                <w:rFonts w:hint="cs"/>
                <w:rtl/>
              </w:rPr>
              <w:t>בסעיף קטן (ד) במקום המילים "לא יהיה מוסמך לבצע בשם הממנה פעולה משפטית מהפעולות המנויות להלן, אלא אם כן נתן לכך בית המשפט אישור מראש" יבוא - "יהיה מוסמך לבצע בשם הממנה פעולה משפטית מהפעולות המנויות להלן, רק אם נתן לכך בית המשפט אישור מראש".</w:t>
            </w:r>
          </w:p>
        </w:tc>
      </w:tr>
      <w:tr w:rsidR="008E0ED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8E0ED6" w:rsidRDefault="008E0ED6">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8E0ED6" w:rsidRDefault="008E0ED6" w:rsidP="008E0ED6">
            <w:pPr>
              <w:pStyle w:val="TableText"/>
            </w:pPr>
          </w:p>
        </w:tc>
        <w:tc>
          <w:tcPr>
            <w:tcW w:w="7090" w:type="dxa"/>
            <w:gridSpan w:val="3"/>
            <w:tcBorders>
              <w:top w:val="single" w:sz="4" w:space="0" w:color="auto"/>
              <w:left w:val="single" w:sz="4" w:space="0" w:color="auto"/>
              <w:bottom w:val="single" w:sz="4" w:space="0" w:color="auto"/>
              <w:right w:val="single" w:sz="4" w:space="0" w:color="auto"/>
            </w:tcBorders>
          </w:tcPr>
          <w:p w:rsidR="008E0ED6" w:rsidRDefault="008E0ED6" w:rsidP="00E24E87">
            <w:pPr>
              <w:pStyle w:val="TableText"/>
              <w:numPr>
                <w:ilvl w:val="1"/>
                <w:numId w:val="2"/>
              </w:numPr>
              <w:jc w:val="both"/>
              <w:rPr>
                <w:rtl/>
              </w:rPr>
            </w:pPr>
            <w:r>
              <w:rPr>
                <w:rFonts w:hint="cs"/>
                <w:rtl/>
              </w:rPr>
              <w:t>בסעיף קטן (ז) המילים "בן-זוגו" יימחקו.</w:t>
            </w:r>
          </w:p>
        </w:tc>
      </w:tr>
      <w:tr w:rsidR="00CD0066" w:rsidTr="005129BB">
        <w:trPr>
          <w:cantSplit/>
          <w:trHeight w:val="60"/>
        </w:trPr>
        <w:tc>
          <w:tcPr>
            <w:tcW w:w="2013" w:type="dxa"/>
            <w:tcBorders>
              <w:top w:val="single" w:sz="4" w:space="0" w:color="auto"/>
              <w:left w:val="single" w:sz="4" w:space="0" w:color="auto"/>
              <w:bottom w:val="single" w:sz="4" w:space="0" w:color="auto"/>
              <w:right w:val="single" w:sz="4" w:space="0" w:color="auto"/>
            </w:tcBorders>
          </w:tcPr>
          <w:p w:rsidR="00CD0066" w:rsidRDefault="00CD0066" w:rsidP="00CC4C82">
            <w:pPr>
              <w:pStyle w:val="TableSideHeading"/>
              <w:keepLines w:val="0"/>
              <w:rPr>
                <w:rtl/>
              </w:rPr>
            </w:pPr>
            <w:r>
              <w:rPr>
                <w:rFonts w:hint="cs"/>
                <w:rtl/>
              </w:rPr>
              <w:t>תיקון סעיף 32יג</w:t>
            </w:r>
          </w:p>
        </w:tc>
        <w:tc>
          <w:tcPr>
            <w:tcW w:w="680" w:type="dxa"/>
            <w:tcBorders>
              <w:top w:val="single" w:sz="4" w:space="0" w:color="auto"/>
              <w:left w:val="single" w:sz="4" w:space="0" w:color="auto"/>
              <w:bottom w:val="single" w:sz="4" w:space="0" w:color="auto"/>
              <w:right w:val="single" w:sz="4" w:space="0" w:color="auto"/>
            </w:tcBorders>
          </w:tcPr>
          <w:p w:rsidR="00CD0066" w:rsidRDefault="00CD0066" w:rsidP="00904893">
            <w:pPr>
              <w:pStyle w:val="TableText"/>
              <w:rPr>
                <w:rtl/>
              </w:rPr>
            </w:pPr>
            <w:r>
              <w:rPr>
                <w:rFonts w:hint="cs"/>
                <w:rtl/>
              </w:rPr>
              <w:t>3.</w:t>
            </w:r>
          </w:p>
        </w:tc>
        <w:tc>
          <w:tcPr>
            <w:tcW w:w="7090" w:type="dxa"/>
            <w:gridSpan w:val="3"/>
            <w:tcBorders>
              <w:top w:val="single" w:sz="4" w:space="0" w:color="auto"/>
              <w:left w:val="single" w:sz="4" w:space="0" w:color="auto"/>
              <w:bottom w:val="single" w:sz="4" w:space="0" w:color="auto"/>
              <w:right w:val="single" w:sz="4" w:space="0" w:color="auto"/>
            </w:tcBorders>
          </w:tcPr>
          <w:p w:rsidR="00CD0066" w:rsidRDefault="00CD0066" w:rsidP="0068234D">
            <w:pPr>
              <w:pStyle w:val="TableBlock"/>
              <w:keepLines w:val="0"/>
              <w:rPr>
                <w:color w:val="auto"/>
                <w:rtl/>
              </w:rPr>
            </w:pPr>
            <w:r>
              <w:rPr>
                <w:rFonts w:hint="cs"/>
                <w:color w:val="auto"/>
                <w:rtl/>
              </w:rPr>
              <w:t>בסעיף 32יג(ג)</w:t>
            </w:r>
            <w:r w:rsidR="0068234D">
              <w:rPr>
                <w:rFonts w:hint="cs"/>
                <w:color w:val="auto"/>
                <w:rtl/>
              </w:rPr>
              <w:t>,</w:t>
            </w:r>
            <w:r>
              <w:rPr>
                <w:rFonts w:hint="cs"/>
                <w:color w:val="auto"/>
                <w:rtl/>
              </w:rPr>
              <w:t xml:space="preserve"> ב</w:t>
            </w:r>
            <w:r w:rsidR="0068234D">
              <w:rPr>
                <w:rFonts w:hint="cs"/>
                <w:color w:val="auto"/>
                <w:rtl/>
              </w:rPr>
              <w:t xml:space="preserve">כל </w:t>
            </w:r>
            <w:r>
              <w:rPr>
                <w:rFonts w:hint="cs"/>
                <w:color w:val="auto"/>
                <w:rtl/>
              </w:rPr>
              <w:t>מקום</w:t>
            </w:r>
            <w:r w:rsidR="0068234D">
              <w:rPr>
                <w:rFonts w:hint="cs"/>
                <w:color w:val="auto"/>
                <w:rtl/>
              </w:rPr>
              <w:t xml:space="preserve">, במקום </w:t>
            </w:r>
            <w:r>
              <w:rPr>
                <w:rFonts w:hint="cs"/>
                <w:color w:val="auto"/>
                <w:rtl/>
              </w:rPr>
              <w:t>"בריאותיים" יבוא "רפואיים".</w:t>
            </w:r>
          </w:p>
        </w:tc>
      </w:tr>
      <w:tr w:rsidR="00684B06" w:rsidTr="000517A7">
        <w:trPr>
          <w:cantSplit/>
          <w:trHeight w:val="60"/>
        </w:trPr>
        <w:tc>
          <w:tcPr>
            <w:tcW w:w="2013" w:type="dxa"/>
            <w:tcBorders>
              <w:top w:val="single" w:sz="4" w:space="0" w:color="auto"/>
              <w:left w:val="single" w:sz="4" w:space="0" w:color="auto"/>
              <w:bottom w:val="single" w:sz="4" w:space="0" w:color="auto"/>
              <w:right w:val="single" w:sz="4" w:space="0" w:color="auto"/>
            </w:tcBorders>
          </w:tcPr>
          <w:p w:rsidR="00904893" w:rsidRDefault="00904893" w:rsidP="00CC4C82">
            <w:pPr>
              <w:pStyle w:val="TableSideHeading"/>
              <w:keepLines w:val="0"/>
            </w:pPr>
            <w:r>
              <w:rPr>
                <w:rFonts w:hint="cs"/>
                <w:rtl/>
              </w:rPr>
              <w:t>תיקון סעיף 32יד</w:t>
            </w:r>
          </w:p>
        </w:tc>
        <w:tc>
          <w:tcPr>
            <w:tcW w:w="680" w:type="dxa"/>
            <w:tcBorders>
              <w:top w:val="single" w:sz="4" w:space="0" w:color="auto"/>
              <w:left w:val="single" w:sz="4" w:space="0" w:color="auto"/>
              <w:bottom w:val="single" w:sz="4" w:space="0" w:color="auto"/>
              <w:right w:val="single" w:sz="4" w:space="0" w:color="auto"/>
            </w:tcBorders>
          </w:tcPr>
          <w:p w:rsidR="00904893" w:rsidRDefault="00DD1212" w:rsidP="00904893">
            <w:pPr>
              <w:pStyle w:val="TableText"/>
            </w:pPr>
            <w:r>
              <w:rPr>
                <w:rFonts w:hint="cs"/>
                <w:rtl/>
              </w:rPr>
              <w:t>4</w:t>
            </w:r>
            <w:r w:rsidR="002F1679">
              <w:rPr>
                <w:rFonts w:hint="cs"/>
                <w:rtl/>
              </w:rPr>
              <w:t>.</w:t>
            </w:r>
          </w:p>
        </w:tc>
        <w:tc>
          <w:tcPr>
            <w:tcW w:w="7090" w:type="dxa"/>
            <w:gridSpan w:val="3"/>
            <w:tcBorders>
              <w:top w:val="single" w:sz="4" w:space="0" w:color="auto"/>
              <w:left w:val="single" w:sz="4" w:space="0" w:color="auto"/>
              <w:bottom w:val="single" w:sz="4" w:space="0" w:color="auto"/>
              <w:right w:val="single" w:sz="4" w:space="0" w:color="auto"/>
            </w:tcBorders>
          </w:tcPr>
          <w:p w:rsidR="00904893" w:rsidRDefault="00904893" w:rsidP="0068234D">
            <w:pPr>
              <w:pStyle w:val="TableBlock"/>
              <w:keepLines w:val="0"/>
              <w:rPr>
                <w:rtl/>
              </w:rPr>
            </w:pPr>
            <w:r>
              <w:rPr>
                <w:rFonts w:hint="cs"/>
                <w:color w:val="auto"/>
                <w:rtl/>
              </w:rPr>
              <w:t>בסעיף 32יד(ג)(4) המילים "מצבים שבהם לא תידרש הסמ</w:t>
            </w:r>
            <w:r w:rsidR="0068234D">
              <w:rPr>
                <w:rFonts w:hint="cs"/>
                <w:color w:val="auto"/>
                <w:rtl/>
              </w:rPr>
              <w:t>כ</w:t>
            </w:r>
            <w:r>
              <w:rPr>
                <w:rFonts w:hint="cs"/>
                <w:color w:val="auto"/>
                <w:rtl/>
              </w:rPr>
              <w:t>ה מפורשת"</w:t>
            </w:r>
            <w:r w:rsidR="0068234D">
              <w:rPr>
                <w:rFonts w:hint="cs"/>
                <w:color w:val="auto"/>
                <w:rtl/>
              </w:rPr>
              <w:t>- יימחקו</w:t>
            </w:r>
            <w:r>
              <w:rPr>
                <w:rFonts w:hint="cs"/>
                <w:color w:val="auto"/>
                <w:rtl/>
              </w:rPr>
              <w:t>.</w:t>
            </w:r>
          </w:p>
        </w:tc>
      </w:tr>
      <w:tr w:rsidR="00736C5A" w:rsidTr="000517A7">
        <w:trPr>
          <w:cantSplit/>
          <w:trHeight w:val="60"/>
        </w:trPr>
        <w:tc>
          <w:tcPr>
            <w:tcW w:w="2013" w:type="dxa"/>
            <w:tcBorders>
              <w:top w:val="single" w:sz="4" w:space="0" w:color="auto"/>
              <w:left w:val="single" w:sz="4" w:space="0" w:color="auto"/>
              <w:bottom w:val="single" w:sz="4" w:space="0" w:color="auto"/>
              <w:right w:val="single" w:sz="4" w:space="0" w:color="auto"/>
            </w:tcBorders>
          </w:tcPr>
          <w:p w:rsidR="00904893" w:rsidRPr="002424A4" w:rsidRDefault="00904893" w:rsidP="00CC4C82">
            <w:pPr>
              <w:pStyle w:val="TableSideHeading"/>
              <w:keepLines w:val="0"/>
            </w:pPr>
            <w:r w:rsidRPr="002424A4">
              <w:rPr>
                <w:rFonts w:hint="cs"/>
                <w:rtl/>
              </w:rPr>
              <w:t>תיקון סעיף 32טו</w:t>
            </w:r>
          </w:p>
        </w:tc>
        <w:tc>
          <w:tcPr>
            <w:tcW w:w="680" w:type="dxa"/>
            <w:tcBorders>
              <w:top w:val="single" w:sz="4" w:space="0" w:color="auto"/>
              <w:left w:val="single" w:sz="4" w:space="0" w:color="auto"/>
              <w:bottom w:val="single" w:sz="4" w:space="0" w:color="auto"/>
              <w:right w:val="single" w:sz="4" w:space="0" w:color="auto"/>
            </w:tcBorders>
          </w:tcPr>
          <w:p w:rsidR="00904893" w:rsidRPr="002424A4" w:rsidRDefault="001C06A0" w:rsidP="00904893">
            <w:pPr>
              <w:pStyle w:val="TableText"/>
              <w:keepLines w:val="0"/>
              <w:tabs>
                <w:tab w:val="clear" w:pos="624"/>
              </w:tabs>
            </w:pPr>
            <w:r w:rsidRPr="002424A4">
              <w:rPr>
                <w:rFonts w:hint="cs"/>
                <w:rtl/>
              </w:rPr>
              <w:t>5</w:t>
            </w:r>
            <w:r w:rsidR="002F1679" w:rsidRPr="002424A4">
              <w:rPr>
                <w:rFonts w:hint="cs"/>
                <w:rtl/>
              </w:rPr>
              <w:t>.</w:t>
            </w:r>
          </w:p>
        </w:tc>
        <w:tc>
          <w:tcPr>
            <w:tcW w:w="7090" w:type="dxa"/>
            <w:gridSpan w:val="3"/>
            <w:tcBorders>
              <w:top w:val="single" w:sz="4" w:space="0" w:color="auto"/>
              <w:left w:val="single" w:sz="4" w:space="0" w:color="auto"/>
              <w:bottom w:val="single" w:sz="4" w:space="0" w:color="auto"/>
              <w:right w:val="single" w:sz="4" w:space="0" w:color="auto"/>
            </w:tcBorders>
          </w:tcPr>
          <w:p w:rsidR="00904893" w:rsidRPr="002424A4" w:rsidRDefault="00B710FE" w:rsidP="0028720F">
            <w:pPr>
              <w:pStyle w:val="TableBlock"/>
              <w:keepLines w:val="0"/>
              <w:rPr>
                <w:rtl/>
              </w:rPr>
            </w:pPr>
            <w:r w:rsidRPr="002424A4">
              <w:rPr>
                <w:rFonts w:hint="cs"/>
                <w:rtl/>
              </w:rPr>
              <w:t>בסעיף 32טו, אחרי סעיף קטן (ד) יבוא:</w:t>
            </w:r>
          </w:p>
        </w:tc>
      </w:tr>
      <w:tr w:rsidR="00736C5A" w:rsidTr="000517A7">
        <w:trPr>
          <w:cantSplit/>
          <w:trHeight w:val="60"/>
        </w:trPr>
        <w:tc>
          <w:tcPr>
            <w:tcW w:w="2013" w:type="dxa"/>
            <w:tcBorders>
              <w:top w:val="single" w:sz="4" w:space="0" w:color="auto"/>
              <w:left w:val="single" w:sz="4" w:space="0" w:color="auto"/>
              <w:bottom w:val="single" w:sz="4" w:space="0" w:color="auto"/>
              <w:right w:val="single" w:sz="4" w:space="0" w:color="auto"/>
            </w:tcBorders>
          </w:tcPr>
          <w:p w:rsidR="00B710FE" w:rsidRPr="002424A4" w:rsidRDefault="00B710FE">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B710FE" w:rsidRPr="002424A4" w:rsidRDefault="00B710FE">
            <w:pPr>
              <w:pStyle w:val="TableText"/>
            </w:pPr>
          </w:p>
        </w:tc>
        <w:tc>
          <w:tcPr>
            <w:tcW w:w="567" w:type="dxa"/>
            <w:tcBorders>
              <w:top w:val="single" w:sz="4" w:space="0" w:color="auto"/>
              <w:left w:val="single" w:sz="4" w:space="0" w:color="auto"/>
              <w:bottom w:val="single" w:sz="4" w:space="0" w:color="auto"/>
              <w:right w:val="single" w:sz="4" w:space="0" w:color="auto"/>
            </w:tcBorders>
          </w:tcPr>
          <w:p w:rsidR="00B710FE" w:rsidRPr="002424A4" w:rsidRDefault="001C06A0">
            <w:pPr>
              <w:pStyle w:val="TableText"/>
            </w:pPr>
            <w:r w:rsidRPr="002424A4">
              <w:rPr>
                <w:rFonts w:hint="cs"/>
                <w:rtl/>
              </w:rPr>
              <w:t>"</w:t>
            </w:r>
            <w:r w:rsidR="00B710FE" w:rsidRPr="002424A4">
              <w:rPr>
                <w:rFonts w:hint="cs"/>
                <w:rtl/>
              </w:rPr>
              <w:t>(ה)</w:t>
            </w:r>
          </w:p>
        </w:tc>
        <w:tc>
          <w:tcPr>
            <w:tcW w:w="6523" w:type="dxa"/>
            <w:gridSpan w:val="2"/>
            <w:tcBorders>
              <w:top w:val="single" w:sz="4" w:space="0" w:color="auto"/>
              <w:left w:val="single" w:sz="4" w:space="0" w:color="auto"/>
              <w:bottom w:val="single" w:sz="4" w:space="0" w:color="auto"/>
              <w:right w:val="single" w:sz="4" w:space="0" w:color="auto"/>
            </w:tcBorders>
          </w:tcPr>
          <w:p w:rsidR="00B710FE" w:rsidRDefault="00B710FE">
            <w:pPr>
              <w:pStyle w:val="TableBlock"/>
              <w:rPr>
                <w:rtl/>
              </w:rPr>
            </w:pPr>
            <w:r w:rsidRPr="002424A4">
              <w:rPr>
                <w:rFonts w:hint="cs"/>
                <w:rtl/>
              </w:rPr>
              <w:t xml:space="preserve">ייפוי כוח רפואי יופקד אצל האפוטרופוס הכללי בהתאם להוראות סעיף 32יז ואולם </w:t>
            </w:r>
            <w:r w:rsidR="005129BB">
              <w:rPr>
                <w:rtl/>
              </w:rPr>
              <w:t>–</w:t>
            </w:r>
          </w:p>
          <w:p w:rsidR="005129BB" w:rsidRPr="002424A4" w:rsidRDefault="005129BB">
            <w:pPr>
              <w:pStyle w:val="TableBlock"/>
              <w:rPr>
                <w:rtl/>
              </w:rPr>
            </w:pPr>
          </w:p>
        </w:tc>
      </w:tr>
      <w:tr w:rsidR="00E24E87" w:rsidTr="000517A7">
        <w:trPr>
          <w:cantSplit/>
          <w:trHeight w:val="60"/>
        </w:trPr>
        <w:tc>
          <w:tcPr>
            <w:tcW w:w="2013" w:type="dxa"/>
            <w:tcBorders>
              <w:top w:val="single" w:sz="4" w:space="0" w:color="auto"/>
              <w:left w:val="single" w:sz="4" w:space="0" w:color="auto"/>
              <w:bottom w:val="single" w:sz="4" w:space="0" w:color="auto"/>
              <w:right w:val="single" w:sz="4" w:space="0" w:color="auto"/>
            </w:tcBorders>
          </w:tcPr>
          <w:p w:rsidR="00E24E87" w:rsidRPr="002424A4" w:rsidRDefault="00E24E87">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E24E87" w:rsidRPr="002424A4" w:rsidRDefault="00E24E87">
            <w:pPr>
              <w:pStyle w:val="TableText"/>
            </w:pPr>
          </w:p>
        </w:tc>
        <w:tc>
          <w:tcPr>
            <w:tcW w:w="567" w:type="dxa"/>
            <w:tcBorders>
              <w:top w:val="single" w:sz="4" w:space="0" w:color="auto"/>
              <w:left w:val="single" w:sz="4" w:space="0" w:color="auto"/>
              <w:bottom w:val="single" w:sz="4" w:space="0" w:color="auto"/>
              <w:right w:val="single" w:sz="4" w:space="0" w:color="auto"/>
            </w:tcBorders>
          </w:tcPr>
          <w:p w:rsidR="00E24E87" w:rsidRPr="002424A4" w:rsidRDefault="00E24E87">
            <w:pPr>
              <w:pStyle w:val="TableText"/>
            </w:pPr>
          </w:p>
        </w:tc>
        <w:tc>
          <w:tcPr>
            <w:tcW w:w="6523" w:type="dxa"/>
            <w:gridSpan w:val="2"/>
            <w:tcBorders>
              <w:top w:val="single" w:sz="4" w:space="0" w:color="auto"/>
              <w:left w:val="single" w:sz="4" w:space="0" w:color="auto"/>
              <w:bottom w:val="single" w:sz="4" w:space="0" w:color="auto"/>
              <w:right w:val="single" w:sz="4" w:space="0" w:color="auto"/>
            </w:tcBorders>
          </w:tcPr>
          <w:p w:rsidR="00E24E87" w:rsidRPr="002424A4" w:rsidRDefault="00E24E87" w:rsidP="008E0ED6">
            <w:pPr>
              <w:pStyle w:val="TableText"/>
              <w:numPr>
                <w:ilvl w:val="0"/>
                <w:numId w:val="22"/>
              </w:numPr>
              <w:jc w:val="both"/>
            </w:pPr>
            <w:r w:rsidRPr="002424A4">
              <w:rPr>
                <w:rFonts w:hint="cs"/>
                <w:rtl/>
              </w:rPr>
              <w:t>ייפוי כוח רפואי שלא הופקד אצל האפוטרופוס הכללי כאמור בסעיף 32יז(א) יהיה תקף לשנה; נכנס ייפוי הכוח לתוקף במהלך אותה שנה, ימשיך לעמוד בתוקפו, בכפוף להוראות חוק זה, גם אם לא הופקד;</w:t>
            </w:r>
          </w:p>
        </w:tc>
      </w:tr>
      <w:tr w:rsidR="008E0ED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8E0ED6" w:rsidRPr="002424A4" w:rsidRDefault="008E0ED6">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8E0ED6" w:rsidRPr="002424A4" w:rsidRDefault="008E0ED6" w:rsidP="008E0ED6">
            <w:pPr>
              <w:pStyle w:val="TableText"/>
            </w:pPr>
          </w:p>
        </w:tc>
        <w:tc>
          <w:tcPr>
            <w:tcW w:w="567" w:type="dxa"/>
            <w:tcBorders>
              <w:top w:val="single" w:sz="4" w:space="0" w:color="auto"/>
              <w:left w:val="single" w:sz="4" w:space="0" w:color="auto"/>
              <w:bottom w:val="single" w:sz="4" w:space="0" w:color="auto"/>
              <w:right w:val="single" w:sz="4" w:space="0" w:color="auto"/>
            </w:tcBorders>
          </w:tcPr>
          <w:p w:rsidR="008E0ED6" w:rsidRPr="002424A4" w:rsidRDefault="008E0ED6">
            <w:pPr>
              <w:pStyle w:val="TableText"/>
            </w:pPr>
          </w:p>
        </w:tc>
        <w:tc>
          <w:tcPr>
            <w:tcW w:w="6523" w:type="dxa"/>
            <w:gridSpan w:val="2"/>
            <w:tcBorders>
              <w:top w:val="single" w:sz="4" w:space="0" w:color="auto"/>
              <w:left w:val="single" w:sz="4" w:space="0" w:color="auto"/>
              <w:bottom w:val="single" w:sz="4" w:space="0" w:color="auto"/>
              <w:right w:val="single" w:sz="4" w:space="0" w:color="auto"/>
            </w:tcBorders>
          </w:tcPr>
          <w:p w:rsidR="008E0ED6" w:rsidRDefault="008E0ED6" w:rsidP="00E24E87">
            <w:pPr>
              <w:pStyle w:val="TableText"/>
              <w:numPr>
                <w:ilvl w:val="0"/>
                <w:numId w:val="22"/>
              </w:numPr>
              <w:jc w:val="both"/>
              <w:rPr>
                <w:rtl/>
              </w:rPr>
            </w:pPr>
            <w:r w:rsidRPr="002424A4">
              <w:rPr>
                <w:rFonts w:hint="cs"/>
                <w:rtl/>
              </w:rPr>
              <w:t>הפקדת ייפוי כוח רפואי אצל האפוטרופוס הכללי יכול שתיעשה גם באמצעות משלוח בדואר רשום, או על ידי מי שהממנה הסמיך לבצע את ההפקדה עבורו</w:t>
            </w:r>
            <w:r>
              <w:rPr>
                <w:rFonts w:hint="cs"/>
                <w:rtl/>
              </w:rPr>
              <w:t xml:space="preserve"> או בדרך אחרת שתקבע בתקנות</w:t>
            </w:r>
            <w:r w:rsidRPr="002424A4">
              <w:rPr>
                <w:rFonts w:hint="cs"/>
                <w:rtl/>
              </w:rPr>
              <w:t>;</w:t>
            </w:r>
          </w:p>
        </w:tc>
      </w:tr>
      <w:tr w:rsidR="002616F4" w:rsidTr="0039785F">
        <w:trPr>
          <w:cantSplit/>
          <w:trHeight w:val="60"/>
        </w:trPr>
        <w:tc>
          <w:tcPr>
            <w:tcW w:w="2013" w:type="dxa"/>
            <w:tcBorders>
              <w:top w:val="single" w:sz="4" w:space="0" w:color="auto"/>
              <w:left w:val="single" w:sz="4" w:space="0" w:color="auto"/>
              <w:bottom w:val="single" w:sz="4" w:space="0" w:color="auto"/>
              <w:right w:val="single" w:sz="4" w:space="0" w:color="auto"/>
            </w:tcBorders>
          </w:tcPr>
          <w:p w:rsidR="002616F4" w:rsidRPr="002424A4" w:rsidRDefault="002616F4">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2616F4" w:rsidRPr="002424A4" w:rsidRDefault="002616F4">
            <w:pPr>
              <w:pStyle w:val="TableText"/>
            </w:pPr>
          </w:p>
        </w:tc>
        <w:tc>
          <w:tcPr>
            <w:tcW w:w="567" w:type="dxa"/>
            <w:tcBorders>
              <w:top w:val="single" w:sz="4" w:space="0" w:color="auto"/>
              <w:left w:val="single" w:sz="4" w:space="0" w:color="auto"/>
              <w:bottom w:val="single" w:sz="4" w:space="0" w:color="auto"/>
              <w:right w:val="single" w:sz="4" w:space="0" w:color="auto"/>
            </w:tcBorders>
          </w:tcPr>
          <w:p w:rsidR="002616F4" w:rsidRPr="002424A4" w:rsidRDefault="002616F4">
            <w:pPr>
              <w:pStyle w:val="TableText"/>
            </w:pPr>
            <w:r w:rsidRPr="002424A4">
              <w:rPr>
                <w:rFonts w:hint="cs"/>
                <w:rtl/>
              </w:rPr>
              <w:t>(ו)</w:t>
            </w:r>
          </w:p>
        </w:tc>
        <w:tc>
          <w:tcPr>
            <w:tcW w:w="6523" w:type="dxa"/>
            <w:gridSpan w:val="2"/>
            <w:tcBorders>
              <w:top w:val="single" w:sz="4" w:space="0" w:color="auto"/>
              <w:left w:val="single" w:sz="4" w:space="0" w:color="auto"/>
              <w:bottom w:val="single" w:sz="4" w:space="0" w:color="auto"/>
              <w:right w:val="single" w:sz="4" w:space="0" w:color="auto"/>
            </w:tcBorders>
          </w:tcPr>
          <w:p w:rsidR="00D635DA" w:rsidRDefault="002616F4" w:rsidP="008233F1">
            <w:pPr>
              <w:pStyle w:val="TableBlock"/>
              <w:rPr>
                <w:rtl/>
              </w:rPr>
            </w:pPr>
            <w:r w:rsidRPr="002424A4">
              <w:rPr>
                <w:rFonts w:hint="cs"/>
                <w:rtl/>
              </w:rPr>
              <w:t xml:space="preserve">שר המשפטים ושר הבריאות רשאים לקבוע </w:t>
            </w:r>
            <w:r w:rsidR="00D924C3" w:rsidRPr="002424A4">
              <w:rPr>
                <w:rFonts w:hint="cs"/>
                <w:rtl/>
              </w:rPr>
              <w:t>כי</w:t>
            </w:r>
            <w:r w:rsidRPr="002424A4">
              <w:rPr>
                <w:rFonts w:hint="cs"/>
                <w:rtl/>
              </w:rPr>
              <w:t xml:space="preserve"> ייפויי כוח רפואיים</w:t>
            </w:r>
            <w:r w:rsidR="00D924C3" w:rsidRPr="002424A4">
              <w:rPr>
                <w:rFonts w:hint="cs"/>
                <w:rtl/>
              </w:rPr>
              <w:t xml:space="preserve"> יופקדו </w:t>
            </w:r>
            <w:r w:rsidR="008233F1">
              <w:rPr>
                <w:rFonts w:hint="cs"/>
                <w:rtl/>
              </w:rPr>
              <w:t xml:space="preserve">לבחירת האדם </w:t>
            </w:r>
            <w:r w:rsidR="00D924C3" w:rsidRPr="002424A4">
              <w:rPr>
                <w:rFonts w:hint="cs"/>
                <w:rtl/>
              </w:rPr>
              <w:t xml:space="preserve">במאגר </w:t>
            </w:r>
            <w:r w:rsidR="00C21E2C">
              <w:rPr>
                <w:rFonts w:hint="cs"/>
                <w:rtl/>
              </w:rPr>
              <w:t xml:space="preserve">שיוקם </w:t>
            </w:r>
            <w:r w:rsidR="00D924C3" w:rsidRPr="002424A4">
              <w:rPr>
                <w:rFonts w:hint="cs"/>
                <w:rtl/>
              </w:rPr>
              <w:t>במשרד הבריאות</w:t>
            </w:r>
            <w:r w:rsidR="008233F1">
              <w:rPr>
                <w:rFonts w:hint="cs"/>
                <w:rtl/>
              </w:rPr>
              <w:t>או</w:t>
            </w:r>
            <w:r w:rsidRPr="002424A4">
              <w:rPr>
                <w:rFonts w:hint="cs"/>
                <w:rtl/>
              </w:rPr>
              <w:t xml:space="preserve">אצל האפוטרופוס הכללי, וכן רשאים הם לקבוע </w:t>
            </w:r>
            <w:r w:rsidR="00FD3CE7">
              <w:rPr>
                <w:rFonts w:hint="cs"/>
                <w:rtl/>
              </w:rPr>
              <w:t xml:space="preserve">לעניין זה </w:t>
            </w:r>
            <w:r w:rsidRPr="002424A4">
              <w:rPr>
                <w:rFonts w:hint="cs"/>
                <w:rtl/>
              </w:rPr>
              <w:t>הוראות ב</w:t>
            </w:r>
            <w:r w:rsidR="00D635DA">
              <w:rPr>
                <w:rFonts w:hint="cs"/>
                <w:rtl/>
              </w:rPr>
              <w:t>עניינים הבאים:</w:t>
            </w:r>
          </w:p>
          <w:p w:rsidR="002616F4" w:rsidRPr="002424A4" w:rsidRDefault="00D924C3" w:rsidP="008E0ED6">
            <w:pPr>
              <w:pStyle w:val="TableBlock"/>
              <w:numPr>
                <w:ilvl w:val="0"/>
                <w:numId w:val="18"/>
              </w:numPr>
            </w:pPr>
            <w:r w:rsidRPr="002424A4">
              <w:rPr>
                <w:rFonts w:hint="cs"/>
                <w:rtl/>
              </w:rPr>
              <w:t>אופן ההפקדה</w:t>
            </w:r>
            <w:r w:rsidR="008233F1">
              <w:rPr>
                <w:rFonts w:hint="cs"/>
                <w:rtl/>
              </w:rPr>
              <w:t xml:space="preserve"> של ייפויי כ</w:t>
            </w:r>
            <w:r w:rsidR="001279A9">
              <w:rPr>
                <w:rFonts w:hint="cs"/>
                <w:rtl/>
              </w:rPr>
              <w:t>ו</w:t>
            </w:r>
            <w:r w:rsidR="008233F1">
              <w:rPr>
                <w:rFonts w:hint="cs"/>
                <w:rtl/>
              </w:rPr>
              <w:t>ח במאגר משרד הבריאות</w:t>
            </w:r>
            <w:r w:rsidR="00003047">
              <w:rPr>
                <w:rFonts w:hint="cs"/>
                <w:rtl/>
              </w:rPr>
              <w:t>;</w:t>
            </w:r>
          </w:p>
        </w:tc>
      </w:tr>
      <w:tr w:rsidR="008E0ED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8E0ED6" w:rsidRPr="002424A4" w:rsidRDefault="008E0ED6">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8E0ED6" w:rsidRPr="002424A4" w:rsidRDefault="008E0ED6" w:rsidP="008E0ED6">
            <w:pPr>
              <w:pStyle w:val="TableText"/>
            </w:pPr>
          </w:p>
        </w:tc>
        <w:tc>
          <w:tcPr>
            <w:tcW w:w="567" w:type="dxa"/>
            <w:tcBorders>
              <w:top w:val="single" w:sz="4" w:space="0" w:color="auto"/>
              <w:left w:val="single" w:sz="4" w:space="0" w:color="auto"/>
              <w:bottom w:val="single" w:sz="4" w:space="0" w:color="auto"/>
              <w:right w:val="single" w:sz="4" w:space="0" w:color="auto"/>
            </w:tcBorders>
          </w:tcPr>
          <w:p w:rsidR="008E0ED6" w:rsidRPr="002424A4" w:rsidRDefault="008E0ED6">
            <w:pPr>
              <w:pStyle w:val="TableText"/>
              <w:rPr>
                <w:rtl/>
              </w:rPr>
            </w:pPr>
          </w:p>
        </w:tc>
        <w:tc>
          <w:tcPr>
            <w:tcW w:w="6523" w:type="dxa"/>
            <w:gridSpan w:val="2"/>
            <w:tcBorders>
              <w:top w:val="single" w:sz="4" w:space="0" w:color="auto"/>
              <w:left w:val="single" w:sz="4" w:space="0" w:color="auto"/>
              <w:bottom w:val="single" w:sz="4" w:space="0" w:color="auto"/>
              <w:right w:val="single" w:sz="4" w:space="0" w:color="auto"/>
            </w:tcBorders>
          </w:tcPr>
          <w:p w:rsidR="008E0ED6" w:rsidRPr="008E0ED6" w:rsidRDefault="008E0ED6" w:rsidP="008E0ED6">
            <w:pPr>
              <w:pStyle w:val="TableBlock"/>
              <w:numPr>
                <w:ilvl w:val="0"/>
                <w:numId w:val="18"/>
              </w:numPr>
              <w:rPr>
                <w:rtl/>
              </w:rPr>
            </w:pPr>
            <w:r w:rsidRPr="002424A4">
              <w:rPr>
                <w:rFonts w:hint="cs"/>
                <w:rtl/>
              </w:rPr>
              <w:t xml:space="preserve">ניהול מאגר </w:t>
            </w:r>
            <w:r>
              <w:rPr>
                <w:rFonts w:hint="cs"/>
                <w:rtl/>
              </w:rPr>
              <w:t>ייפויי הכ</w:t>
            </w:r>
            <w:r w:rsidR="001279A9">
              <w:rPr>
                <w:rFonts w:hint="cs"/>
                <w:rtl/>
              </w:rPr>
              <w:t>ו</w:t>
            </w:r>
            <w:r>
              <w:rPr>
                <w:rFonts w:hint="cs"/>
                <w:rtl/>
              </w:rPr>
              <w:t>ח במשרד הבריאות;</w:t>
            </w:r>
          </w:p>
        </w:tc>
      </w:tr>
      <w:tr w:rsidR="008E0ED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8E0ED6" w:rsidRPr="002424A4" w:rsidRDefault="008E0ED6">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8E0ED6" w:rsidRPr="002424A4" w:rsidRDefault="008E0ED6" w:rsidP="008E0ED6">
            <w:pPr>
              <w:pStyle w:val="TableText"/>
            </w:pPr>
          </w:p>
        </w:tc>
        <w:tc>
          <w:tcPr>
            <w:tcW w:w="567" w:type="dxa"/>
            <w:tcBorders>
              <w:top w:val="single" w:sz="4" w:space="0" w:color="auto"/>
              <w:left w:val="single" w:sz="4" w:space="0" w:color="auto"/>
              <w:bottom w:val="single" w:sz="4" w:space="0" w:color="auto"/>
              <w:right w:val="single" w:sz="4" w:space="0" w:color="auto"/>
            </w:tcBorders>
          </w:tcPr>
          <w:p w:rsidR="008E0ED6" w:rsidRPr="002424A4" w:rsidRDefault="008E0ED6">
            <w:pPr>
              <w:pStyle w:val="TableText"/>
              <w:rPr>
                <w:rtl/>
              </w:rPr>
            </w:pPr>
          </w:p>
        </w:tc>
        <w:tc>
          <w:tcPr>
            <w:tcW w:w="6523" w:type="dxa"/>
            <w:gridSpan w:val="2"/>
            <w:tcBorders>
              <w:top w:val="single" w:sz="4" w:space="0" w:color="auto"/>
              <w:left w:val="single" w:sz="4" w:space="0" w:color="auto"/>
              <w:bottom w:val="single" w:sz="4" w:space="0" w:color="auto"/>
              <w:right w:val="single" w:sz="4" w:space="0" w:color="auto"/>
            </w:tcBorders>
          </w:tcPr>
          <w:p w:rsidR="008E0ED6" w:rsidRPr="002424A4" w:rsidRDefault="008E0ED6" w:rsidP="008E0ED6">
            <w:pPr>
              <w:pStyle w:val="TableBlock"/>
              <w:numPr>
                <w:ilvl w:val="0"/>
                <w:numId w:val="18"/>
              </w:numPr>
              <w:rPr>
                <w:rtl/>
              </w:rPr>
            </w:pPr>
            <w:r>
              <w:rPr>
                <w:rFonts w:hint="cs"/>
                <w:rtl/>
              </w:rPr>
              <w:t xml:space="preserve"> כללים בדבר קבלת מידע על הפקדת ייפוי כ</w:t>
            </w:r>
            <w:r w:rsidR="001279A9">
              <w:rPr>
                <w:rFonts w:hint="cs"/>
                <w:rtl/>
              </w:rPr>
              <w:t>ו</w:t>
            </w:r>
            <w:r>
              <w:rPr>
                <w:rFonts w:hint="cs"/>
                <w:rtl/>
              </w:rPr>
              <w:t>ח במאגר משרד הבריאות, קבלת העתק ממנו או עיון בתוכנו בידי גורמי טיפול רפואיים, בעלי תפקידים וגופים כפי שייקבעו השרים, והכל לצורך הטיפול בממנה;</w:t>
            </w:r>
          </w:p>
        </w:tc>
      </w:tr>
      <w:tr w:rsidR="008E0ED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8E0ED6" w:rsidRPr="002424A4" w:rsidRDefault="008E0ED6">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8E0ED6" w:rsidRPr="002424A4" w:rsidRDefault="008E0ED6" w:rsidP="008E0ED6">
            <w:pPr>
              <w:pStyle w:val="TableText"/>
            </w:pPr>
          </w:p>
        </w:tc>
        <w:tc>
          <w:tcPr>
            <w:tcW w:w="567" w:type="dxa"/>
            <w:tcBorders>
              <w:top w:val="single" w:sz="4" w:space="0" w:color="auto"/>
              <w:left w:val="single" w:sz="4" w:space="0" w:color="auto"/>
              <w:bottom w:val="single" w:sz="4" w:space="0" w:color="auto"/>
              <w:right w:val="single" w:sz="4" w:space="0" w:color="auto"/>
            </w:tcBorders>
          </w:tcPr>
          <w:p w:rsidR="008E0ED6" w:rsidRPr="002424A4" w:rsidRDefault="008E0ED6">
            <w:pPr>
              <w:pStyle w:val="TableText"/>
              <w:rPr>
                <w:rtl/>
              </w:rPr>
            </w:pPr>
          </w:p>
        </w:tc>
        <w:tc>
          <w:tcPr>
            <w:tcW w:w="6523" w:type="dxa"/>
            <w:gridSpan w:val="2"/>
            <w:tcBorders>
              <w:top w:val="single" w:sz="4" w:space="0" w:color="auto"/>
              <w:left w:val="single" w:sz="4" w:space="0" w:color="auto"/>
              <w:bottom w:val="single" w:sz="4" w:space="0" w:color="auto"/>
              <w:right w:val="single" w:sz="4" w:space="0" w:color="auto"/>
            </w:tcBorders>
          </w:tcPr>
          <w:p w:rsidR="008E0ED6" w:rsidRDefault="008E0ED6" w:rsidP="008E0ED6">
            <w:pPr>
              <w:pStyle w:val="TableBlock"/>
              <w:numPr>
                <w:ilvl w:val="0"/>
                <w:numId w:val="18"/>
              </w:numPr>
              <w:rPr>
                <w:rtl/>
              </w:rPr>
            </w:pPr>
            <w:r w:rsidRPr="002424A4">
              <w:rPr>
                <w:rFonts w:hint="cs"/>
                <w:rtl/>
              </w:rPr>
              <w:t>כללים להעברת מידע בין האפוטרופוס הכללי לבין משרד הבריאות על ייפוי</w:t>
            </w:r>
            <w:r w:rsidR="001279A9">
              <w:rPr>
                <w:rFonts w:hint="cs"/>
                <w:rtl/>
              </w:rPr>
              <w:t>י</w:t>
            </w:r>
            <w:r w:rsidRPr="002424A4">
              <w:rPr>
                <w:rFonts w:hint="cs"/>
                <w:rtl/>
              </w:rPr>
              <w:t xml:space="preserve"> הכוח המופקדים אצל </w:t>
            </w:r>
            <w:r>
              <w:rPr>
                <w:rFonts w:hint="cs"/>
                <w:rtl/>
              </w:rPr>
              <w:t>כל אחד מהם</w:t>
            </w:r>
            <w:r w:rsidRPr="002424A4">
              <w:rPr>
                <w:rFonts w:hint="cs"/>
                <w:rtl/>
              </w:rPr>
              <w:t>;</w:t>
            </w:r>
          </w:p>
        </w:tc>
      </w:tr>
      <w:tr w:rsidR="002616F4" w:rsidTr="0039785F">
        <w:trPr>
          <w:cantSplit/>
          <w:trHeight w:val="60"/>
        </w:trPr>
        <w:tc>
          <w:tcPr>
            <w:tcW w:w="2013" w:type="dxa"/>
            <w:tcBorders>
              <w:top w:val="single" w:sz="4" w:space="0" w:color="auto"/>
              <w:left w:val="single" w:sz="4" w:space="0" w:color="auto"/>
              <w:bottom w:val="single" w:sz="4" w:space="0" w:color="auto"/>
              <w:right w:val="single" w:sz="4" w:space="0" w:color="auto"/>
            </w:tcBorders>
          </w:tcPr>
          <w:p w:rsidR="002616F4" w:rsidRDefault="002616F4">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2616F4" w:rsidRDefault="002616F4" w:rsidP="002616F4">
            <w:pPr>
              <w:pStyle w:val="TableText"/>
            </w:pPr>
          </w:p>
        </w:tc>
        <w:tc>
          <w:tcPr>
            <w:tcW w:w="567" w:type="dxa"/>
            <w:tcBorders>
              <w:top w:val="single" w:sz="4" w:space="0" w:color="auto"/>
              <w:left w:val="single" w:sz="4" w:space="0" w:color="auto"/>
              <w:bottom w:val="single" w:sz="4" w:space="0" w:color="auto"/>
              <w:right w:val="single" w:sz="4" w:space="0" w:color="auto"/>
            </w:tcBorders>
          </w:tcPr>
          <w:p w:rsidR="002616F4" w:rsidRDefault="002616F4">
            <w:pPr>
              <w:pStyle w:val="TableText"/>
              <w:rPr>
                <w:rtl/>
              </w:rPr>
            </w:pPr>
            <w:r>
              <w:rPr>
                <w:rFonts w:hint="cs"/>
                <w:rtl/>
              </w:rPr>
              <w:t>(ז)</w:t>
            </w:r>
          </w:p>
        </w:tc>
        <w:tc>
          <w:tcPr>
            <w:tcW w:w="6523" w:type="dxa"/>
            <w:gridSpan w:val="2"/>
            <w:tcBorders>
              <w:top w:val="single" w:sz="4" w:space="0" w:color="auto"/>
              <w:left w:val="single" w:sz="4" w:space="0" w:color="auto"/>
              <w:bottom w:val="single" w:sz="4" w:space="0" w:color="auto"/>
              <w:right w:val="single" w:sz="4" w:space="0" w:color="auto"/>
            </w:tcBorders>
          </w:tcPr>
          <w:p w:rsidR="00376439" w:rsidRDefault="00F07980" w:rsidP="00E24E87">
            <w:pPr>
              <w:pStyle w:val="TableBlock"/>
              <w:rPr>
                <w:rtl/>
              </w:rPr>
            </w:pPr>
            <w:r>
              <w:rPr>
                <w:rFonts w:hint="cs"/>
                <w:rtl/>
              </w:rPr>
              <w:t>על אף האמור בסעיף 32יט לחוק</w:t>
            </w:r>
            <w:r w:rsidR="00D223BC">
              <w:rPr>
                <w:rFonts w:hint="cs"/>
                <w:rtl/>
              </w:rPr>
              <w:t xml:space="preserve">, </w:t>
            </w:r>
            <w:r w:rsidR="00376439">
              <w:rPr>
                <w:rFonts w:hint="cs"/>
                <w:rtl/>
              </w:rPr>
              <w:t xml:space="preserve">הדרך </w:t>
            </w:r>
            <w:r w:rsidR="002616F4">
              <w:rPr>
                <w:rFonts w:hint="cs"/>
                <w:rtl/>
              </w:rPr>
              <w:t xml:space="preserve">בה ייקבע כי </w:t>
            </w:r>
            <w:r w:rsidR="00DA044A">
              <w:rPr>
                <w:rFonts w:hint="cs"/>
                <w:rtl/>
              </w:rPr>
              <w:t>הממנה</w:t>
            </w:r>
            <w:r w:rsidR="002616F4">
              <w:rPr>
                <w:rFonts w:hint="cs"/>
                <w:rtl/>
              </w:rPr>
              <w:t xml:space="preserve"> אינ</w:t>
            </w:r>
            <w:r w:rsidR="00376439">
              <w:rPr>
                <w:rFonts w:hint="cs"/>
                <w:rtl/>
              </w:rPr>
              <w:t xml:space="preserve">ו מסוגל להבין בדבר </w:t>
            </w:r>
            <w:r w:rsidR="00D635DA">
              <w:rPr>
                <w:rFonts w:hint="cs"/>
                <w:rtl/>
              </w:rPr>
              <w:t xml:space="preserve">לעניין </w:t>
            </w:r>
            <w:r w:rsidR="00D635DA" w:rsidRPr="009D003F">
              <w:rPr>
                <w:rFonts w:hint="cs"/>
                <w:rtl/>
              </w:rPr>
              <w:t xml:space="preserve">ייפוי כוח </w:t>
            </w:r>
            <w:r w:rsidR="00D635DA">
              <w:rPr>
                <w:rFonts w:hint="cs"/>
                <w:rtl/>
              </w:rPr>
              <w:t xml:space="preserve">מתמשך בעניינים רפואיים, </w:t>
            </w:r>
            <w:r w:rsidR="00376439">
              <w:rPr>
                <w:rFonts w:hint="cs"/>
                <w:rtl/>
              </w:rPr>
              <w:t xml:space="preserve">תהיה בהחלטת </w:t>
            </w:r>
            <w:r w:rsidR="002616F4">
              <w:rPr>
                <w:rFonts w:hint="cs"/>
                <w:rtl/>
              </w:rPr>
              <w:t xml:space="preserve">רופא המטפל </w:t>
            </w:r>
            <w:r w:rsidR="00376439">
              <w:rPr>
                <w:rFonts w:hint="cs"/>
                <w:rtl/>
              </w:rPr>
              <w:t xml:space="preserve">באדם ובהסכמת </w:t>
            </w:r>
            <w:r w:rsidR="002616F4">
              <w:rPr>
                <w:rFonts w:hint="cs"/>
                <w:rtl/>
              </w:rPr>
              <w:t>מיופה הכוח</w:t>
            </w:r>
            <w:r w:rsidR="00376439">
              <w:rPr>
                <w:rFonts w:hint="cs"/>
                <w:rtl/>
              </w:rPr>
              <w:t>,</w:t>
            </w:r>
            <w:r w:rsidR="002616F4">
              <w:rPr>
                <w:rFonts w:hint="cs"/>
                <w:rtl/>
              </w:rPr>
              <w:t xml:space="preserve"> או בחוות דעת מומחה שנמסרה למיופה הכוח הקובעת כי הממנה אינו מסוגל להבין בדבר</w:t>
            </w:r>
            <w:r w:rsidR="00376439">
              <w:rPr>
                <w:rFonts w:hint="cs"/>
                <w:rtl/>
              </w:rPr>
              <w:t>,</w:t>
            </w:r>
            <w:r w:rsidR="002616F4">
              <w:rPr>
                <w:rFonts w:hint="cs"/>
                <w:rtl/>
              </w:rPr>
              <w:t xml:space="preserve"> ולא תידרש הודעה לאפוטרופוס הכללי על כניסת ייפוי הכוח </w:t>
            </w:r>
            <w:r w:rsidR="00376439">
              <w:rPr>
                <w:rFonts w:hint="cs"/>
                <w:rtl/>
              </w:rPr>
              <w:t xml:space="preserve">הרפואי </w:t>
            </w:r>
            <w:r w:rsidR="002616F4">
              <w:rPr>
                <w:rFonts w:hint="cs"/>
                <w:rtl/>
              </w:rPr>
              <w:t>לתוקף</w:t>
            </w:r>
            <w:r w:rsidR="00402B61">
              <w:rPr>
                <w:rFonts w:hint="cs"/>
                <w:rtl/>
              </w:rPr>
              <w:t xml:space="preserve"> כתנאי לתוקפו</w:t>
            </w:r>
            <w:r w:rsidR="002616F4">
              <w:rPr>
                <w:rFonts w:hint="cs"/>
                <w:rtl/>
              </w:rPr>
              <w:t xml:space="preserve">, והכל אם לא קבע מיופה הכוח אחרת בייפוי הכוח; </w:t>
            </w:r>
            <w:r>
              <w:rPr>
                <w:rFonts w:hint="cs"/>
                <w:rtl/>
              </w:rPr>
              <w:t xml:space="preserve">ואולם על כניסתו לתוקף של ייפוי כוח מתמשך לעניין </w:t>
            </w:r>
            <w:r w:rsidR="009B0E42" w:rsidRPr="00F85C46">
              <w:rPr>
                <w:rFonts w:hint="cs"/>
                <w:rtl/>
              </w:rPr>
              <w:t>אשפוז בבית חולים כהגדרתו בחוק</w:t>
            </w:r>
            <w:r>
              <w:rPr>
                <w:rFonts w:hint="cs"/>
                <w:rtl/>
              </w:rPr>
              <w:t xml:space="preserve"> טיפול בחולי נפש, התשנ"א-1991, </w:t>
            </w:r>
            <w:r w:rsidR="009B0E42" w:rsidRPr="00F85C46">
              <w:rPr>
                <w:rFonts w:hint="cs"/>
                <w:rtl/>
              </w:rPr>
              <w:t>יחולו הוראות סעיף 32יט".</w:t>
            </w:r>
          </w:p>
        </w:tc>
      </w:tr>
      <w:tr w:rsidR="00E07105" w:rsidTr="0039785F">
        <w:trPr>
          <w:cantSplit/>
          <w:trHeight w:val="60"/>
        </w:trPr>
        <w:tc>
          <w:tcPr>
            <w:tcW w:w="2013" w:type="dxa"/>
            <w:tcBorders>
              <w:top w:val="single" w:sz="4" w:space="0" w:color="auto"/>
              <w:left w:val="single" w:sz="4" w:space="0" w:color="auto"/>
              <w:bottom w:val="single" w:sz="4" w:space="0" w:color="auto"/>
              <w:right w:val="single" w:sz="4" w:space="0" w:color="auto"/>
            </w:tcBorders>
          </w:tcPr>
          <w:p w:rsidR="00E07105" w:rsidRDefault="00E07105">
            <w:pPr>
              <w:pStyle w:val="TableSideHeading"/>
            </w:pPr>
            <w:r>
              <w:rPr>
                <w:rFonts w:hint="cs"/>
                <w:rtl/>
              </w:rPr>
              <w:t>תיקון סעיף 32יז</w:t>
            </w:r>
          </w:p>
        </w:tc>
        <w:tc>
          <w:tcPr>
            <w:tcW w:w="680" w:type="dxa"/>
            <w:tcBorders>
              <w:top w:val="single" w:sz="4" w:space="0" w:color="auto"/>
              <w:left w:val="single" w:sz="4" w:space="0" w:color="auto"/>
              <w:bottom w:val="single" w:sz="4" w:space="0" w:color="auto"/>
              <w:right w:val="single" w:sz="4" w:space="0" w:color="auto"/>
            </w:tcBorders>
          </w:tcPr>
          <w:p w:rsidR="00E07105" w:rsidRDefault="00DB1C23">
            <w:pPr>
              <w:pStyle w:val="TableText"/>
            </w:pPr>
            <w:r>
              <w:rPr>
                <w:rFonts w:hint="cs"/>
                <w:rtl/>
              </w:rPr>
              <w:t>7</w:t>
            </w:r>
            <w:r w:rsidR="002F1679">
              <w:rPr>
                <w:rFonts w:hint="cs"/>
                <w:rtl/>
              </w:rPr>
              <w:t>.</w:t>
            </w:r>
          </w:p>
        </w:tc>
        <w:tc>
          <w:tcPr>
            <w:tcW w:w="7090" w:type="dxa"/>
            <w:gridSpan w:val="3"/>
            <w:tcBorders>
              <w:top w:val="single" w:sz="4" w:space="0" w:color="auto"/>
              <w:left w:val="single" w:sz="4" w:space="0" w:color="auto"/>
              <w:bottom w:val="single" w:sz="4" w:space="0" w:color="auto"/>
              <w:right w:val="single" w:sz="4" w:space="0" w:color="auto"/>
            </w:tcBorders>
          </w:tcPr>
          <w:p w:rsidR="00E07105" w:rsidRPr="00C34DE2" w:rsidRDefault="00FD78E0" w:rsidP="00D223BC">
            <w:pPr>
              <w:pStyle w:val="TableBlock"/>
            </w:pPr>
            <w:r>
              <w:rPr>
                <w:rFonts w:hint="cs"/>
                <w:rtl/>
              </w:rPr>
              <w:t>בסעיף 32יז</w:t>
            </w:r>
            <w:r w:rsidR="00287CD1">
              <w:rPr>
                <w:rFonts w:hint="cs"/>
                <w:rtl/>
              </w:rPr>
              <w:t xml:space="preserve"> לחוק העיקרי - </w:t>
            </w:r>
          </w:p>
        </w:tc>
      </w:tr>
      <w:tr w:rsidR="00287CD1" w:rsidTr="0039785F">
        <w:trPr>
          <w:cantSplit/>
          <w:trHeight w:val="60"/>
        </w:trPr>
        <w:tc>
          <w:tcPr>
            <w:tcW w:w="2013" w:type="dxa"/>
            <w:tcBorders>
              <w:top w:val="single" w:sz="4" w:space="0" w:color="auto"/>
              <w:left w:val="single" w:sz="4" w:space="0" w:color="auto"/>
              <w:bottom w:val="single" w:sz="4" w:space="0" w:color="auto"/>
              <w:right w:val="single" w:sz="4" w:space="0" w:color="auto"/>
            </w:tcBorders>
          </w:tcPr>
          <w:p w:rsidR="00287CD1" w:rsidRDefault="00287CD1">
            <w:pPr>
              <w:pStyle w:val="TableSideHeading"/>
              <w:rPr>
                <w:rtl/>
              </w:rPr>
            </w:pPr>
          </w:p>
        </w:tc>
        <w:tc>
          <w:tcPr>
            <w:tcW w:w="680" w:type="dxa"/>
            <w:tcBorders>
              <w:top w:val="single" w:sz="4" w:space="0" w:color="auto"/>
              <w:left w:val="single" w:sz="4" w:space="0" w:color="auto"/>
              <w:bottom w:val="single" w:sz="4" w:space="0" w:color="auto"/>
              <w:right w:val="single" w:sz="4" w:space="0" w:color="auto"/>
            </w:tcBorders>
          </w:tcPr>
          <w:p w:rsidR="00287CD1" w:rsidRDefault="00287CD1" w:rsidP="00287CD1">
            <w:pPr>
              <w:pStyle w:val="TableText"/>
              <w:rPr>
                <w:rtl/>
              </w:rPr>
            </w:pPr>
          </w:p>
        </w:tc>
        <w:tc>
          <w:tcPr>
            <w:tcW w:w="7090" w:type="dxa"/>
            <w:gridSpan w:val="3"/>
            <w:tcBorders>
              <w:top w:val="single" w:sz="4" w:space="0" w:color="auto"/>
              <w:left w:val="single" w:sz="4" w:space="0" w:color="auto"/>
              <w:bottom w:val="single" w:sz="4" w:space="0" w:color="auto"/>
              <w:right w:val="single" w:sz="4" w:space="0" w:color="auto"/>
            </w:tcBorders>
          </w:tcPr>
          <w:p w:rsidR="005129BB" w:rsidRDefault="00287CD1" w:rsidP="00EC2CE7">
            <w:pPr>
              <w:pStyle w:val="TableBlock"/>
              <w:numPr>
                <w:ilvl w:val="0"/>
                <w:numId w:val="21"/>
              </w:numPr>
              <w:tabs>
                <w:tab w:val="left" w:pos="624"/>
              </w:tabs>
              <w:rPr>
                <w:rtl/>
              </w:rPr>
            </w:pPr>
            <w:r>
              <w:rPr>
                <w:rFonts w:hint="cs"/>
                <w:rtl/>
              </w:rPr>
              <w:t xml:space="preserve">בסעיף קטן (א), המילים "במסירת עותק מקורי" יימחקו ובמקומם יבוא "במסירה ידנית </w:t>
            </w:r>
            <w:r w:rsidR="00E95198">
              <w:rPr>
                <w:rFonts w:hint="cs"/>
                <w:rtl/>
              </w:rPr>
              <w:t xml:space="preserve">של עותק מקורי </w:t>
            </w:r>
            <w:r>
              <w:rPr>
                <w:rFonts w:hint="cs"/>
                <w:rtl/>
              </w:rPr>
              <w:t>למשרדי האפוטרופוס הכללי או ב</w:t>
            </w:r>
            <w:r w:rsidR="00E95198">
              <w:rPr>
                <w:rFonts w:hint="cs"/>
                <w:rtl/>
              </w:rPr>
              <w:t>שליחה ב</w:t>
            </w:r>
            <w:r>
              <w:rPr>
                <w:rFonts w:hint="cs"/>
                <w:rtl/>
              </w:rPr>
              <w:t>אופן מקוון של עותק"</w:t>
            </w:r>
          </w:p>
        </w:tc>
      </w:tr>
      <w:tr w:rsidR="00EC2CE7"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EC2CE7" w:rsidRDefault="00EC2CE7">
            <w:pPr>
              <w:pStyle w:val="TableSideHeading"/>
              <w:rPr>
                <w:rtl/>
              </w:rPr>
            </w:pPr>
          </w:p>
        </w:tc>
        <w:tc>
          <w:tcPr>
            <w:tcW w:w="680" w:type="dxa"/>
            <w:tcBorders>
              <w:top w:val="single" w:sz="4" w:space="0" w:color="auto"/>
              <w:left w:val="single" w:sz="4" w:space="0" w:color="auto"/>
              <w:bottom w:val="single" w:sz="4" w:space="0" w:color="auto"/>
              <w:right w:val="single" w:sz="4" w:space="0" w:color="auto"/>
            </w:tcBorders>
          </w:tcPr>
          <w:p w:rsidR="00EC2CE7" w:rsidRDefault="00EC2CE7" w:rsidP="00EC2CE7">
            <w:pPr>
              <w:pStyle w:val="TableText"/>
              <w:rPr>
                <w:rtl/>
              </w:rPr>
            </w:pPr>
          </w:p>
        </w:tc>
        <w:tc>
          <w:tcPr>
            <w:tcW w:w="7090" w:type="dxa"/>
            <w:gridSpan w:val="3"/>
            <w:tcBorders>
              <w:top w:val="single" w:sz="4" w:space="0" w:color="auto"/>
              <w:left w:val="single" w:sz="4" w:space="0" w:color="auto"/>
              <w:bottom w:val="single" w:sz="4" w:space="0" w:color="auto"/>
              <w:right w:val="single" w:sz="4" w:space="0" w:color="auto"/>
            </w:tcBorders>
          </w:tcPr>
          <w:p w:rsidR="00EC2CE7" w:rsidRDefault="00EC2CE7" w:rsidP="00E24E87">
            <w:pPr>
              <w:pStyle w:val="TableBlock"/>
              <w:numPr>
                <w:ilvl w:val="0"/>
                <w:numId w:val="21"/>
              </w:numPr>
              <w:tabs>
                <w:tab w:val="left" w:pos="624"/>
              </w:tabs>
              <w:rPr>
                <w:rtl/>
              </w:rPr>
            </w:pPr>
            <w:r>
              <w:rPr>
                <w:rFonts w:hint="cs"/>
                <w:rtl/>
              </w:rPr>
              <w:t>סעיף קטן (ב) יימחק.</w:t>
            </w:r>
          </w:p>
        </w:tc>
      </w:tr>
      <w:tr w:rsidR="00C2647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C26476" w:rsidRDefault="00C26476">
            <w:pPr>
              <w:pStyle w:val="TableSideHeading"/>
              <w:rPr>
                <w:rtl/>
              </w:rPr>
            </w:pPr>
            <w:r>
              <w:rPr>
                <w:rFonts w:hint="cs"/>
                <w:rtl/>
              </w:rPr>
              <w:t>תיקון סעיף 32יח</w:t>
            </w:r>
          </w:p>
        </w:tc>
        <w:tc>
          <w:tcPr>
            <w:tcW w:w="680" w:type="dxa"/>
            <w:tcBorders>
              <w:top w:val="single" w:sz="4" w:space="0" w:color="auto"/>
              <w:left w:val="single" w:sz="4" w:space="0" w:color="auto"/>
              <w:bottom w:val="single" w:sz="4" w:space="0" w:color="auto"/>
              <w:right w:val="single" w:sz="4" w:space="0" w:color="auto"/>
            </w:tcBorders>
          </w:tcPr>
          <w:p w:rsidR="00C26476" w:rsidRDefault="00C26476" w:rsidP="00C26476">
            <w:pPr>
              <w:pStyle w:val="TableText"/>
              <w:rPr>
                <w:rtl/>
              </w:rPr>
            </w:pPr>
          </w:p>
        </w:tc>
        <w:tc>
          <w:tcPr>
            <w:tcW w:w="7090" w:type="dxa"/>
            <w:gridSpan w:val="3"/>
            <w:tcBorders>
              <w:top w:val="single" w:sz="4" w:space="0" w:color="auto"/>
              <w:left w:val="single" w:sz="4" w:space="0" w:color="auto"/>
              <w:bottom w:val="single" w:sz="4" w:space="0" w:color="auto"/>
              <w:right w:val="single" w:sz="4" w:space="0" w:color="auto"/>
            </w:tcBorders>
          </w:tcPr>
          <w:p w:rsidR="00C26476" w:rsidRDefault="00C26476" w:rsidP="00C26476">
            <w:pPr>
              <w:pStyle w:val="TableBlock"/>
              <w:tabs>
                <w:tab w:val="clear" w:pos="624"/>
              </w:tabs>
              <w:rPr>
                <w:rtl/>
              </w:rPr>
            </w:pPr>
            <w:r>
              <w:rPr>
                <w:rFonts w:hint="cs"/>
                <w:rtl/>
              </w:rPr>
              <w:t>בסעיף 32יח(א) לחוק העיקרי, אחרי סעיף קטן (3), יבוא:</w:t>
            </w:r>
          </w:p>
        </w:tc>
      </w:tr>
      <w:tr w:rsidR="00C26476"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C26476" w:rsidRDefault="00C26476">
            <w:pPr>
              <w:pStyle w:val="TableSideHeading"/>
              <w:rPr>
                <w:rtl/>
              </w:rPr>
            </w:pPr>
          </w:p>
        </w:tc>
        <w:tc>
          <w:tcPr>
            <w:tcW w:w="680" w:type="dxa"/>
            <w:tcBorders>
              <w:top w:val="single" w:sz="4" w:space="0" w:color="auto"/>
              <w:left w:val="single" w:sz="4" w:space="0" w:color="auto"/>
              <w:bottom w:val="single" w:sz="4" w:space="0" w:color="auto"/>
              <w:right w:val="single" w:sz="4" w:space="0" w:color="auto"/>
            </w:tcBorders>
          </w:tcPr>
          <w:p w:rsidR="00C26476" w:rsidRDefault="00C26476" w:rsidP="00C26476">
            <w:pPr>
              <w:pStyle w:val="TableText"/>
              <w:rPr>
                <w:rtl/>
              </w:rPr>
            </w:pPr>
          </w:p>
        </w:tc>
        <w:tc>
          <w:tcPr>
            <w:tcW w:w="7090" w:type="dxa"/>
            <w:gridSpan w:val="3"/>
            <w:tcBorders>
              <w:top w:val="single" w:sz="4" w:space="0" w:color="auto"/>
              <w:left w:val="single" w:sz="4" w:space="0" w:color="auto"/>
              <w:bottom w:val="single" w:sz="4" w:space="0" w:color="auto"/>
              <w:right w:val="single" w:sz="4" w:space="0" w:color="auto"/>
            </w:tcBorders>
          </w:tcPr>
          <w:p w:rsidR="00C26476" w:rsidRDefault="00C26476" w:rsidP="00A370DF">
            <w:pPr>
              <w:pStyle w:val="TableBlock"/>
              <w:tabs>
                <w:tab w:val="clear" w:pos="624"/>
              </w:tabs>
              <w:rPr>
                <w:rtl/>
              </w:rPr>
            </w:pPr>
            <w:r>
              <w:rPr>
                <w:rFonts w:hint="cs"/>
                <w:rtl/>
              </w:rPr>
              <w:t xml:space="preserve">"(4) </w:t>
            </w:r>
            <w:r w:rsidR="00CB33E4">
              <w:rPr>
                <w:rFonts w:hint="cs"/>
                <w:rtl/>
              </w:rPr>
              <w:t>לעניין ייפוי כ</w:t>
            </w:r>
            <w:r w:rsidR="00AD7785">
              <w:rPr>
                <w:rFonts w:hint="cs"/>
                <w:rtl/>
              </w:rPr>
              <w:t>ו</w:t>
            </w:r>
            <w:r w:rsidR="00CB33E4">
              <w:rPr>
                <w:rFonts w:hint="cs"/>
                <w:rtl/>
              </w:rPr>
              <w:t xml:space="preserve">ח הכולל עניינים רפואיים </w:t>
            </w:r>
            <w:r w:rsidR="00CB33E4">
              <w:rPr>
                <w:rtl/>
              </w:rPr>
              <w:t>–</w:t>
            </w:r>
            <w:r w:rsidR="00CB33E4">
              <w:rPr>
                <w:rFonts w:hint="cs"/>
                <w:rtl/>
              </w:rPr>
              <w:t xml:space="preserve"> גם </w:t>
            </w:r>
            <w:r w:rsidRPr="00C26476">
              <w:rPr>
                <w:rtl/>
              </w:rPr>
              <w:t>רופא בבית חולים, במסגרת תפקידו ולשם טיפול במטופל; לעניין סעיף זה- "בית חולים"- כמשמעותו בסעיף 24 לפקודת בריאות העם, 1940".</w:t>
            </w:r>
          </w:p>
        </w:tc>
      </w:tr>
      <w:tr w:rsidR="00FD78E0" w:rsidTr="00231F4A">
        <w:trPr>
          <w:cantSplit/>
          <w:trHeight w:val="60"/>
        </w:trPr>
        <w:tc>
          <w:tcPr>
            <w:tcW w:w="2013" w:type="dxa"/>
            <w:tcBorders>
              <w:top w:val="single" w:sz="4" w:space="0" w:color="auto"/>
              <w:left w:val="single" w:sz="4" w:space="0" w:color="auto"/>
              <w:bottom w:val="single" w:sz="4" w:space="0" w:color="auto"/>
              <w:right w:val="single" w:sz="4" w:space="0" w:color="auto"/>
            </w:tcBorders>
          </w:tcPr>
          <w:p w:rsidR="00FD78E0" w:rsidRDefault="00FD78E0">
            <w:pPr>
              <w:pStyle w:val="TableSideHeading"/>
              <w:rPr>
                <w:rtl/>
              </w:rPr>
            </w:pPr>
            <w:r>
              <w:rPr>
                <w:rFonts w:hint="cs"/>
                <w:rtl/>
              </w:rPr>
              <w:t>תיקון סעיף 32יט</w:t>
            </w:r>
          </w:p>
        </w:tc>
        <w:tc>
          <w:tcPr>
            <w:tcW w:w="680" w:type="dxa"/>
            <w:tcBorders>
              <w:top w:val="single" w:sz="4" w:space="0" w:color="auto"/>
              <w:left w:val="single" w:sz="4" w:space="0" w:color="auto"/>
              <w:bottom w:val="single" w:sz="4" w:space="0" w:color="auto"/>
              <w:right w:val="single" w:sz="4" w:space="0" w:color="auto"/>
            </w:tcBorders>
          </w:tcPr>
          <w:p w:rsidR="00FD78E0" w:rsidRDefault="00DB1C23" w:rsidP="00FD78E0">
            <w:pPr>
              <w:pStyle w:val="TableText"/>
              <w:rPr>
                <w:rtl/>
              </w:rPr>
            </w:pPr>
            <w:r>
              <w:rPr>
                <w:rFonts w:hint="cs"/>
                <w:rtl/>
              </w:rPr>
              <w:t>8</w:t>
            </w:r>
            <w:r w:rsidR="002F1679">
              <w:rPr>
                <w:rFonts w:hint="cs"/>
                <w:rtl/>
              </w:rPr>
              <w:t>.</w:t>
            </w:r>
          </w:p>
        </w:tc>
        <w:tc>
          <w:tcPr>
            <w:tcW w:w="7090" w:type="dxa"/>
            <w:gridSpan w:val="3"/>
            <w:tcBorders>
              <w:top w:val="single" w:sz="4" w:space="0" w:color="auto"/>
              <w:left w:val="single" w:sz="4" w:space="0" w:color="auto"/>
              <w:bottom w:val="single" w:sz="4" w:space="0" w:color="auto"/>
              <w:right w:val="single" w:sz="4" w:space="0" w:color="auto"/>
            </w:tcBorders>
          </w:tcPr>
          <w:p w:rsidR="00FD78E0" w:rsidRDefault="00FD78E0" w:rsidP="00E95198">
            <w:pPr>
              <w:pStyle w:val="TableBlock"/>
              <w:rPr>
                <w:rtl/>
              </w:rPr>
            </w:pPr>
            <w:r>
              <w:rPr>
                <w:rFonts w:hint="cs"/>
                <w:rtl/>
              </w:rPr>
              <w:t>בסעיף 32יט(ב) לחוק העיקרי, אחרי המילים "לפי חוק השליחות" יבוא "ובלבד שאם הוא נערך לפי חוק זה הוא לא יהיה טעון אישור אחר</w:t>
            </w:r>
            <w:r w:rsidR="00E95198">
              <w:rPr>
                <w:rFonts w:hint="cs"/>
                <w:rtl/>
              </w:rPr>
              <w:t>, על אף האמור בכל דין</w:t>
            </w:r>
            <w:r>
              <w:rPr>
                <w:rFonts w:hint="cs"/>
                <w:rtl/>
              </w:rPr>
              <w:t>".</w:t>
            </w:r>
          </w:p>
        </w:tc>
      </w:tr>
      <w:tr w:rsidR="00E24E87"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E24E87" w:rsidRDefault="00E24E87">
            <w:pPr>
              <w:pStyle w:val="TableSideHeading"/>
              <w:rPr>
                <w:rtl/>
              </w:rPr>
            </w:pPr>
            <w:r>
              <w:rPr>
                <w:rFonts w:hint="cs"/>
                <w:rtl/>
              </w:rPr>
              <w:t>תיקון סעיף 34</w:t>
            </w:r>
          </w:p>
        </w:tc>
        <w:tc>
          <w:tcPr>
            <w:tcW w:w="680" w:type="dxa"/>
            <w:tcBorders>
              <w:top w:val="single" w:sz="4" w:space="0" w:color="auto"/>
              <w:left w:val="single" w:sz="4" w:space="0" w:color="auto"/>
              <w:bottom w:val="single" w:sz="4" w:space="0" w:color="auto"/>
              <w:right w:val="single" w:sz="4" w:space="0" w:color="auto"/>
            </w:tcBorders>
          </w:tcPr>
          <w:p w:rsidR="00E24E87" w:rsidRDefault="00E24E87" w:rsidP="00FD78E0">
            <w:pPr>
              <w:pStyle w:val="TableText"/>
              <w:rPr>
                <w:rtl/>
              </w:rPr>
            </w:pPr>
            <w:r>
              <w:rPr>
                <w:rFonts w:hint="cs"/>
                <w:rtl/>
              </w:rPr>
              <w:t>9.</w:t>
            </w:r>
          </w:p>
        </w:tc>
        <w:tc>
          <w:tcPr>
            <w:tcW w:w="7090" w:type="dxa"/>
            <w:gridSpan w:val="3"/>
            <w:tcBorders>
              <w:top w:val="single" w:sz="4" w:space="0" w:color="auto"/>
              <w:left w:val="single" w:sz="4" w:space="0" w:color="auto"/>
              <w:right w:val="single" w:sz="4" w:space="0" w:color="auto"/>
            </w:tcBorders>
          </w:tcPr>
          <w:p w:rsidR="00E24E87" w:rsidRDefault="00E24E87" w:rsidP="00287CD1">
            <w:pPr>
              <w:pStyle w:val="TableBlock"/>
              <w:rPr>
                <w:rtl/>
              </w:rPr>
            </w:pPr>
            <w:r>
              <w:rPr>
                <w:rFonts w:hint="cs"/>
                <w:rtl/>
              </w:rPr>
              <w:t>בסעיף 34 לחוק העיקרי-</w:t>
            </w:r>
          </w:p>
          <w:p w:rsidR="00E24E87" w:rsidRDefault="00E24E87" w:rsidP="00F275D5">
            <w:pPr>
              <w:pStyle w:val="TableBlock"/>
              <w:rPr>
                <w:rtl/>
              </w:rPr>
            </w:pPr>
            <w:r w:rsidRPr="00237887">
              <w:rPr>
                <w:rFonts w:hint="cs"/>
                <w:rtl/>
              </w:rPr>
              <w:t>בסעיף קטן (א)(2), אחרי המילה "תאגיד" יבוא "ואפוטרופוס מקצועי";</w:t>
            </w:r>
          </w:p>
        </w:tc>
      </w:tr>
      <w:tr w:rsidR="006B049F" w:rsidTr="006C6DBB">
        <w:trPr>
          <w:cantSplit/>
          <w:trHeight w:val="60"/>
        </w:trPr>
        <w:tc>
          <w:tcPr>
            <w:tcW w:w="2013" w:type="dxa"/>
            <w:tcBorders>
              <w:top w:val="single" w:sz="4" w:space="0" w:color="auto"/>
              <w:left w:val="single" w:sz="4" w:space="0" w:color="auto"/>
              <w:bottom w:val="single" w:sz="4" w:space="0" w:color="auto"/>
              <w:right w:val="single" w:sz="4" w:space="0" w:color="auto"/>
            </w:tcBorders>
          </w:tcPr>
          <w:p w:rsidR="006B049F" w:rsidRDefault="006B049F">
            <w:pPr>
              <w:pStyle w:val="TableSideHeading"/>
              <w:rPr>
                <w:rtl/>
              </w:rPr>
            </w:pPr>
            <w:r>
              <w:rPr>
                <w:rFonts w:hint="cs"/>
                <w:rtl/>
              </w:rPr>
              <w:t>תיקון סעיף 35א</w:t>
            </w:r>
          </w:p>
        </w:tc>
        <w:tc>
          <w:tcPr>
            <w:tcW w:w="680" w:type="dxa"/>
            <w:tcBorders>
              <w:top w:val="single" w:sz="4" w:space="0" w:color="auto"/>
              <w:left w:val="single" w:sz="4" w:space="0" w:color="auto"/>
              <w:bottom w:val="single" w:sz="4" w:space="0" w:color="auto"/>
              <w:right w:val="single" w:sz="4" w:space="0" w:color="auto"/>
            </w:tcBorders>
          </w:tcPr>
          <w:p w:rsidR="006B049F" w:rsidRDefault="00DB1C23" w:rsidP="006B049F">
            <w:pPr>
              <w:pStyle w:val="TableText"/>
              <w:rPr>
                <w:rtl/>
              </w:rPr>
            </w:pPr>
            <w:r>
              <w:rPr>
                <w:rFonts w:hint="cs"/>
                <w:rtl/>
              </w:rPr>
              <w:t>10</w:t>
            </w:r>
            <w:r w:rsidR="002F1679">
              <w:rPr>
                <w:rFonts w:hint="cs"/>
                <w:rtl/>
              </w:rPr>
              <w:t>.</w:t>
            </w:r>
          </w:p>
        </w:tc>
        <w:tc>
          <w:tcPr>
            <w:tcW w:w="7090" w:type="dxa"/>
            <w:gridSpan w:val="3"/>
            <w:tcBorders>
              <w:top w:val="single" w:sz="4" w:space="0" w:color="auto"/>
              <w:left w:val="single" w:sz="4" w:space="0" w:color="auto"/>
              <w:bottom w:val="single" w:sz="4" w:space="0" w:color="auto"/>
              <w:right w:val="single" w:sz="4" w:space="0" w:color="auto"/>
            </w:tcBorders>
          </w:tcPr>
          <w:p w:rsidR="006B049F" w:rsidRDefault="006B049F">
            <w:pPr>
              <w:pStyle w:val="TableBlock"/>
              <w:rPr>
                <w:rtl/>
              </w:rPr>
            </w:pPr>
            <w:r>
              <w:rPr>
                <w:rFonts w:hint="cs"/>
                <w:rtl/>
              </w:rPr>
              <w:t xml:space="preserve">בסעיף 35א לחוק העיקרי - </w:t>
            </w:r>
          </w:p>
        </w:tc>
      </w:tr>
      <w:tr w:rsidR="006B049F" w:rsidTr="006C6DBB">
        <w:trPr>
          <w:cantSplit/>
          <w:trHeight w:val="60"/>
        </w:trPr>
        <w:tc>
          <w:tcPr>
            <w:tcW w:w="2013" w:type="dxa"/>
            <w:tcBorders>
              <w:top w:val="single" w:sz="4" w:space="0" w:color="auto"/>
              <w:left w:val="single" w:sz="4" w:space="0" w:color="auto"/>
              <w:bottom w:val="single" w:sz="4" w:space="0" w:color="auto"/>
              <w:right w:val="single" w:sz="4" w:space="0" w:color="auto"/>
            </w:tcBorders>
          </w:tcPr>
          <w:p w:rsidR="006B049F" w:rsidRDefault="006B049F">
            <w:pPr>
              <w:pStyle w:val="TableSideHeading"/>
              <w:rPr>
                <w:rtl/>
              </w:rPr>
            </w:pPr>
          </w:p>
        </w:tc>
        <w:tc>
          <w:tcPr>
            <w:tcW w:w="680" w:type="dxa"/>
            <w:tcBorders>
              <w:top w:val="single" w:sz="4" w:space="0" w:color="auto"/>
              <w:left w:val="single" w:sz="4" w:space="0" w:color="auto"/>
              <w:bottom w:val="single" w:sz="4" w:space="0" w:color="auto"/>
              <w:right w:val="single" w:sz="4" w:space="0" w:color="auto"/>
            </w:tcBorders>
          </w:tcPr>
          <w:p w:rsidR="006B049F" w:rsidRDefault="006B049F" w:rsidP="006B049F">
            <w:pPr>
              <w:pStyle w:val="TableText"/>
              <w:rPr>
                <w:rtl/>
              </w:rPr>
            </w:pPr>
          </w:p>
        </w:tc>
        <w:tc>
          <w:tcPr>
            <w:tcW w:w="7090" w:type="dxa"/>
            <w:gridSpan w:val="3"/>
            <w:tcBorders>
              <w:top w:val="single" w:sz="4" w:space="0" w:color="auto"/>
              <w:left w:val="single" w:sz="4" w:space="0" w:color="auto"/>
              <w:bottom w:val="single" w:sz="4" w:space="0" w:color="auto"/>
              <w:right w:val="single" w:sz="4" w:space="0" w:color="auto"/>
            </w:tcBorders>
          </w:tcPr>
          <w:p w:rsidR="006B049F" w:rsidRDefault="006B049F" w:rsidP="00E24E87">
            <w:pPr>
              <w:pStyle w:val="TableBlock"/>
              <w:numPr>
                <w:ilvl w:val="0"/>
                <w:numId w:val="23"/>
              </w:numPr>
              <w:tabs>
                <w:tab w:val="left" w:pos="624"/>
              </w:tabs>
            </w:pPr>
            <w:r>
              <w:rPr>
                <w:rFonts w:hint="cs"/>
                <w:rtl/>
              </w:rPr>
              <w:t>בסעיף קטן (ג) המילה "מקורי"</w:t>
            </w:r>
            <w:r w:rsidR="00966A39">
              <w:rPr>
                <w:rFonts w:hint="cs"/>
                <w:rtl/>
              </w:rPr>
              <w:t xml:space="preserve"> תמחק</w:t>
            </w:r>
            <w:r w:rsidR="00F275D5">
              <w:rPr>
                <w:rFonts w:hint="cs"/>
                <w:rtl/>
              </w:rPr>
              <w:t>;</w:t>
            </w:r>
          </w:p>
          <w:p w:rsidR="00E24E87" w:rsidRDefault="00E24E87" w:rsidP="00E24E87">
            <w:pPr>
              <w:pStyle w:val="TableBlock"/>
              <w:numPr>
                <w:ilvl w:val="0"/>
                <w:numId w:val="23"/>
              </w:numPr>
              <w:tabs>
                <w:tab w:val="left" w:pos="624"/>
              </w:tabs>
              <w:rPr>
                <w:rtl/>
              </w:rPr>
            </w:pPr>
            <w:r>
              <w:rPr>
                <w:rFonts w:hint="cs"/>
                <w:rtl/>
              </w:rPr>
              <w:t>בסעיף קטן (ה) -</w:t>
            </w:r>
          </w:p>
        </w:tc>
      </w:tr>
      <w:tr w:rsidR="006B049F" w:rsidTr="006C6DBB">
        <w:trPr>
          <w:cantSplit/>
          <w:trHeight w:val="60"/>
        </w:trPr>
        <w:tc>
          <w:tcPr>
            <w:tcW w:w="2013" w:type="dxa"/>
            <w:tcBorders>
              <w:top w:val="single" w:sz="4" w:space="0" w:color="auto"/>
              <w:left w:val="single" w:sz="4" w:space="0" w:color="auto"/>
              <w:bottom w:val="single" w:sz="4" w:space="0" w:color="auto"/>
              <w:right w:val="single" w:sz="4" w:space="0" w:color="auto"/>
            </w:tcBorders>
          </w:tcPr>
          <w:p w:rsidR="006B049F" w:rsidRDefault="006B049F">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6B049F" w:rsidRDefault="006B049F">
            <w:pPr>
              <w:pStyle w:val="TableText"/>
            </w:pPr>
          </w:p>
        </w:tc>
        <w:tc>
          <w:tcPr>
            <w:tcW w:w="567" w:type="dxa"/>
            <w:tcBorders>
              <w:top w:val="single" w:sz="4" w:space="0" w:color="auto"/>
              <w:left w:val="single" w:sz="4" w:space="0" w:color="auto"/>
              <w:bottom w:val="single" w:sz="4" w:space="0" w:color="auto"/>
              <w:right w:val="single" w:sz="4" w:space="0" w:color="auto"/>
            </w:tcBorders>
          </w:tcPr>
          <w:p w:rsidR="006B049F" w:rsidRDefault="006B049F" w:rsidP="00E24E87">
            <w:pPr>
              <w:pStyle w:val="TableText"/>
              <w:tabs>
                <w:tab w:val="clear" w:pos="624"/>
              </w:tabs>
              <w:ind w:right="0"/>
              <w:jc w:val="both"/>
            </w:pPr>
          </w:p>
        </w:tc>
        <w:tc>
          <w:tcPr>
            <w:tcW w:w="6523" w:type="dxa"/>
            <w:gridSpan w:val="2"/>
            <w:tcBorders>
              <w:top w:val="single" w:sz="4" w:space="0" w:color="auto"/>
              <w:left w:val="single" w:sz="4" w:space="0" w:color="auto"/>
              <w:bottom w:val="single" w:sz="4" w:space="0" w:color="auto"/>
              <w:right w:val="single" w:sz="4" w:space="0" w:color="auto"/>
            </w:tcBorders>
          </w:tcPr>
          <w:p w:rsidR="00E24E87" w:rsidRPr="00B42305" w:rsidRDefault="006B049F" w:rsidP="00EC2CE7">
            <w:pPr>
              <w:pStyle w:val="TableBlock"/>
              <w:numPr>
                <w:ilvl w:val="0"/>
                <w:numId w:val="24"/>
              </w:numPr>
              <w:tabs>
                <w:tab w:val="left" w:pos="624"/>
              </w:tabs>
            </w:pPr>
            <w:r w:rsidRPr="00B42305">
              <w:rPr>
                <w:rFonts w:hint="cs"/>
                <w:rtl/>
              </w:rPr>
              <w:t>במקום</w:t>
            </w:r>
            <w:r w:rsidRPr="00B42305">
              <w:rPr>
                <w:rtl/>
              </w:rPr>
              <w:t xml:space="preserve"> "32יג" </w:t>
            </w:r>
            <w:r w:rsidRPr="00B42305">
              <w:rPr>
                <w:rFonts w:hint="cs"/>
                <w:rtl/>
              </w:rPr>
              <w:t>יבוא</w:t>
            </w:r>
            <w:r w:rsidRPr="00B42305">
              <w:rPr>
                <w:rtl/>
              </w:rPr>
              <w:t xml:space="preserve"> "32יג(א)-(ו), (ח)-(</w:t>
            </w:r>
            <w:r w:rsidR="00A8554C" w:rsidRPr="00B42305">
              <w:rPr>
                <w:rFonts w:hint="cs"/>
                <w:rtl/>
              </w:rPr>
              <w:t>י</w:t>
            </w:r>
            <w:r w:rsidRPr="00B42305">
              <w:rPr>
                <w:rtl/>
              </w:rPr>
              <w:t>)</w:t>
            </w:r>
            <w:r w:rsidR="0039397A" w:rsidRPr="00B42305">
              <w:rPr>
                <w:rtl/>
              </w:rPr>
              <w:t>"</w:t>
            </w:r>
          </w:p>
        </w:tc>
      </w:tr>
      <w:tr w:rsidR="00EC2CE7"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EC2CE7" w:rsidRDefault="00EC2CE7">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EC2CE7" w:rsidRDefault="00EC2CE7" w:rsidP="00EC2CE7">
            <w:pPr>
              <w:pStyle w:val="TableText"/>
            </w:pPr>
          </w:p>
        </w:tc>
        <w:tc>
          <w:tcPr>
            <w:tcW w:w="567" w:type="dxa"/>
            <w:tcBorders>
              <w:top w:val="single" w:sz="4" w:space="0" w:color="auto"/>
              <w:left w:val="single" w:sz="4" w:space="0" w:color="auto"/>
              <w:bottom w:val="single" w:sz="4" w:space="0" w:color="auto"/>
              <w:right w:val="single" w:sz="4" w:space="0" w:color="auto"/>
            </w:tcBorders>
          </w:tcPr>
          <w:p w:rsidR="00EC2CE7" w:rsidRDefault="00EC2CE7" w:rsidP="00E24E87">
            <w:pPr>
              <w:pStyle w:val="TableText"/>
              <w:tabs>
                <w:tab w:val="clear" w:pos="624"/>
              </w:tabs>
              <w:ind w:right="0"/>
              <w:jc w:val="both"/>
            </w:pPr>
          </w:p>
        </w:tc>
        <w:tc>
          <w:tcPr>
            <w:tcW w:w="6523" w:type="dxa"/>
            <w:gridSpan w:val="2"/>
            <w:tcBorders>
              <w:top w:val="single" w:sz="4" w:space="0" w:color="auto"/>
              <w:left w:val="single" w:sz="4" w:space="0" w:color="auto"/>
              <w:bottom w:val="single" w:sz="4" w:space="0" w:color="auto"/>
              <w:right w:val="single" w:sz="4" w:space="0" w:color="auto"/>
            </w:tcBorders>
          </w:tcPr>
          <w:p w:rsidR="00EC2CE7" w:rsidRDefault="00EC2CE7" w:rsidP="00230B77">
            <w:pPr>
              <w:pStyle w:val="TableBlock"/>
              <w:numPr>
                <w:ilvl w:val="0"/>
                <w:numId w:val="24"/>
              </w:numPr>
              <w:tabs>
                <w:tab w:val="left" w:pos="624"/>
              </w:tabs>
              <w:rPr>
                <w:rtl/>
              </w:rPr>
            </w:pPr>
            <w:r>
              <w:rPr>
                <w:rFonts w:hint="cs"/>
                <w:rtl/>
              </w:rPr>
              <w:t>במקום "32יד" יבוא "32יד(ב)</w:t>
            </w:r>
            <w:r w:rsidR="00811E6F">
              <w:rPr>
                <w:rFonts w:hint="cs"/>
                <w:rtl/>
              </w:rPr>
              <w:t>, (ג)(1)-(2),</w:t>
            </w:r>
            <w:r w:rsidR="0097627D">
              <w:rPr>
                <w:rFonts w:hint="cs"/>
                <w:rtl/>
              </w:rPr>
              <w:t>(6),</w:t>
            </w:r>
            <w:r w:rsidR="00811E6F">
              <w:rPr>
                <w:rFonts w:hint="cs"/>
                <w:rtl/>
              </w:rPr>
              <w:t xml:space="preserve"> (ה)</w:t>
            </w:r>
            <w:r>
              <w:rPr>
                <w:rFonts w:hint="cs"/>
                <w:rtl/>
              </w:rPr>
              <w:t>"</w:t>
            </w:r>
          </w:p>
        </w:tc>
      </w:tr>
      <w:tr w:rsidR="00EC2CE7"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EC2CE7" w:rsidRDefault="00EC2CE7">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EC2CE7" w:rsidRDefault="00EC2CE7" w:rsidP="00EC2CE7">
            <w:pPr>
              <w:pStyle w:val="TableText"/>
            </w:pPr>
          </w:p>
        </w:tc>
        <w:tc>
          <w:tcPr>
            <w:tcW w:w="567" w:type="dxa"/>
            <w:tcBorders>
              <w:top w:val="single" w:sz="4" w:space="0" w:color="auto"/>
              <w:left w:val="single" w:sz="4" w:space="0" w:color="auto"/>
              <w:bottom w:val="single" w:sz="4" w:space="0" w:color="auto"/>
              <w:right w:val="single" w:sz="4" w:space="0" w:color="auto"/>
            </w:tcBorders>
          </w:tcPr>
          <w:p w:rsidR="00EC2CE7" w:rsidRDefault="00EC2CE7" w:rsidP="00E24E87">
            <w:pPr>
              <w:pStyle w:val="TableText"/>
              <w:tabs>
                <w:tab w:val="clear" w:pos="624"/>
              </w:tabs>
              <w:ind w:right="0"/>
              <w:jc w:val="both"/>
            </w:pPr>
          </w:p>
        </w:tc>
        <w:tc>
          <w:tcPr>
            <w:tcW w:w="6523" w:type="dxa"/>
            <w:gridSpan w:val="2"/>
            <w:tcBorders>
              <w:top w:val="single" w:sz="4" w:space="0" w:color="auto"/>
              <w:left w:val="single" w:sz="4" w:space="0" w:color="auto"/>
              <w:bottom w:val="single" w:sz="4" w:space="0" w:color="auto"/>
              <w:right w:val="single" w:sz="4" w:space="0" w:color="auto"/>
            </w:tcBorders>
          </w:tcPr>
          <w:p w:rsidR="00EC2CE7" w:rsidRDefault="00EC2CE7" w:rsidP="00E24E87">
            <w:pPr>
              <w:pStyle w:val="TableBlock"/>
              <w:numPr>
                <w:ilvl w:val="0"/>
                <w:numId w:val="24"/>
              </w:numPr>
              <w:tabs>
                <w:tab w:val="left" w:pos="624"/>
              </w:tabs>
              <w:rPr>
                <w:rtl/>
              </w:rPr>
            </w:pPr>
            <w:r>
              <w:rPr>
                <w:rFonts w:hint="cs"/>
                <w:rtl/>
              </w:rPr>
              <w:t>במקום "32יח" יבוא "32יח(א)"</w:t>
            </w:r>
          </w:p>
        </w:tc>
      </w:tr>
      <w:tr w:rsidR="00EC2CE7"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EC2CE7" w:rsidRDefault="00EC2CE7">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EC2CE7" w:rsidRDefault="00EC2CE7" w:rsidP="00EC2CE7">
            <w:pPr>
              <w:pStyle w:val="TableText"/>
            </w:pPr>
          </w:p>
        </w:tc>
        <w:tc>
          <w:tcPr>
            <w:tcW w:w="567" w:type="dxa"/>
            <w:tcBorders>
              <w:top w:val="single" w:sz="4" w:space="0" w:color="auto"/>
              <w:left w:val="single" w:sz="4" w:space="0" w:color="auto"/>
              <w:bottom w:val="single" w:sz="4" w:space="0" w:color="auto"/>
              <w:right w:val="single" w:sz="4" w:space="0" w:color="auto"/>
            </w:tcBorders>
          </w:tcPr>
          <w:p w:rsidR="00EC2CE7" w:rsidRDefault="00EC2CE7" w:rsidP="00E24E87">
            <w:pPr>
              <w:pStyle w:val="TableText"/>
              <w:tabs>
                <w:tab w:val="clear" w:pos="624"/>
              </w:tabs>
              <w:ind w:right="0"/>
              <w:jc w:val="both"/>
            </w:pPr>
          </w:p>
        </w:tc>
        <w:tc>
          <w:tcPr>
            <w:tcW w:w="6523" w:type="dxa"/>
            <w:gridSpan w:val="2"/>
            <w:tcBorders>
              <w:top w:val="single" w:sz="4" w:space="0" w:color="auto"/>
              <w:left w:val="single" w:sz="4" w:space="0" w:color="auto"/>
              <w:bottom w:val="single" w:sz="4" w:space="0" w:color="auto"/>
              <w:right w:val="single" w:sz="4" w:space="0" w:color="auto"/>
            </w:tcBorders>
          </w:tcPr>
          <w:p w:rsidR="00EC2CE7" w:rsidRDefault="00EC2CE7" w:rsidP="00E24E87">
            <w:pPr>
              <w:pStyle w:val="TableBlock"/>
              <w:numPr>
                <w:ilvl w:val="0"/>
                <w:numId w:val="24"/>
              </w:numPr>
              <w:tabs>
                <w:tab w:val="left" w:pos="624"/>
              </w:tabs>
              <w:rPr>
                <w:rtl/>
              </w:rPr>
            </w:pPr>
            <w:r>
              <w:rPr>
                <w:rFonts w:hint="cs"/>
                <w:rtl/>
              </w:rPr>
              <w:t>במקום "32יט" יבוא "32יט(ג)-(ד)".</w:t>
            </w:r>
          </w:p>
        </w:tc>
      </w:tr>
      <w:tr w:rsidR="002F1679" w:rsidTr="00B42305">
        <w:trPr>
          <w:cantSplit/>
          <w:trHeight w:val="60"/>
        </w:trPr>
        <w:tc>
          <w:tcPr>
            <w:tcW w:w="2013" w:type="dxa"/>
            <w:tcBorders>
              <w:top w:val="single" w:sz="4" w:space="0" w:color="auto"/>
              <w:left w:val="single" w:sz="4" w:space="0" w:color="auto"/>
              <w:bottom w:val="single" w:sz="4" w:space="0" w:color="auto"/>
              <w:right w:val="single" w:sz="4" w:space="0" w:color="auto"/>
            </w:tcBorders>
          </w:tcPr>
          <w:p w:rsidR="002F1679" w:rsidRDefault="002F1679">
            <w:pPr>
              <w:pStyle w:val="TableSideHeading"/>
            </w:pPr>
            <w:r>
              <w:rPr>
                <w:rFonts w:hint="cs"/>
                <w:rtl/>
              </w:rPr>
              <w:t>תיקון סעיף 48</w:t>
            </w:r>
          </w:p>
        </w:tc>
        <w:tc>
          <w:tcPr>
            <w:tcW w:w="680" w:type="dxa"/>
            <w:tcBorders>
              <w:top w:val="single" w:sz="4" w:space="0" w:color="auto"/>
              <w:left w:val="single" w:sz="4" w:space="0" w:color="auto"/>
              <w:bottom w:val="single" w:sz="4" w:space="0" w:color="auto"/>
              <w:right w:val="single" w:sz="4" w:space="0" w:color="auto"/>
            </w:tcBorders>
          </w:tcPr>
          <w:p w:rsidR="002F1679" w:rsidRDefault="002F1679">
            <w:pPr>
              <w:pStyle w:val="TableText"/>
            </w:pPr>
            <w:r>
              <w:rPr>
                <w:rFonts w:hint="cs"/>
                <w:rtl/>
              </w:rPr>
              <w:t>10.</w:t>
            </w:r>
          </w:p>
        </w:tc>
        <w:tc>
          <w:tcPr>
            <w:tcW w:w="7090" w:type="dxa"/>
            <w:gridSpan w:val="3"/>
            <w:tcBorders>
              <w:top w:val="single" w:sz="4" w:space="0" w:color="auto"/>
              <w:left w:val="single" w:sz="4" w:space="0" w:color="auto"/>
              <w:bottom w:val="single" w:sz="4" w:space="0" w:color="auto"/>
              <w:right w:val="single" w:sz="4" w:space="0" w:color="auto"/>
            </w:tcBorders>
          </w:tcPr>
          <w:p w:rsidR="002F1679" w:rsidRPr="00F42607" w:rsidRDefault="002F1679" w:rsidP="0047143C">
            <w:pPr>
              <w:pStyle w:val="TableBlock"/>
            </w:pPr>
            <w:r w:rsidRPr="00F42607">
              <w:rPr>
                <w:rFonts w:hint="cs"/>
                <w:rtl/>
              </w:rPr>
              <w:t>בסעיף 48 בסיפא יבוא "מבלי שבית המשפט או אפוטרופוס אחר שנתמנה למטרה זו אישרן מראש."</w:t>
            </w:r>
          </w:p>
        </w:tc>
      </w:tr>
      <w:tr w:rsidR="002C7857" w:rsidTr="00B42305">
        <w:trPr>
          <w:cantSplit/>
          <w:trHeight w:val="60"/>
        </w:trPr>
        <w:tc>
          <w:tcPr>
            <w:tcW w:w="2013" w:type="dxa"/>
            <w:tcBorders>
              <w:top w:val="single" w:sz="4" w:space="0" w:color="auto"/>
              <w:left w:val="single" w:sz="4" w:space="0" w:color="auto"/>
              <w:bottom w:val="single" w:sz="4" w:space="0" w:color="auto"/>
              <w:right w:val="single" w:sz="4" w:space="0" w:color="auto"/>
            </w:tcBorders>
          </w:tcPr>
          <w:p w:rsidR="002C7857" w:rsidRDefault="002C7857">
            <w:pPr>
              <w:pStyle w:val="TableSideHeading"/>
              <w:rPr>
                <w:rtl/>
              </w:rPr>
            </w:pPr>
            <w:r>
              <w:rPr>
                <w:rFonts w:hint="cs"/>
                <w:rtl/>
              </w:rPr>
              <w:t>תיקון סעיף 51</w:t>
            </w:r>
          </w:p>
        </w:tc>
        <w:tc>
          <w:tcPr>
            <w:tcW w:w="680" w:type="dxa"/>
            <w:tcBorders>
              <w:top w:val="single" w:sz="4" w:space="0" w:color="auto"/>
              <w:left w:val="single" w:sz="4" w:space="0" w:color="auto"/>
              <w:bottom w:val="single" w:sz="4" w:space="0" w:color="auto"/>
              <w:right w:val="single" w:sz="4" w:space="0" w:color="auto"/>
            </w:tcBorders>
          </w:tcPr>
          <w:p w:rsidR="002C7857" w:rsidRDefault="002C7857">
            <w:pPr>
              <w:pStyle w:val="TableText"/>
              <w:rPr>
                <w:rtl/>
              </w:rPr>
            </w:pPr>
            <w:r>
              <w:rPr>
                <w:rFonts w:hint="cs"/>
                <w:rtl/>
              </w:rPr>
              <w:t>11.</w:t>
            </w:r>
          </w:p>
        </w:tc>
        <w:tc>
          <w:tcPr>
            <w:tcW w:w="7090" w:type="dxa"/>
            <w:gridSpan w:val="3"/>
            <w:tcBorders>
              <w:top w:val="single" w:sz="4" w:space="0" w:color="auto"/>
              <w:left w:val="single" w:sz="4" w:space="0" w:color="auto"/>
              <w:bottom w:val="single" w:sz="4" w:space="0" w:color="auto"/>
              <w:right w:val="single" w:sz="4" w:space="0" w:color="auto"/>
            </w:tcBorders>
          </w:tcPr>
          <w:p w:rsidR="002C7857" w:rsidRDefault="002C7857" w:rsidP="00563A50">
            <w:pPr>
              <w:pStyle w:val="TableBlock"/>
              <w:rPr>
                <w:rtl/>
              </w:rPr>
            </w:pPr>
            <w:r>
              <w:rPr>
                <w:rFonts w:hint="cs"/>
                <w:rtl/>
              </w:rPr>
              <w:t xml:space="preserve">בסעיף 51, במקום המילים "תוך שלושים ימים" יבוא </w:t>
            </w:r>
            <w:r>
              <w:rPr>
                <w:rtl/>
              </w:rPr>
              <w:t>–</w:t>
            </w:r>
            <w:r>
              <w:rPr>
                <w:rFonts w:hint="cs"/>
                <w:rtl/>
              </w:rPr>
              <w:t xml:space="preserve"> "</w:t>
            </w:r>
            <w:r w:rsidR="00F42607">
              <w:rPr>
                <w:rFonts w:hint="cs"/>
                <w:rtl/>
              </w:rPr>
              <w:t>ב</w:t>
            </w:r>
            <w:r w:rsidR="00D47509">
              <w:rPr>
                <w:rFonts w:hint="cs"/>
                <w:rtl/>
              </w:rPr>
              <w:t xml:space="preserve">תוך   </w:t>
            </w:r>
            <w:r w:rsidR="00563A50">
              <w:rPr>
                <w:rFonts w:hint="cs"/>
                <w:rtl/>
              </w:rPr>
              <w:t>60</w:t>
            </w:r>
            <w:r w:rsidR="00D47509">
              <w:rPr>
                <w:rFonts w:hint="cs"/>
                <w:rtl/>
              </w:rPr>
              <w:t xml:space="preserve"> ימים או מועד אחר שייקבע השר</w:t>
            </w:r>
            <w:r>
              <w:rPr>
                <w:rFonts w:hint="cs"/>
                <w:rtl/>
              </w:rPr>
              <w:t>"</w:t>
            </w:r>
          </w:p>
        </w:tc>
      </w:tr>
      <w:tr w:rsidR="0047143C" w:rsidTr="00B42305">
        <w:trPr>
          <w:cantSplit/>
          <w:trHeight w:val="60"/>
        </w:trPr>
        <w:tc>
          <w:tcPr>
            <w:tcW w:w="2013" w:type="dxa"/>
            <w:tcBorders>
              <w:top w:val="single" w:sz="4" w:space="0" w:color="auto"/>
              <w:left w:val="single" w:sz="4" w:space="0" w:color="auto"/>
              <w:bottom w:val="single" w:sz="4" w:space="0" w:color="auto"/>
              <w:right w:val="single" w:sz="4" w:space="0" w:color="auto"/>
            </w:tcBorders>
          </w:tcPr>
          <w:p w:rsidR="0047143C" w:rsidRDefault="0047143C" w:rsidP="00237887">
            <w:pPr>
              <w:pStyle w:val="TableSideHeading"/>
              <w:rPr>
                <w:rtl/>
              </w:rPr>
            </w:pPr>
            <w:r>
              <w:rPr>
                <w:rFonts w:hint="cs"/>
                <w:rtl/>
              </w:rPr>
              <w:t xml:space="preserve">תיקון </w:t>
            </w:r>
            <w:r w:rsidR="00237887">
              <w:rPr>
                <w:rFonts w:hint="cs"/>
                <w:rtl/>
              </w:rPr>
              <w:t>סעיף</w:t>
            </w:r>
            <w:r>
              <w:rPr>
                <w:rFonts w:hint="cs"/>
                <w:rtl/>
              </w:rPr>
              <w:t xml:space="preserve"> 57 </w:t>
            </w:r>
          </w:p>
        </w:tc>
        <w:tc>
          <w:tcPr>
            <w:tcW w:w="680" w:type="dxa"/>
            <w:tcBorders>
              <w:top w:val="single" w:sz="4" w:space="0" w:color="auto"/>
              <w:left w:val="single" w:sz="4" w:space="0" w:color="auto"/>
              <w:bottom w:val="single" w:sz="4" w:space="0" w:color="auto"/>
              <w:right w:val="single" w:sz="4" w:space="0" w:color="auto"/>
            </w:tcBorders>
          </w:tcPr>
          <w:p w:rsidR="0047143C" w:rsidRDefault="0047143C" w:rsidP="002F1679">
            <w:pPr>
              <w:pStyle w:val="TableText"/>
              <w:rPr>
                <w:rtl/>
              </w:rPr>
            </w:pPr>
            <w:r>
              <w:rPr>
                <w:rFonts w:hint="cs"/>
                <w:rtl/>
              </w:rPr>
              <w:t>12.</w:t>
            </w:r>
          </w:p>
        </w:tc>
        <w:tc>
          <w:tcPr>
            <w:tcW w:w="7090" w:type="dxa"/>
            <w:gridSpan w:val="3"/>
            <w:tcBorders>
              <w:top w:val="single" w:sz="4" w:space="0" w:color="auto"/>
              <w:left w:val="single" w:sz="4" w:space="0" w:color="auto"/>
              <w:bottom w:val="single" w:sz="4" w:space="0" w:color="auto"/>
              <w:right w:val="single" w:sz="4" w:space="0" w:color="auto"/>
            </w:tcBorders>
          </w:tcPr>
          <w:p w:rsidR="0047143C" w:rsidRPr="00237887" w:rsidRDefault="0047143C" w:rsidP="001062F3">
            <w:pPr>
              <w:pStyle w:val="TableBlock"/>
              <w:rPr>
                <w:rtl/>
              </w:rPr>
            </w:pPr>
            <w:r w:rsidRPr="0047143C">
              <w:rPr>
                <w:rFonts w:hint="cs"/>
                <w:rtl/>
              </w:rPr>
              <w:t xml:space="preserve">בסעיף </w:t>
            </w:r>
            <w:r w:rsidR="00237887">
              <w:rPr>
                <w:rFonts w:hint="cs"/>
                <w:rtl/>
              </w:rPr>
              <w:t>57</w:t>
            </w:r>
            <w:r w:rsidRPr="0047143C">
              <w:rPr>
                <w:rFonts w:hint="cs"/>
                <w:rtl/>
              </w:rPr>
              <w:t xml:space="preserve"> לחוק, בסופו יבוא </w:t>
            </w:r>
            <w:r w:rsidRPr="0047143C">
              <w:rPr>
                <w:rtl/>
              </w:rPr>
              <w:t>–</w:t>
            </w:r>
            <w:r w:rsidRPr="0047143C">
              <w:rPr>
                <w:rFonts w:hint="cs"/>
                <w:rtl/>
              </w:rPr>
              <w:t xml:space="preserve"> ";הוראות סעיף זה </w:t>
            </w:r>
            <w:r w:rsidR="00623B3B">
              <w:rPr>
                <w:rFonts w:hint="cs"/>
                <w:rtl/>
              </w:rPr>
              <w:t>יחולו</w:t>
            </w:r>
            <w:r w:rsidRPr="0047143C">
              <w:rPr>
                <w:rFonts w:hint="cs"/>
                <w:rtl/>
              </w:rPr>
              <w:t>בשינויים המח</w:t>
            </w:r>
            <w:r w:rsidR="00AC7C11">
              <w:rPr>
                <w:rFonts w:hint="cs"/>
                <w:rtl/>
              </w:rPr>
              <w:t>וי</w:t>
            </w:r>
            <w:r w:rsidRPr="0047143C">
              <w:rPr>
                <w:rFonts w:hint="cs"/>
                <w:rtl/>
              </w:rPr>
              <w:t>בים גם על מיופה כוח</w:t>
            </w:r>
            <w:r w:rsidR="00623B3B">
              <w:rPr>
                <w:rFonts w:hint="cs"/>
                <w:rtl/>
              </w:rPr>
              <w:t xml:space="preserve">שמונה לפי הוראות פרק </w:t>
            </w:r>
            <w:r w:rsidR="002C7857">
              <w:rPr>
                <w:rFonts w:hint="cs"/>
                <w:rtl/>
              </w:rPr>
              <w:t>שני1</w:t>
            </w:r>
            <w:r w:rsidRPr="0047143C">
              <w:rPr>
                <w:rFonts w:hint="cs"/>
                <w:rtl/>
              </w:rPr>
              <w:t>ו</w:t>
            </w:r>
            <w:r w:rsidR="00623B3B">
              <w:rPr>
                <w:rFonts w:hint="cs"/>
                <w:rtl/>
              </w:rPr>
              <w:t xml:space="preserve">על </w:t>
            </w:r>
            <w:r w:rsidRPr="0047143C">
              <w:rPr>
                <w:rFonts w:hint="cs"/>
                <w:rtl/>
              </w:rPr>
              <w:t>תומך בקבלת החלטות</w:t>
            </w:r>
            <w:r>
              <w:rPr>
                <w:rFonts w:hint="cs"/>
                <w:rtl/>
              </w:rPr>
              <w:t>".</w:t>
            </w:r>
          </w:p>
        </w:tc>
      </w:tr>
      <w:tr w:rsidR="00A84B4E" w:rsidTr="00B42305">
        <w:trPr>
          <w:cantSplit/>
          <w:trHeight w:val="60"/>
        </w:trPr>
        <w:tc>
          <w:tcPr>
            <w:tcW w:w="2013" w:type="dxa"/>
            <w:tcBorders>
              <w:top w:val="single" w:sz="4" w:space="0" w:color="auto"/>
              <w:left w:val="single" w:sz="4" w:space="0" w:color="auto"/>
              <w:bottom w:val="single" w:sz="4" w:space="0" w:color="auto"/>
              <w:right w:val="single" w:sz="4" w:space="0" w:color="auto"/>
            </w:tcBorders>
          </w:tcPr>
          <w:p w:rsidR="00A84B4E" w:rsidRDefault="00A84B4E">
            <w:pPr>
              <w:pStyle w:val="TableSideHeading"/>
              <w:rPr>
                <w:rtl/>
              </w:rPr>
            </w:pPr>
            <w:r>
              <w:rPr>
                <w:rFonts w:hint="cs"/>
                <w:rtl/>
              </w:rPr>
              <w:t>תיקון סעיף 64</w:t>
            </w:r>
          </w:p>
        </w:tc>
        <w:tc>
          <w:tcPr>
            <w:tcW w:w="680" w:type="dxa"/>
            <w:tcBorders>
              <w:top w:val="single" w:sz="4" w:space="0" w:color="auto"/>
              <w:left w:val="single" w:sz="4" w:space="0" w:color="auto"/>
              <w:bottom w:val="single" w:sz="4" w:space="0" w:color="auto"/>
              <w:right w:val="single" w:sz="4" w:space="0" w:color="auto"/>
            </w:tcBorders>
          </w:tcPr>
          <w:p w:rsidR="00A84B4E" w:rsidRDefault="00A84B4E" w:rsidP="00A84B4E">
            <w:pPr>
              <w:pStyle w:val="TableText"/>
              <w:rPr>
                <w:rtl/>
              </w:rPr>
            </w:pPr>
            <w:r>
              <w:rPr>
                <w:rFonts w:hint="cs"/>
                <w:rtl/>
              </w:rPr>
              <w:t>12.</w:t>
            </w:r>
          </w:p>
        </w:tc>
        <w:tc>
          <w:tcPr>
            <w:tcW w:w="7090" w:type="dxa"/>
            <w:gridSpan w:val="3"/>
            <w:tcBorders>
              <w:top w:val="single" w:sz="4" w:space="0" w:color="auto"/>
              <w:left w:val="single" w:sz="4" w:space="0" w:color="auto"/>
              <w:bottom w:val="single" w:sz="4" w:space="0" w:color="auto"/>
              <w:right w:val="single" w:sz="4" w:space="0" w:color="auto"/>
            </w:tcBorders>
          </w:tcPr>
          <w:p w:rsidR="00A84B4E" w:rsidRDefault="00A84B4E" w:rsidP="0039397A">
            <w:pPr>
              <w:pStyle w:val="TableBlock"/>
              <w:rPr>
                <w:rtl/>
              </w:rPr>
            </w:pPr>
            <w:r>
              <w:rPr>
                <w:rFonts w:hint="cs"/>
                <w:rtl/>
              </w:rPr>
              <w:t xml:space="preserve">בסעיף 64 לחוק העיקרי - </w:t>
            </w:r>
          </w:p>
        </w:tc>
      </w:tr>
      <w:tr w:rsidR="00A84B4E" w:rsidTr="00B42305">
        <w:trPr>
          <w:cantSplit/>
          <w:trHeight w:val="60"/>
        </w:trPr>
        <w:tc>
          <w:tcPr>
            <w:tcW w:w="2013" w:type="dxa"/>
            <w:tcBorders>
              <w:top w:val="single" w:sz="4" w:space="0" w:color="auto"/>
              <w:left w:val="single" w:sz="4" w:space="0" w:color="auto"/>
              <w:bottom w:val="single" w:sz="4" w:space="0" w:color="auto"/>
              <w:right w:val="single" w:sz="4" w:space="0" w:color="auto"/>
            </w:tcBorders>
          </w:tcPr>
          <w:p w:rsidR="00A84B4E" w:rsidRDefault="00A84B4E">
            <w:pPr>
              <w:pStyle w:val="TableSideHeading"/>
              <w:rPr>
                <w:rtl/>
              </w:rPr>
            </w:pPr>
          </w:p>
        </w:tc>
        <w:tc>
          <w:tcPr>
            <w:tcW w:w="680" w:type="dxa"/>
            <w:tcBorders>
              <w:top w:val="single" w:sz="4" w:space="0" w:color="auto"/>
              <w:left w:val="single" w:sz="4" w:space="0" w:color="auto"/>
              <w:bottom w:val="single" w:sz="4" w:space="0" w:color="auto"/>
              <w:right w:val="single" w:sz="4" w:space="0" w:color="auto"/>
            </w:tcBorders>
          </w:tcPr>
          <w:p w:rsidR="00A84B4E" w:rsidRDefault="00A84B4E" w:rsidP="00A84B4E">
            <w:pPr>
              <w:pStyle w:val="TableText"/>
              <w:rPr>
                <w:rtl/>
              </w:rPr>
            </w:pPr>
          </w:p>
        </w:tc>
        <w:tc>
          <w:tcPr>
            <w:tcW w:w="7090" w:type="dxa"/>
            <w:gridSpan w:val="3"/>
            <w:tcBorders>
              <w:top w:val="single" w:sz="4" w:space="0" w:color="auto"/>
              <w:left w:val="single" w:sz="4" w:space="0" w:color="auto"/>
              <w:bottom w:val="single" w:sz="4" w:space="0" w:color="auto"/>
              <w:right w:val="single" w:sz="4" w:space="0" w:color="auto"/>
            </w:tcBorders>
          </w:tcPr>
          <w:p w:rsidR="0039397A" w:rsidRDefault="00A84B4E" w:rsidP="00230B77">
            <w:pPr>
              <w:pStyle w:val="TableBlock"/>
              <w:numPr>
                <w:ilvl w:val="0"/>
                <w:numId w:val="26"/>
              </w:numPr>
              <w:tabs>
                <w:tab w:val="left" w:pos="624"/>
              </w:tabs>
              <w:rPr>
                <w:rtl/>
              </w:rPr>
            </w:pPr>
            <w:r>
              <w:rPr>
                <w:rFonts w:hint="cs"/>
                <w:rtl/>
              </w:rPr>
              <w:t>בסעי</w:t>
            </w:r>
            <w:r w:rsidR="00D57789">
              <w:rPr>
                <w:rFonts w:hint="cs"/>
                <w:rtl/>
              </w:rPr>
              <w:t xml:space="preserve">פיםקטנים </w:t>
            </w:r>
            <w:r>
              <w:rPr>
                <w:rFonts w:hint="cs"/>
                <w:rtl/>
              </w:rPr>
              <w:t>(א)</w:t>
            </w:r>
            <w:r w:rsidR="00D57789">
              <w:rPr>
                <w:rFonts w:hint="cs"/>
                <w:rtl/>
              </w:rPr>
              <w:t xml:space="preserve"> עד (ב)</w:t>
            </w:r>
            <w:r>
              <w:rPr>
                <w:rFonts w:hint="cs"/>
                <w:rtl/>
              </w:rPr>
              <w:t>, אחרי המילה "יחיד" יבוא "או תאגיד".</w:t>
            </w:r>
          </w:p>
        </w:tc>
      </w:tr>
      <w:tr w:rsidR="00230B77" w:rsidTr="007631E0">
        <w:trPr>
          <w:cantSplit/>
          <w:trHeight w:val="60"/>
        </w:trPr>
        <w:tc>
          <w:tcPr>
            <w:tcW w:w="2013" w:type="dxa"/>
            <w:tcBorders>
              <w:top w:val="single" w:sz="4" w:space="0" w:color="auto"/>
              <w:left w:val="single" w:sz="4" w:space="0" w:color="auto"/>
              <w:bottom w:val="single" w:sz="4" w:space="0" w:color="auto"/>
              <w:right w:val="single" w:sz="4" w:space="0" w:color="auto"/>
            </w:tcBorders>
          </w:tcPr>
          <w:p w:rsidR="00230B77" w:rsidRDefault="00230B77">
            <w:pPr>
              <w:pStyle w:val="TableSideHeading"/>
              <w:rPr>
                <w:rtl/>
              </w:rPr>
            </w:pPr>
          </w:p>
        </w:tc>
        <w:tc>
          <w:tcPr>
            <w:tcW w:w="680" w:type="dxa"/>
            <w:tcBorders>
              <w:top w:val="single" w:sz="4" w:space="0" w:color="auto"/>
              <w:left w:val="single" w:sz="4" w:space="0" w:color="auto"/>
              <w:bottom w:val="single" w:sz="4" w:space="0" w:color="auto"/>
              <w:right w:val="single" w:sz="4" w:space="0" w:color="auto"/>
            </w:tcBorders>
          </w:tcPr>
          <w:p w:rsidR="00230B77" w:rsidRDefault="00230B77" w:rsidP="00230B77">
            <w:pPr>
              <w:pStyle w:val="TableText"/>
              <w:rPr>
                <w:rtl/>
              </w:rPr>
            </w:pPr>
          </w:p>
        </w:tc>
        <w:tc>
          <w:tcPr>
            <w:tcW w:w="7090" w:type="dxa"/>
            <w:gridSpan w:val="3"/>
            <w:tcBorders>
              <w:top w:val="single" w:sz="4" w:space="0" w:color="auto"/>
              <w:left w:val="single" w:sz="4" w:space="0" w:color="auto"/>
              <w:bottom w:val="single" w:sz="4" w:space="0" w:color="auto"/>
              <w:right w:val="single" w:sz="4" w:space="0" w:color="auto"/>
            </w:tcBorders>
          </w:tcPr>
          <w:p w:rsidR="00230B77" w:rsidRDefault="00230B77" w:rsidP="00D57789">
            <w:pPr>
              <w:pStyle w:val="TableBlock"/>
              <w:numPr>
                <w:ilvl w:val="0"/>
                <w:numId w:val="26"/>
              </w:numPr>
              <w:tabs>
                <w:tab w:val="left" w:pos="624"/>
              </w:tabs>
              <w:rPr>
                <w:rtl/>
              </w:rPr>
            </w:pPr>
            <w:r>
              <w:rPr>
                <w:rFonts w:hint="cs"/>
                <w:rtl/>
              </w:rPr>
              <w:t>בסעיף קטן (ד) -</w:t>
            </w:r>
          </w:p>
        </w:tc>
      </w:tr>
      <w:tr w:rsidR="0039397A" w:rsidTr="0039397A">
        <w:trPr>
          <w:cantSplit/>
          <w:trHeight w:val="60"/>
        </w:trPr>
        <w:tc>
          <w:tcPr>
            <w:tcW w:w="3260" w:type="dxa"/>
            <w:gridSpan w:val="3"/>
            <w:tcBorders>
              <w:top w:val="single" w:sz="4" w:space="0" w:color="auto"/>
              <w:left w:val="single" w:sz="4" w:space="0" w:color="auto"/>
              <w:bottom w:val="single" w:sz="4" w:space="0" w:color="auto"/>
              <w:right w:val="single" w:sz="4" w:space="0" w:color="auto"/>
            </w:tcBorders>
          </w:tcPr>
          <w:p w:rsidR="0039397A" w:rsidRDefault="0039397A" w:rsidP="0039397A">
            <w:pPr>
              <w:pStyle w:val="TableText"/>
              <w:tabs>
                <w:tab w:val="clear" w:pos="624"/>
              </w:tabs>
              <w:ind w:right="0"/>
              <w:jc w:val="both"/>
            </w:pPr>
          </w:p>
        </w:tc>
        <w:tc>
          <w:tcPr>
            <w:tcW w:w="6523" w:type="dxa"/>
            <w:gridSpan w:val="2"/>
            <w:tcBorders>
              <w:top w:val="single" w:sz="4" w:space="0" w:color="auto"/>
              <w:left w:val="single" w:sz="4" w:space="0" w:color="auto"/>
              <w:bottom w:val="single" w:sz="4" w:space="0" w:color="auto"/>
              <w:right w:val="single" w:sz="4" w:space="0" w:color="auto"/>
            </w:tcBorders>
          </w:tcPr>
          <w:p w:rsidR="0039397A" w:rsidRDefault="0039397A" w:rsidP="00230B77">
            <w:pPr>
              <w:pStyle w:val="TableBlock"/>
              <w:numPr>
                <w:ilvl w:val="0"/>
                <w:numId w:val="27"/>
              </w:numPr>
              <w:tabs>
                <w:tab w:val="left" w:pos="624"/>
              </w:tabs>
            </w:pPr>
            <w:r>
              <w:rPr>
                <w:rFonts w:hint="cs"/>
                <w:rtl/>
              </w:rPr>
              <w:t>במקום "32יג" יבוא "32יג(א)-(ו), (ח)-(י)"</w:t>
            </w:r>
          </w:p>
        </w:tc>
      </w:tr>
      <w:tr w:rsidR="00230B77" w:rsidTr="0039397A">
        <w:trPr>
          <w:cantSplit/>
          <w:trHeight w:val="60"/>
        </w:trPr>
        <w:tc>
          <w:tcPr>
            <w:tcW w:w="3260" w:type="dxa"/>
            <w:gridSpan w:val="3"/>
            <w:tcBorders>
              <w:top w:val="single" w:sz="4" w:space="0" w:color="auto"/>
              <w:left w:val="single" w:sz="4" w:space="0" w:color="auto"/>
              <w:bottom w:val="single" w:sz="4" w:space="0" w:color="auto"/>
              <w:right w:val="single" w:sz="4" w:space="0" w:color="auto"/>
            </w:tcBorders>
          </w:tcPr>
          <w:p w:rsidR="00230B77" w:rsidRDefault="00230B77" w:rsidP="0039397A">
            <w:pPr>
              <w:pStyle w:val="TableText"/>
              <w:tabs>
                <w:tab w:val="clear" w:pos="624"/>
              </w:tabs>
              <w:ind w:right="0"/>
              <w:jc w:val="both"/>
            </w:pPr>
          </w:p>
        </w:tc>
        <w:tc>
          <w:tcPr>
            <w:tcW w:w="6523" w:type="dxa"/>
            <w:gridSpan w:val="2"/>
            <w:tcBorders>
              <w:top w:val="single" w:sz="4" w:space="0" w:color="auto"/>
              <w:left w:val="single" w:sz="4" w:space="0" w:color="auto"/>
              <w:bottom w:val="single" w:sz="4" w:space="0" w:color="auto"/>
              <w:right w:val="single" w:sz="4" w:space="0" w:color="auto"/>
            </w:tcBorders>
          </w:tcPr>
          <w:p w:rsidR="00230B77" w:rsidRDefault="00230B77" w:rsidP="00230B77">
            <w:pPr>
              <w:pStyle w:val="TableBlock"/>
              <w:numPr>
                <w:ilvl w:val="0"/>
                <w:numId w:val="27"/>
              </w:numPr>
              <w:tabs>
                <w:tab w:val="left" w:pos="624"/>
              </w:tabs>
              <w:rPr>
                <w:rtl/>
              </w:rPr>
            </w:pPr>
            <w:r>
              <w:rPr>
                <w:rFonts w:hint="cs"/>
                <w:rtl/>
              </w:rPr>
              <w:t>במקום "32יד" יבוא "32יד(ב)</w:t>
            </w:r>
            <w:r w:rsidR="007D6BF9">
              <w:rPr>
                <w:rFonts w:hint="cs"/>
                <w:rtl/>
              </w:rPr>
              <w:t>, (ג)(1)-(2),(6), (ה)</w:t>
            </w:r>
            <w:r>
              <w:rPr>
                <w:rFonts w:hint="cs"/>
                <w:rtl/>
              </w:rPr>
              <w:t>"</w:t>
            </w:r>
          </w:p>
        </w:tc>
      </w:tr>
      <w:tr w:rsidR="00230B77" w:rsidTr="0039397A">
        <w:trPr>
          <w:cantSplit/>
          <w:trHeight w:val="60"/>
        </w:trPr>
        <w:tc>
          <w:tcPr>
            <w:tcW w:w="3260" w:type="dxa"/>
            <w:gridSpan w:val="3"/>
            <w:tcBorders>
              <w:top w:val="single" w:sz="4" w:space="0" w:color="auto"/>
              <w:left w:val="single" w:sz="4" w:space="0" w:color="auto"/>
              <w:bottom w:val="single" w:sz="4" w:space="0" w:color="auto"/>
              <w:right w:val="single" w:sz="4" w:space="0" w:color="auto"/>
            </w:tcBorders>
          </w:tcPr>
          <w:p w:rsidR="00230B77" w:rsidRDefault="00230B77" w:rsidP="0039397A">
            <w:pPr>
              <w:pStyle w:val="TableText"/>
              <w:tabs>
                <w:tab w:val="clear" w:pos="624"/>
              </w:tabs>
              <w:ind w:right="0"/>
              <w:jc w:val="both"/>
            </w:pPr>
          </w:p>
        </w:tc>
        <w:tc>
          <w:tcPr>
            <w:tcW w:w="6523" w:type="dxa"/>
            <w:gridSpan w:val="2"/>
            <w:tcBorders>
              <w:top w:val="single" w:sz="4" w:space="0" w:color="auto"/>
              <w:left w:val="single" w:sz="4" w:space="0" w:color="auto"/>
              <w:bottom w:val="single" w:sz="4" w:space="0" w:color="auto"/>
              <w:right w:val="single" w:sz="4" w:space="0" w:color="auto"/>
            </w:tcBorders>
          </w:tcPr>
          <w:p w:rsidR="00230B77" w:rsidRDefault="00230B77" w:rsidP="00230B77">
            <w:pPr>
              <w:pStyle w:val="TableBlock"/>
              <w:numPr>
                <w:ilvl w:val="0"/>
                <w:numId w:val="27"/>
              </w:numPr>
              <w:tabs>
                <w:tab w:val="left" w:pos="624"/>
              </w:tabs>
              <w:rPr>
                <w:rtl/>
              </w:rPr>
            </w:pPr>
            <w:r>
              <w:rPr>
                <w:rFonts w:hint="cs"/>
                <w:rtl/>
              </w:rPr>
              <w:t>במקום "32יח" יבוא "32יח(א)"</w:t>
            </w:r>
          </w:p>
        </w:tc>
      </w:tr>
      <w:tr w:rsidR="00230B77" w:rsidTr="0039397A">
        <w:trPr>
          <w:cantSplit/>
          <w:trHeight w:val="60"/>
        </w:trPr>
        <w:tc>
          <w:tcPr>
            <w:tcW w:w="3260" w:type="dxa"/>
            <w:gridSpan w:val="3"/>
            <w:tcBorders>
              <w:top w:val="single" w:sz="4" w:space="0" w:color="auto"/>
              <w:left w:val="single" w:sz="4" w:space="0" w:color="auto"/>
              <w:bottom w:val="single" w:sz="4" w:space="0" w:color="auto"/>
              <w:right w:val="single" w:sz="4" w:space="0" w:color="auto"/>
            </w:tcBorders>
          </w:tcPr>
          <w:p w:rsidR="00230B77" w:rsidRDefault="00230B77" w:rsidP="0039397A">
            <w:pPr>
              <w:pStyle w:val="TableText"/>
              <w:tabs>
                <w:tab w:val="clear" w:pos="624"/>
              </w:tabs>
              <w:ind w:right="0"/>
              <w:jc w:val="both"/>
            </w:pPr>
          </w:p>
        </w:tc>
        <w:tc>
          <w:tcPr>
            <w:tcW w:w="6523" w:type="dxa"/>
            <w:gridSpan w:val="2"/>
            <w:tcBorders>
              <w:top w:val="single" w:sz="4" w:space="0" w:color="auto"/>
              <w:left w:val="single" w:sz="4" w:space="0" w:color="auto"/>
              <w:bottom w:val="single" w:sz="4" w:space="0" w:color="auto"/>
              <w:right w:val="single" w:sz="4" w:space="0" w:color="auto"/>
            </w:tcBorders>
          </w:tcPr>
          <w:p w:rsidR="00230B77" w:rsidRDefault="00230B77" w:rsidP="00230B77">
            <w:pPr>
              <w:pStyle w:val="TableBlock"/>
              <w:numPr>
                <w:ilvl w:val="0"/>
                <w:numId w:val="27"/>
              </w:numPr>
              <w:tabs>
                <w:tab w:val="left" w:pos="624"/>
              </w:tabs>
              <w:rPr>
                <w:rtl/>
              </w:rPr>
            </w:pPr>
            <w:r>
              <w:rPr>
                <w:rFonts w:hint="cs"/>
                <w:rtl/>
              </w:rPr>
              <w:t>במקום "32יט(א)" יבוא "32יט(א)ו-(ג)"</w:t>
            </w:r>
          </w:p>
        </w:tc>
      </w:tr>
      <w:tr w:rsidR="0039397A" w:rsidTr="00140224">
        <w:trPr>
          <w:cantSplit/>
          <w:trHeight w:val="60"/>
        </w:trPr>
        <w:tc>
          <w:tcPr>
            <w:tcW w:w="2693" w:type="dxa"/>
            <w:gridSpan w:val="2"/>
            <w:tcBorders>
              <w:top w:val="single" w:sz="4" w:space="0" w:color="auto"/>
              <w:left w:val="single" w:sz="4" w:space="0" w:color="auto"/>
              <w:bottom w:val="single" w:sz="4" w:space="0" w:color="auto"/>
              <w:right w:val="single" w:sz="4" w:space="0" w:color="auto"/>
            </w:tcBorders>
          </w:tcPr>
          <w:p w:rsidR="0039397A" w:rsidRDefault="0039397A" w:rsidP="00A84B4E">
            <w:pPr>
              <w:pStyle w:val="TableText"/>
            </w:pPr>
          </w:p>
        </w:tc>
        <w:tc>
          <w:tcPr>
            <w:tcW w:w="567" w:type="dxa"/>
            <w:tcBorders>
              <w:top w:val="single" w:sz="4" w:space="0" w:color="auto"/>
              <w:left w:val="single" w:sz="4" w:space="0" w:color="auto"/>
              <w:bottom w:val="single" w:sz="4" w:space="0" w:color="auto"/>
              <w:right w:val="single" w:sz="4" w:space="0" w:color="auto"/>
            </w:tcBorders>
          </w:tcPr>
          <w:p w:rsidR="0039397A" w:rsidRDefault="0039397A" w:rsidP="0039397A">
            <w:pPr>
              <w:pStyle w:val="TableText"/>
              <w:tabs>
                <w:tab w:val="clear" w:pos="624"/>
              </w:tabs>
              <w:ind w:right="0"/>
              <w:jc w:val="both"/>
              <w:rPr>
                <w:rtl/>
              </w:rPr>
            </w:pPr>
            <w:r>
              <w:rPr>
                <w:rFonts w:hint="cs"/>
                <w:rtl/>
              </w:rPr>
              <w:t>(3)</w:t>
            </w:r>
          </w:p>
        </w:tc>
        <w:tc>
          <w:tcPr>
            <w:tcW w:w="6523" w:type="dxa"/>
            <w:gridSpan w:val="2"/>
            <w:tcBorders>
              <w:top w:val="single" w:sz="4" w:space="0" w:color="auto"/>
              <w:left w:val="single" w:sz="4" w:space="0" w:color="auto"/>
              <w:bottom w:val="single" w:sz="4" w:space="0" w:color="auto"/>
              <w:right w:val="single" w:sz="4" w:space="0" w:color="auto"/>
            </w:tcBorders>
          </w:tcPr>
          <w:p w:rsidR="0039397A" w:rsidRDefault="0039397A">
            <w:pPr>
              <w:pStyle w:val="TableBlock"/>
              <w:rPr>
                <w:rtl/>
              </w:rPr>
            </w:pPr>
            <w:r>
              <w:rPr>
                <w:rFonts w:hint="cs"/>
                <w:rtl/>
              </w:rPr>
              <w:t>אחרי סעיף קטן (ד) יבוא:</w:t>
            </w:r>
          </w:p>
        </w:tc>
      </w:tr>
      <w:tr w:rsidR="0039397A" w:rsidTr="00140224">
        <w:trPr>
          <w:cantSplit/>
          <w:trHeight w:val="60"/>
        </w:trPr>
        <w:tc>
          <w:tcPr>
            <w:tcW w:w="2013" w:type="dxa"/>
            <w:tcBorders>
              <w:top w:val="single" w:sz="4" w:space="0" w:color="auto"/>
              <w:left w:val="single" w:sz="4" w:space="0" w:color="auto"/>
              <w:bottom w:val="single" w:sz="4" w:space="0" w:color="auto"/>
              <w:right w:val="single" w:sz="4" w:space="0" w:color="auto"/>
            </w:tcBorders>
          </w:tcPr>
          <w:p w:rsidR="0039397A" w:rsidRDefault="0039397A">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39397A" w:rsidRDefault="0039397A">
            <w:pPr>
              <w:pStyle w:val="TableText"/>
            </w:pPr>
          </w:p>
        </w:tc>
        <w:tc>
          <w:tcPr>
            <w:tcW w:w="567" w:type="dxa"/>
            <w:tcBorders>
              <w:top w:val="single" w:sz="4" w:space="0" w:color="auto"/>
              <w:left w:val="single" w:sz="4" w:space="0" w:color="auto"/>
              <w:bottom w:val="single" w:sz="4" w:space="0" w:color="auto"/>
              <w:right w:val="single" w:sz="4" w:space="0" w:color="auto"/>
            </w:tcBorders>
          </w:tcPr>
          <w:p w:rsidR="0039397A" w:rsidRDefault="0039397A">
            <w:pPr>
              <w:pStyle w:val="TableText"/>
            </w:pPr>
          </w:p>
        </w:tc>
        <w:tc>
          <w:tcPr>
            <w:tcW w:w="567" w:type="dxa"/>
            <w:tcBorders>
              <w:top w:val="single" w:sz="4" w:space="0" w:color="auto"/>
              <w:left w:val="single" w:sz="4" w:space="0" w:color="auto"/>
              <w:bottom w:val="single" w:sz="4" w:space="0" w:color="auto"/>
              <w:right w:val="single" w:sz="4" w:space="0" w:color="auto"/>
            </w:tcBorders>
          </w:tcPr>
          <w:p w:rsidR="0039397A" w:rsidRPr="00DB5586" w:rsidDel="004968BC" w:rsidRDefault="0039397A" w:rsidP="0039397A">
            <w:pPr>
              <w:pStyle w:val="TableBlock"/>
              <w:rPr>
                <w:rtl/>
              </w:rPr>
            </w:pPr>
            <w:r>
              <w:rPr>
                <w:rFonts w:hint="cs"/>
                <w:rtl/>
              </w:rPr>
              <w:t>"</w:t>
            </w:r>
            <w:r w:rsidR="00907189">
              <w:rPr>
                <w:rFonts w:hint="cs"/>
                <w:rtl/>
              </w:rPr>
              <w:t>(</w:t>
            </w:r>
            <w:r>
              <w:rPr>
                <w:rFonts w:hint="cs"/>
                <w:rtl/>
              </w:rPr>
              <w:t>ד1</w:t>
            </w:r>
            <w:r w:rsidR="00907189">
              <w:rPr>
                <w:rFonts w:hint="cs"/>
                <w:rtl/>
              </w:rPr>
              <w:t>)</w:t>
            </w:r>
          </w:p>
        </w:tc>
        <w:tc>
          <w:tcPr>
            <w:tcW w:w="5956" w:type="dxa"/>
            <w:tcBorders>
              <w:top w:val="single" w:sz="4" w:space="0" w:color="auto"/>
              <w:left w:val="single" w:sz="4" w:space="0" w:color="auto"/>
              <w:bottom w:val="single" w:sz="4" w:space="0" w:color="auto"/>
              <w:right w:val="single" w:sz="4" w:space="0" w:color="auto"/>
            </w:tcBorders>
          </w:tcPr>
          <w:p w:rsidR="0039397A" w:rsidRDefault="0039397A" w:rsidP="004968BC">
            <w:pPr>
              <w:pStyle w:val="TableBlock"/>
            </w:pPr>
            <w:r w:rsidRPr="00DB5586">
              <w:rPr>
                <w:rFonts w:hint="cs"/>
                <w:rtl/>
              </w:rPr>
              <w:t>רשאי אדם להפקיד מסמך הבעת רצון לפי סעיף זה אצל האפוטרופוס הכללי; ההפקדה תהיה במסירת עותק של הטופס בידי עורך הטופס בעצמו או על ידי עורך הדין שבפניו הוא נערך</w:t>
            </w:r>
            <w:r>
              <w:rPr>
                <w:rFonts w:hint="cs"/>
                <w:rtl/>
              </w:rPr>
              <w:t>".</w:t>
            </w:r>
          </w:p>
        </w:tc>
      </w:tr>
      <w:tr w:rsidR="00736C5A" w:rsidTr="00140224">
        <w:trPr>
          <w:cantSplit/>
          <w:trHeight w:val="60"/>
        </w:trPr>
        <w:tc>
          <w:tcPr>
            <w:tcW w:w="2013" w:type="dxa"/>
            <w:tcBorders>
              <w:top w:val="single" w:sz="4" w:space="0" w:color="auto"/>
              <w:left w:val="single" w:sz="4" w:space="0" w:color="auto"/>
              <w:bottom w:val="single" w:sz="4" w:space="0" w:color="auto"/>
              <w:right w:val="single" w:sz="4" w:space="0" w:color="auto"/>
            </w:tcBorders>
          </w:tcPr>
          <w:p w:rsidR="00736C5A" w:rsidRDefault="00736C5A" w:rsidP="0039397A">
            <w:pPr>
              <w:pStyle w:val="TableSideHeading"/>
              <w:ind w:right="0"/>
            </w:pPr>
            <w:r>
              <w:rPr>
                <w:rFonts w:hint="cs"/>
                <w:rtl/>
              </w:rPr>
              <w:t>תיקון סעיף 64א</w:t>
            </w:r>
          </w:p>
        </w:tc>
        <w:tc>
          <w:tcPr>
            <w:tcW w:w="680" w:type="dxa"/>
            <w:tcBorders>
              <w:top w:val="single" w:sz="4" w:space="0" w:color="auto"/>
              <w:left w:val="single" w:sz="4" w:space="0" w:color="auto"/>
              <w:bottom w:val="single" w:sz="4" w:space="0" w:color="auto"/>
              <w:right w:val="single" w:sz="4" w:space="0" w:color="auto"/>
            </w:tcBorders>
          </w:tcPr>
          <w:p w:rsidR="00736C5A" w:rsidRDefault="00736C5A">
            <w:pPr>
              <w:pStyle w:val="TableText"/>
            </w:pPr>
            <w:r>
              <w:rPr>
                <w:rFonts w:hint="cs"/>
                <w:rtl/>
              </w:rPr>
              <w:t>13.</w:t>
            </w:r>
          </w:p>
        </w:tc>
        <w:tc>
          <w:tcPr>
            <w:tcW w:w="7090" w:type="dxa"/>
            <w:gridSpan w:val="3"/>
            <w:tcBorders>
              <w:top w:val="single" w:sz="4" w:space="0" w:color="auto"/>
              <w:left w:val="single" w:sz="4" w:space="0" w:color="auto"/>
              <w:bottom w:val="single" w:sz="4" w:space="0" w:color="auto"/>
              <w:right w:val="single" w:sz="4" w:space="0" w:color="auto"/>
            </w:tcBorders>
          </w:tcPr>
          <w:p w:rsidR="00736C5A" w:rsidRDefault="00736C5A" w:rsidP="00907189">
            <w:pPr>
              <w:pStyle w:val="TableBlock"/>
              <w:rPr>
                <w:rtl/>
              </w:rPr>
            </w:pPr>
            <w:r>
              <w:rPr>
                <w:rFonts w:hint="cs"/>
                <w:rtl/>
              </w:rPr>
              <w:t xml:space="preserve">בסעיף 64א לחוק העיקרי </w:t>
            </w:r>
            <w:r w:rsidR="00907189">
              <w:rPr>
                <w:rtl/>
              </w:rPr>
              <w:t>–</w:t>
            </w:r>
          </w:p>
          <w:p w:rsidR="00907189" w:rsidRPr="00C34DE2" w:rsidRDefault="00907189" w:rsidP="00B371C1">
            <w:pPr>
              <w:pStyle w:val="TableBlock"/>
              <w:numPr>
                <w:ilvl w:val="0"/>
                <w:numId w:val="30"/>
              </w:numPr>
              <w:tabs>
                <w:tab w:val="clear" w:pos="1247"/>
                <w:tab w:val="left" w:pos="624"/>
              </w:tabs>
            </w:pPr>
            <w:r>
              <w:rPr>
                <w:rFonts w:hint="cs"/>
                <w:rtl/>
              </w:rPr>
              <w:t>בסעיף קטן (ג), המילים "או (ב)" יימחקו ואחרי המיל</w:t>
            </w:r>
            <w:r w:rsidR="001107BB">
              <w:rPr>
                <w:rFonts w:hint="cs"/>
                <w:rtl/>
              </w:rPr>
              <w:t>ים</w:t>
            </w:r>
            <w:r>
              <w:rPr>
                <w:rFonts w:hint="cs"/>
                <w:rtl/>
              </w:rPr>
              <w:t xml:space="preserve"> "רשאי</w:t>
            </w:r>
            <w:r w:rsidR="001107BB">
              <w:rPr>
                <w:rFonts w:hint="cs"/>
                <w:rtl/>
              </w:rPr>
              <w:t xml:space="preserve"> לתת</w:t>
            </w:r>
            <w:r>
              <w:rPr>
                <w:rFonts w:hint="cs"/>
                <w:rtl/>
              </w:rPr>
              <w:t>" יבוא "בצוואה או במסמך הבעת רצון, לפי העניין,"</w:t>
            </w:r>
          </w:p>
        </w:tc>
      </w:tr>
      <w:tr w:rsidR="00B371C1" w:rsidTr="00140224">
        <w:trPr>
          <w:cantSplit/>
          <w:trHeight w:val="60"/>
        </w:trPr>
        <w:tc>
          <w:tcPr>
            <w:tcW w:w="2013" w:type="dxa"/>
            <w:tcBorders>
              <w:top w:val="single" w:sz="4" w:space="0" w:color="auto"/>
              <w:left w:val="single" w:sz="4" w:space="0" w:color="auto"/>
              <w:bottom w:val="single" w:sz="4" w:space="0" w:color="auto"/>
              <w:right w:val="single" w:sz="4" w:space="0" w:color="auto"/>
            </w:tcBorders>
          </w:tcPr>
          <w:p w:rsidR="00B371C1" w:rsidRDefault="00B371C1" w:rsidP="0039397A">
            <w:pPr>
              <w:pStyle w:val="TableSideHeading"/>
              <w:ind w:right="0"/>
              <w:rPr>
                <w:rtl/>
              </w:rPr>
            </w:pPr>
          </w:p>
        </w:tc>
        <w:tc>
          <w:tcPr>
            <w:tcW w:w="680" w:type="dxa"/>
            <w:tcBorders>
              <w:top w:val="single" w:sz="4" w:space="0" w:color="auto"/>
              <w:left w:val="single" w:sz="4" w:space="0" w:color="auto"/>
              <w:bottom w:val="single" w:sz="4" w:space="0" w:color="auto"/>
              <w:right w:val="single" w:sz="4" w:space="0" w:color="auto"/>
            </w:tcBorders>
          </w:tcPr>
          <w:p w:rsidR="00B371C1" w:rsidRDefault="00B371C1" w:rsidP="00B371C1">
            <w:pPr>
              <w:pStyle w:val="TableText"/>
              <w:rPr>
                <w:rtl/>
              </w:rPr>
            </w:pPr>
          </w:p>
        </w:tc>
        <w:tc>
          <w:tcPr>
            <w:tcW w:w="7090" w:type="dxa"/>
            <w:gridSpan w:val="3"/>
            <w:tcBorders>
              <w:top w:val="single" w:sz="4" w:space="0" w:color="auto"/>
              <w:left w:val="single" w:sz="4" w:space="0" w:color="auto"/>
              <w:bottom w:val="single" w:sz="4" w:space="0" w:color="auto"/>
              <w:right w:val="single" w:sz="4" w:space="0" w:color="auto"/>
            </w:tcBorders>
          </w:tcPr>
          <w:p w:rsidR="00B371C1" w:rsidRDefault="00B371C1" w:rsidP="00B371C1">
            <w:pPr>
              <w:pStyle w:val="TableBlock"/>
              <w:numPr>
                <w:ilvl w:val="0"/>
                <w:numId w:val="30"/>
              </w:numPr>
              <w:rPr>
                <w:rtl/>
              </w:rPr>
            </w:pPr>
            <w:r>
              <w:rPr>
                <w:rFonts w:hint="cs"/>
                <w:rtl/>
              </w:rPr>
              <w:t>בסעיף קטן (ד) -</w:t>
            </w:r>
          </w:p>
        </w:tc>
      </w:tr>
      <w:tr w:rsidR="00736C5A" w:rsidTr="00140224">
        <w:trPr>
          <w:cantSplit/>
          <w:trHeight w:val="60"/>
        </w:trPr>
        <w:tc>
          <w:tcPr>
            <w:tcW w:w="2013" w:type="dxa"/>
            <w:tcBorders>
              <w:top w:val="single" w:sz="4" w:space="0" w:color="auto"/>
              <w:left w:val="single" w:sz="4" w:space="0" w:color="auto"/>
              <w:bottom w:val="single" w:sz="4" w:space="0" w:color="auto"/>
              <w:right w:val="single" w:sz="4" w:space="0" w:color="auto"/>
            </w:tcBorders>
          </w:tcPr>
          <w:p w:rsidR="00736C5A" w:rsidRDefault="00736C5A">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736C5A" w:rsidRDefault="00736C5A" w:rsidP="00736C5A">
            <w:pPr>
              <w:pStyle w:val="TableText"/>
              <w:ind w:right="0"/>
              <w:jc w:val="both"/>
            </w:pPr>
          </w:p>
        </w:tc>
        <w:tc>
          <w:tcPr>
            <w:tcW w:w="567" w:type="dxa"/>
            <w:tcBorders>
              <w:top w:val="single" w:sz="4" w:space="0" w:color="auto"/>
              <w:left w:val="single" w:sz="4" w:space="0" w:color="auto"/>
              <w:bottom w:val="single" w:sz="4" w:space="0" w:color="auto"/>
              <w:right w:val="single" w:sz="4" w:space="0" w:color="auto"/>
            </w:tcBorders>
          </w:tcPr>
          <w:p w:rsidR="00736C5A" w:rsidRDefault="00736C5A" w:rsidP="00907189">
            <w:pPr>
              <w:pStyle w:val="TableText"/>
              <w:tabs>
                <w:tab w:val="clear" w:pos="624"/>
              </w:tabs>
              <w:ind w:right="0"/>
              <w:jc w:val="both"/>
            </w:pPr>
          </w:p>
        </w:tc>
        <w:tc>
          <w:tcPr>
            <w:tcW w:w="6523" w:type="dxa"/>
            <w:gridSpan w:val="2"/>
            <w:tcBorders>
              <w:top w:val="single" w:sz="4" w:space="0" w:color="auto"/>
              <w:left w:val="single" w:sz="4" w:space="0" w:color="auto"/>
              <w:bottom w:val="single" w:sz="4" w:space="0" w:color="auto"/>
              <w:right w:val="single" w:sz="4" w:space="0" w:color="auto"/>
            </w:tcBorders>
          </w:tcPr>
          <w:p w:rsidR="00907189" w:rsidRDefault="00736C5A" w:rsidP="00B371C1">
            <w:pPr>
              <w:pStyle w:val="TableBlock"/>
              <w:numPr>
                <w:ilvl w:val="0"/>
                <w:numId w:val="31"/>
              </w:numPr>
            </w:pPr>
            <w:r>
              <w:rPr>
                <w:rFonts w:hint="cs"/>
                <w:rtl/>
              </w:rPr>
              <w:t>במקום "32יג" יבוא "32יג(ב)-(ו), (ח)-(ט)"</w:t>
            </w:r>
          </w:p>
        </w:tc>
      </w:tr>
      <w:tr w:rsidR="00B371C1" w:rsidTr="00140224">
        <w:trPr>
          <w:cantSplit/>
          <w:trHeight w:val="60"/>
        </w:trPr>
        <w:tc>
          <w:tcPr>
            <w:tcW w:w="2013" w:type="dxa"/>
            <w:tcBorders>
              <w:top w:val="single" w:sz="4" w:space="0" w:color="auto"/>
              <w:left w:val="single" w:sz="4" w:space="0" w:color="auto"/>
              <w:bottom w:val="single" w:sz="4" w:space="0" w:color="auto"/>
              <w:right w:val="single" w:sz="4" w:space="0" w:color="auto"/>
            </w:tcBorders>
          </w:tcPr>
          <w:p w:rsidR="00B371C1" w:rsidRDefault="00B371C1">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B371C1" w:rsidRDefault="00B371C1" w:rsidP="00B371C1">
            <w:pPr>
              <w:pStyle w:val="TableText"/>
            </w:pPr>
          </w:p>
        </w:tc>
        <w:tc>
          <w:tcPr>
            <w:tcW w:w="567" w:type="dxa"/>
            <w:tcBorders>
              <w:top w:val="single" w:sz="4" w:space="0" w:color="auto"/>
              <w:left w:val="single" w:sz="4" w:space="0" w:color="auto"/>
              <w:bottom w:val="single" w:sz="4" w:space="0" w:color="auto"/>
              <w:right w:val="single" w:sz="4" w:space="0" w:color="auto"/>
            </w:tcBorders>
          </w:tcPr>
          <w:p w:rsidR="00B371C1" w:rsidRDefault="00B371C1" w:rsidP="00907189">
            <w:pPr>
              <w:pStyle w:val="TableText"/>
              <w:tabs>
                <w:tab w:val="clear" w:pos="624"/>
              </w:tabs>
              <w:ind w:right="0"/>
              <w:jc w:val="both"/>
            </w:pPr>
          </w:p>
        </w:tc>
        <w:tc>
          <w:tcPr>
            <w:tcW w:w="6523" w:type="dxa"/>
            <w:gridSpan w:val="2"/>
            <w:tcBorders>
              <w:top w:val="single" w:sz="4" w:space="0" w:color="auto"/>
              <w:left w:val="single" w:sz="4" w:space="0" w:color="auto"/>
              <w:bottom w:val="single" w:sz="4" w:space="0" w:color="auto"/>
              <w:right w:val="single" w:sz="4" w:space="0" w:color="auto"/>
            </w:tcBorders>
          </w:tcPr>
          <w:p w:rsidR="00B371C1" w:rsidRDefault="00B371C1" w:rsidP="007D6BF9">
            <w:pPr>
              <w:pStyle w:val="TableBlock"/>
              <w:numPr>
                <w:ilvl w:val="0"/>
                <w:numId w:val="31"/>
              </w:numPr>
              <w:rPr>
                <w:rtl/>
              </w:rPr>
            </w:pPr>
            <w:r>
              <w:rPr>
                <w:rFonts w:hint="cs"/>
                <w:rtl/>
              </w:rPr>
              <w:t>במקום "32יד" יבוא "32יד(ב)</w:t>
            </w:r>
            <w:r w:rsidR="007D6BF9">
              <w:rPr>
                <w:rFonts w:ascii="Hadasa Roso SL" w:eastAsia="MS Mincho" w:hAnsi="Hadasa Roso SL" w:cs="Hadasa Roso SL" w:hint="cs"/>
                <w:snapToGrid/>
                <w:spacing w:val="1"/>
                <w:sz w:val="17"/>
                <w:szCs w:val="17"/>
                <w:rtl/>
              </w:rPr>
              <w:t>,</w:t>
            </w:r>
            <w:r w:rsidR="007D6BF9" w:rsidRPr="007D6BF9">
              <w:rPr>
                <w:rFonts w:hint="cs"/>
                <w:rtl/>
              </w:rPr>
              <w:t>(ג)(1)-(2),(6), (ה)</w:t>
            </w:r>
            <w:r w:rsidR="007D6BF9">
              <w:rPr>
                <w:rFonts w:hint="cs"/>
                <w:rtl/>
              </w:rPr>
              <w:t>"</w:t>
            </w:r>
          </w:p>
        </w:tc>
      </w:tr>
      <w:tr w:rsidR="00B371C1" w:rsidTr="00140224">
        <w:trPr>
          <w:cantSplit/>
          <w:trHeight w:val="60"/>
        </w:trPr>
        <w:tc>
          <w:tcPr>
            <w:tcW w:w="2013" w:type="dxa"/>
            <w:tcBorders>
              <w:top w:val="single" w:sz="4" w:space="0" w:color="auto"/>
              <w:left w:val="single" w:sz="4" w:space="0" w:color="auto"/>
              <w:bottom w:val="single" w:sz="4" w:space="0" w:color="auto"/>
              <w:right w:val="single" w:sz="4" w:space="0" w:color="auto"/>
            </w:tcBorders>
          </w:tcPr>
          <w:p w:rsidR="00B371C1" w:rsidRDefault="00B371C1">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B371C1" w:rsidRDefault="00B371C1" w:rsidP="00B371C1">
            <w:pPr>
              <w:pStyle w:val="TableText"/>
            </w:pPr>
          </w:p>
        </w:tc>
        <w:tc>
          <w:tcPr>
            <w:tcW w:w="567" w:type="dxa"/>
            <w:tcBorders>
              <w:top w:val="single" w:sz="4" w:space="0" w:color="auto"/>
              <w:left w:val="single" w:sz="4" w:space="0" w:color="auto"/>
              <w:bottom w:val="single" w:sz="4" w:space="0" w:color="auto"/>
              <w:right w:val="single" w:sz="4" w:space="0" w:color="auto"/>
            </w:tcBorders>
          </w:tcPr>
          <w:p w:rsidR="00B371C1" w:rsidRDefault="00B371C1" w:rsidP="00907189">
            <w:pPr>
              <w:pStyle w:val="TableText"/>
              <w:tabs>
                <w:tab w:val="clear" w:pos="624"/>
              </w:tabs>
              <w:ind w:right="0"/>
              <w:jc w:val="both"/>
            </w:pPr>
          </w:p>
        </w:tc>
        <w:tc>
          <w:tcPr>
            <w:tcW w:w="6523" w:type="dxa"/>
            <w:gridSpan w:val="2"/>
            <w:tcBorders>
              <w:top w:val="single" w:sz="4" w:space="0" w:color="auto"/>
              <w:left w:val="single" w:sz="4" w:space="0" w:color="auto"/>
              <w:bottom w:val="single" w:sz="4" w:space="0" w:color="auto"/>
              <w:right w:val="single" w:sz="4" w:space="0" w:color="auto"/>
            </w:tcBorders>
          </w:tcPr>
          <w:p w:rsidR="00B371C1" w:rsidRDefault="00B371C1" w:rsidP="00B371C1">
            <w:pPr>
              <w:pStyle w:val="TableBlock"/>
              <w:numPr>
                <w:ilvl w:val="0"/>
                <w:numId w:val="31"/>
              </w:numPr>
              <w:rPr>
                <w:rtl/>
              </w:rPr>
            </w:pPr>
            <w:r>
              <w:rPr>
                <w:rFonts w:hint="cs"/>
                <w:rtl/>
              </w:rPr>
              <w:t>במקום "32יח" יבוא "32יח(א)"</w:t>
            </w:r>
          </w:p>
        </w:tc>
      </w:tr>
      <w:tr w:rsidR="00B371C1" w:rsidTr="00140224">
        <w:trPr>
          <w:cantSplit/>
          <w:trHeight w:val="60"/>
        </w:trPr>
        <w:tc>
          <w:tcPr>
            <w:tcW w:w="2013" w:type="dxa"/>
            <w:tcBorders>
              <w:top w:val="single" w:sz="4" w:space="0" w:color="auto"/>
              <w:left w:val="single" w:sz="4" w:space="0" w:color="auto"/>
              <w:bottom w:val="single" w:sz="4" w:space="0" w:color="auto"/>
              <w:right w:val="single" w:sz="4" w:space="0" w:color="auto"/>
            </w:tcBorders>
          </w:tcPr>
          <w:p w:rsidR="00B371C1" w:rsidRDefault="00B371C1">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B371C1" w:rsidRDefault="00B371C1" w:rsidP="00B371C1">
            <w:pPr>
              <w:pStyle w:val="TableText"/>
            </w:pPr>
          </w:p>
        </w:tc>
        <w:tc>
          <w:tcPr>
            <w:tcW w:w="567" w:type="dxa"/>
            <w:tcBorders>
              <w:top w:val="single" w:sz="4" w:space="0" w:color="auto"/>
              <w:left w:val="single" w:sz="4" w:space="0" w:color="auto"/>
              <w:bottom w:val="single" w:sz="4" w:space="0" w:color="auto"/>
              <w:right w:val="single" w:sz="4" w:space="0" w:color="auto"/>
            </w:tcBorders>
          </w:tcPr>
          <w:p w:rsidR="00B371C1" w:rsidRDefault="00B371C1" w:rsidP="00907189">
            <w:pPr>
              <w:pStyle w:val="TableText"/>
              <w:tabs>
                <w:tab w:val="clear" w:pos="624"/>
              </w:tabs>
              <w:ind w:right="0"/>
              <w:jc w:val="both"/>
            </w:pPr>
          </w:p>
        </w:tc>
        <w:tc>
          <w:tcPr>
            <w:tcW w:w="6523" w:type="dxa"/>
            <w:gridSpan w:val="2"/>
            <w:tcBorders>
              <w:top w:val="single" w:sz="4" w:space="0" w:color="auto"/>
              <w:left w:val="single" w:sz="4" w:space="0" w:color="auto"/>
              <w:bottom w:val="single" w:sz="4" w:space="0" w:color="auto"/>
              <w:right w:val="single" w:sz="4" w:space="0" w:color="auto"/>
            </w:tcBorders>
          </w:tcPr>
          <w:p w:rsidR="00B371C1" w:rsidRDefault="00B371C1" w:rsidP="00907189">
            <w:pPr>
              <w:pStyle w:val="TableBlock"/>
              <w:numPr>
                <w:ilvl w:val="0"/>
                <w:numId w:val="31"/>
              </w:numPr>
              <w:rPr>
                <w:rtl/>
              </w:rPr>
            </w:pPr>
            <w:r>
              <w:rPr>
                <w:rFonts w:hint="cs"/>
                <w:rtl/>
              </w:rPr>
              <w:t>במקום "32יט(א)" יבוא "32יט(א)ו-(ג)"</w:t>
            </w:r>
          </w:p>
        </w:tc>
      </w:tr>
      <w:tr w:rsidR="00736C5A" w:rsidTr="00140224">
        <w:trPr>
          <w:cantSplit/>
          <w:trHeight w:val="60"/>
        </w:trPr>
        <w:tc>
          <w:tcPr>
            <w:tcW w:w="2013" w:type="dxa"/>
            <w:tcBorders>
              <w:top w:val="single" w:sz="4" w:space="0" w:color="auto"/>
              <w:left w:val="single" w:sz="4" w:space="0" w:color="auto"/>
              <w:bottom w:val="single" w:sz="4" w:space="0" w:color="auto"/>
              <w:right w:val="single" w:sz="4" w:space="0" w:color="auto"/>
            </w:tcBorders>
          </w:tcPr>
          <w:p w:rsidR="00736C5A" w:rsidRDefault="00736C5A">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736C5A" w:rsidRDefault="00736C5A">
            <w:pPr>
              <w:pStyle w:val="TableText"/>
            </w:pPr>
          </w:p>
        </w:tc>
        <w:tc>
          <w:tcPr>
            <w:tcW w:w="7090" w:type="dxa"/>
            <w:gridSpan w:val="3"/>
            <w:tcBorders>
              <w:top w:val="single" w:sz="4" w:space="0" w:color="auto"/>
              <w:left w:val="single" w:sz="4" w:space="0" w:color="auto"/>
              <w:bottom w:val="single" w:sz="4" w:space="0" w:color="auto"/>
              <w:right w:val="single" w:sz="4" w:space="0" w:color="auto"/>
            </w:tcBorders>
          </w:tcPr>
          <w:p w:rsidR="00736C5A" w:rsidRPr="00C34DE2" w:rsidRDefault="00736C5A" w:rsidP="00907189">
            <w:pPr>
              <w:pStyle w:val="TableBlock"/>
              <w:numPr>
                <w:ilvl w:val="0"/>
                <w:numId w:val="30"/>
              </w:numPr>
            </w:pPr>
            <w:r>
              <w:rPr>
                <w:rFonts w:hint="cs"/>
                <w:rtl/>
              </w:rPr>
              <w:t>אחרי סעיף קטן (ד) יבוא:</w:t>
            </w:r>
          </w:p>
        </w:tc>
      </w:tr>
      <w:tr w:rsidR="00907189" w:rsidTr="00140224">
        <w:trPr>
          <w:cantSplit/>
          <w:trHeight w:val="60"/>
        </w:trPr>
        <w:tc>
          <w:tcPr>
            <w:tcW w:w="2013" w:type="dxa"/>
            <w:tcBorders>
              <w:top w:val="single" w:sz="4" w:space="0" w:color="auto"/>
              <w:left w:val="single" w:sz="4" w:space="0" w:color="auto"/>
              <w:bottom w:val="single" w:sz="4" w:space="0" w:color="auto"/>
              <w:right w:val="single" w:sz="4" w:space="0" w:color="auto"/>
            </w:tcBorders>
          </w:tcPr>
          <w:p w:rsidR="00907189" w:rsidRDefault="00907189">
            <w:pPr>
              <w:pStyle w:val="TableSideHeading"/>
            </w:pPr>
          </w:p>
        </w:tc>
        <w:tc>
          <w:tcPr>
            <w:tcW w:w="680" w:type="dxa"/>
            <w:tcBorders>
              <w:top w:val="single" w:sz="4" w:space="0" w:color="auto"/>
              <w:left w:val="single" w:sz="4" w:space="0" w:color="auto"/>
              <w:bottom w:val="single" w:sz="4" w:space="0" w:color="auto"/>
              <w:right w:val="single" w:sz="4" w:space="0" w:color="auto"/>
            </w:tcBorders>
          </w:tcPr>
          <w:p w:rsidR="00907189" w:rsidRDefault="00907189">
            <w:pPr>
              <w:pStyle w:val="TableText"/>
            </w:pPr>
          </w:p>
        </w:tc>
        <w:tc>
          <w:tcPr>
            <w:tcW w:w="567" w:type="dxa"/>
            <w:tcBorders>
              <w:top w:val="single" w:sz="4" w:space="0" w:color="auto"/>
              <w:left w:val="single" w:sz="4" w:space="0" w:color="auto"/>
              <w:bottom w:val="single" w:sz="4" w:space="0" w:color="auto"/>
              <w:right w:val="single" w:sz="4" w:space="0" w:color="auto"/>
            </w:tcBorders>
          </w:tcPr>
          <w:p w:rsidR="00907189" w:rsidRDefault="00907189">
            <w:pPr>
              <w:pStyle w:val="TableText"/>
            </w:pPr>
          </w:p>
        </w:tc>
        <w:tc>
          <w:tcPr>
            <w:tcW w:w="567" w:type="dxa"/>
            <w:tcBorders>
              <w:top w:val="single" w:sz="4" w:space="0" w:color="auto"/>
              <w:left w:val="single" w:sz="4" w:space="0" w:color="auto"/>
              <w:bottom w:val="single" w:sz="4" w:space="0" w:color="auto"/>
              <w:right w:val="single" w:sz="4" w:space="0" w:color="auto"/>
            </w:tcBorders>
          </w:tcPr>
          <w:p w:rsidR="00907189" w:rsidRDefault="00907189" w:rsidP="00907189">
            <w:pPr>
              <w:pStyle w:val="TableBlock"/>
              <w:rPr>
                <w:rtl/>
              </w:rPr>
            </w:pPr>
            <w:r>
              <w:rPr>
                <w:rFonts w:hint="cs"/>
                <w:rtl/>
              </w:rPr>
              <w:t>"(ד1</w:t>
            </w:r>
            <w:r>
              <w:t xml:space="preserve"> (</w:t>
            </w:r>
          </w:p>
        </w:tc>
        <w:tc>
          <w:tcPr>
            <w:tcW w:w="5956" w:type="dxa"/>
            <w:tcBorders>
              <w:top w:val="single" w:sz="4" w:space="0" w:color="auto"/>
              <w:left w:val="single" w:sz="4" w:space="0" w:color="auto"/>
              <w:bottom w:val="single" w:sz="4" w:space="0" w:color="auto"/>
              <w:right w:val="single" w:sz="4" w:space="0" w:color="auto"/>
            </w:tcBorders>
          </w:tcPr>
          <w:p w:rsidR="00907189" w:rsidRDefault="00907189" w:rsidP="00907189">
            <w:pPr>
              <w:pStyle w:val="TableBlock"/>
            </w:pPr>
            <w:r w:rsidRPr="00DB5586">
              <w:rPr>
                <w:rFonts w:hint="cs"/>
                <w:rtl/>
              </w:rPr>
              <w:t>רשאי אדם להפקיד מסמך הבעת רצון לפי סעיף זה אצל האפוטרופוס הכללי; ההפקדה תהיה במסירת עותק של הטופס בידי עורך הטופס בעצמו או על ידי עורך הדין שבפניו הוא נערך</w:t>
            </w:r>
            <w:r>
              <w:rPr>
                <w:rFonts w:hint="cs"/>
                <w:rtl/>
              </w:rPr>
              <w:t>".</w:t>
            </w:r>
          </w:p>
        </w:tc>
      </w:tr>
      <w:tr w:rsidR="0007373A" w:rsidTr="00140224">
        <w:trPr>
          <w:cantSplit/>
          <w:trHeight w:val="60"/>
        </w:trPr>
        <w:tc>
          <w:tcPr>
            <w:tcW w:w="2013" w:type="dxa"/>
            <w:tcBorders>
              <w:top w:val="single" w:sz="4" w:space="0" w:color="auto"/>
              <w:left w:val="single" w:sz="4" w:space="0" w:color="auto"/>
              <w:bottom w:val="single" w:sz="4" w:space="0" w:color="auto"/>
              <w:right w:val="single" w:sz="4" w:space="0" w:color="auto"/>
            </w:tcBorders>
          </w:tcPr>
          <w:p w:rsidR="0007373A" w:rsidRPr="00DE6477" w:rsidRDefault="0007373A">
            <w:pPr>
              <w:pStyle w:val="TableSideHeading"/>
              <w:rPr>
                <w:highlight w:val="green"/>
                <w:rtl/>
              </w:rPr>
            </w:pPr>
            <w:r>
              <w:rPr>
                <w:rFonts w:hint="cs"/>
                <w:rtl/>
              </w:rPr>
              <w:t>תיקון סעיף 67ב.</w:t>
            </w:r>
          </w:p>
        </w:tc>
        <w:tc>
          <w:tcPr>
            <w:tcW w:w="680" w:type="dxa"/>
            <w:tcBorders>
              <w:top w:val="single" w:sz="4" w:space="0" w:color="auto"/>
              <w:left w:val="single" w:sz="4" w:space="0" w:color="auto"/>
              <w:bottom w:val="single" w:sz="4" w:space="0" w:color="auto"/>
              <w:right w:val="single" w:sz="4" w:space="0" w:color="auto"/>
            </w:tcBorders>
          </w:tcPr>
          <w:p w:rsidR="0007373A" w:rsidRPr="0007373A" w:rsidRDefault="0007373A" w:rsidP="0007373A">
            <w:pPr>
              <w:pStyle w:val="TableSideHeading"/>
              <w:rPr>
                <w:rtl/>
              </w:rPr>
            </w:pPr>
            <w:r w:rsidRPr="0007373A">
              <w:rPr>
                <w:rFonts w:hint="cs"/>
                <w:rtl/>
              </w:rPr>
              <w:t>14.</w:t>
            </w:r>
          </w:p>
        </w:tc>
        <w:tc>
          <w:tcPr>
            <w:tcW w:w="7090" w:type="dxa"/>
            <w:gridSpan w:val="3"/>
            <w:tcBorders>
              <w:top w:val="single" w:sz="4" w:space="0" w:color="auto"/>
              <w:left w:val="single" w:sz="4" w:space="0" w:color="auto"/>
              <w:bottom w:val="single" w:sz="4" w:space="0" w:color="auto"/>
              <w:right w:val="single" w:sz="4" w:space="0" w:color="auto"/>
            </w:tcBorders>
          </w:tcPr>
          <w:p w:rsidR="0007373A" w:rsidRDefault="0007373A" w:rsidP="00ED00D2">
            <w:pPr>
              <w:pStyle w:val="TableSideHeading"/>
              <w:ind w:right="0"/>
              <w:rPr>
                <w:rtl/>
              </w:rPr>
            </w:pPr>
            <w:r>
              <w:rPr>
                <w:rFonts w:hint="cs"/>
                <w:rtl/>
              </w:rPr>
              <w:t xml:space="preserve">בסעיף 67ב לחוק </w:t>
            </w:r>
            <w:r>
              <w:rPr>
                <w:rtl/>
              </w:rPr>
              <w:t>–</w:t>
            </w:r>
          </w:p>
          <w:p w:rsidR="007631E0" w:rsidRDefault="007631E0" w:rsidP="0007373A">
            <w:pPr>
              <w:pStyle w:val="TableSideHeading"/>
              <w:numPr>
                <w:ilvl w:val="0"/>
                <w:numId w:val="16"/>
              </w:numPr>
            </w:pPr>
            <w:r>
              <w:rPr>
                <w:rFonts w:hint="cs"/>
                <w:rtl/>
              </w:rPr>
              <w:t>אחרי סעיף קטן (ה)יבוא:</w:t>
            </w:r>
          </w:p>
          <w:p w:rsidR="007631E0" w:rsidRDefault="007631E0" w:rsidP="00850C93">
            <w:pPr>
              <w:pStyle w:val="TableSideHeading"/>
              <w:ind w:left="720"/>
              <w:jc w:val="both"/>
              <w:rPr>
                <w:rtl/>
              </w:rPr>
            </w:pPr>
            <w:r w:rsidRPr="00492577">
              <w:rPr>
                <w:rFonts w:hint="cs"/>
                <w:rtl/>
              </w:rPr>
              <w:t>"(ה1) ניתן צו למינוי תומך בקבלת החלטות וכל עוד הצו בתוקפו, מחויב כל גורם לאפשר לתומך בקבלת החלטות לבצע את תפקידו, והכל בהתאם להוראות החוק וצו המינוי ותוך ביצוע ההתאמות שהאדם זכאי להן לפי כל דין.</w:t>
            </w:r>
          </w:p>
          <w:p w:rsidR="007631E0" w:rsidRDefault="007631E0" w:rsidP="00850C93">
            <w:pPr>
              <w:pStyle w:val="TableSideHeading"/>
              <w:ind w:left="720"/>
              <w:jc w:val="both"/>
            </w:pPr>
            <w:r>
              <w:rPr>
                <w:rFonts w:hint="cs"/>
                <w:rtl/>
              </w:rPr>
              <w:t xml:space="preserve">(ה2) נפל פגם במינויו של תומך בקבלת החלטות, תהיה פעולה של תומך בקבלת החלטות על פי צו המינוי בת תוקף, ובלבד שנעשתה כלפי צד שלישי שפעל בתום לב ובתמורה והוצג צו מינוי בתוקף."   </w:t>
            </w:r>
          </w:p>
          <w:p w:rsidR="007631E0" w:rsidRDefault="007631E0" w:rsidP="0007373A">
            <w:pPr>
              <w:pStyle w:val="TableSideHeading"/>
              <w:numPr>
                <w:ilvl w:val="0"/>
                <w:numId w:val="16"/>
              </w:numPr>
            </w:pPr>
            <w:r>
              <w:rPr>
                <w:rFonts w:hint="cs"/>
                <w:rtl/>
              </w:rPr>
              <w:t>בסעיף קטן (ו) יבוא:</w:t>
            </w:r>
          </w:p>
          <w:p w:rsidR="007631E0" w:rsidRDefault="007631E0" w:rsidP="00FA2415">
            <w:pPr>
              <w:pStyle w:val="TableSideHeading"/>
              <w:numPr>
                <w:ilvl w:val="0"/>
                <w:numId w:val="32"/>
              </w:numPr>
            </w:pPr>
            <w:r>
              <w:rPr>
                <w:rFonts w:hint="cs"/>
                <w:rtl/>
              </w:rPr>
              <w:t>במקום "לעניין תומך" יבוא "לעניין תמיכה"</w:t>
            </w:r>
          </w:p>
          <w:p w:rsidR="0079239D" w:rsidRDefault="0079239D" w:rsidP="00FA2415">
            <w:pPr>
              <w:pStyle w:val="TableSideHeading"/>
              <w:numPr>
                <w:ilvl w:val="0"/>
                <w:numId w:val="32"/>
              </w:numPr>
            </w:pPr>
            <w:r>
              <w:rPr>
                <w:rFonts w:hint="cs"/>
                <w:rtl/>
              </w:rPr>
              <w:t>בסעיף קטן (3) במקום "חובות" יבואו "חובותיו""</w:t>
            </w:r>
          </w:p>
          <w:p w:rsidR="007631E0" w:rsidRDefault="007631E0" w:rsidP="00FA2415">
            <w:pPr>
              <w:pStyle w:val="TableSideHeading"/>
              <w:numPr>
                <w:ilvl w:val="0"/>
                <w:numId w:val="32"/>
              </w:numPr>
            </w:pPr>
            <w:r>
              <w:rPr>
                <w:rFonts w:hint="cs"/>
                <w:rtl/>
              </w:rPr>
              <w:t>אחרי פסקה (6) יבוא:</w:t>
            </w:r>
          </w:p>
          <w:p w:rsidR="007631E0" w:rsidRDefault="007631E0" w:rsidP="00850C93">
            <w:pPr>
              <w:pStyle w:val="TableSideHeading"/>
              <w:ind w:left="709"/>
              <w:jc w:val="both"/>
              <w:rPr>
                <w:rtl/>
              </w:rPr>
            </w:pPr>
            <w:r>
              <w:rPr>
                <w:rFonts w:hint="cs"/>
                <w:rtl/>
              </w:rPr>
              <w:t>"(7) כללים בדבר שכר שרשאי בית המשפט לקבוע לתומך בקבלת החלטות ורשאי הוא לקבוע הוראות שונות לסוגים שונים של תומכים; כן רשאי הוא לקבוע הוראות בדבר שכר לתומך בקבלת החלטות שניתן יהיה לקבלו אף ללא אישור בית המשפט.</w:t>
            </w:r>
          </w:p>
          <w:p w:rsidR="0007373A" w:rsidRPr="0007373A" w:rsidRDefault="007631E0" w:rsidP="00ED00D2">
            <w:pPr>
              <w:pStyle w:val="TableSideHeading"/>
              <w:ind w:left="709"/>
              <w:jc w:val="both"/>
              <w:rPr>
                <w:rtl/>
              </w:rPr>
            </w:pPr>
            <w:r>
              <w:rPr>
                <w:rFonts w:hint="cs"/>
                <w:rtl/>
              </w:rPr>
              <w:t>(8) הוראות נוספות לעניין צדדים שלישיים"</w:t>
            </w:r>
          </w:p>
        </w:tc>
      </w:tr>
    </w:tbl>
    <w:p w:rsidR="00013281" w:rsidRDefault="00013281">
      <w:pPr>
        <w:pStyle w:val="HeadDivreiHesber"/>
        <w:rPr>
          <w:b w:val="0"/>
          <w:bCs/>
          <w:u w:val="single"/>
          <w:rtl/>
        </w:rPr>
      </w:pPr>
      <w:r>
        <w:rPr>
          <w:rtl/>
        </w:rPr>
        <w:br w:type="page"/>
      </w:r>
      <w:r w:rsidRPr="00E85AEB">
        <w:rPr>
          <w:rFonts w:hint="cs"/>
          <w:b w:val="0"/>
          <w:bCs/>
          <w:u w:val="single"/>
          <w:rtl/>
        </w:rPr>
        <w:t>דברי הסבר</w:t>
      </w:r>
    </w:p>
    <w:p w:rsidR="00B71754" w:rsidRDefault="00B71754" w:rsidP="00B71754">
      <w:pPr>
        <w:pStyle w:val="1"/>
        <w:tabs>
          <w:tab w:val="center" w:pos="6804"/>
          <w:tab w:val="left" w:pos="8164"/>
        </w:tabs>
        <w:rPr>
          <w:u w:val="single"/>
          <w:rtl/>
          <w:lang w:eastAsia="en-US"/>
        </w:rPr>
      </w:pPr>
    </w:p>
    <w:p w:rsidR="00B71754" w:rsidRDefault="00B71754" w:rsidP="00B71754">
      <w:pPr>
        <w:pStyle w:val="1"/>
        <w:tabs>
          <w:tab w:val="center" w:pos="6804"/>
          <w:tab w:val="left" w:pos="8164"/>
        </w:tabs>
        <w:rPr>
          <w:rtl/>
          <w:lang w:eastAsia="en-US"/>
        </w:rPr>
      </w:pPr>
      <w:r w:rsidRPr="00CC4C82">
        <w:rPr>
          <w:rFonts w:hint="cs"/>
          <w:u w:val="single"/>
          <w:rtl/>
          <w:lang w:eastAsia="en-US"/>
        </w:rPr>
        <w:t>תיקון סעיף 32ג(א)</w:t>
      </w:r>
      <w:r>
        <w:rPr>
          <w:rtl/>
          <w:lang w:eastAsia="en-US"/>
        </w:rPr>
        <w:t>–</w:t>
      </w:r>
      <w:r>
        <w:rPr>
          <w:rFonts w:hint="cs"/>
          <w:rtl/>
          <w:lang w:eastAsia="en-US"/>
        </w:rPr>
        <w:t xml:space="preserve"> מוצע לקבוע כי כל התנאים למינוי מיופה כוח הקבועים בסעיף 32ג(א) לחוק צריכים להתקיים במיופה הכוח הן בעת החתימה על ייפוי הכוח והן בכניסתו של ייפוי הכוח לתוקף, ולא רק התנאים הקבועים בסעיף קטן (3) </w:t>
      </w:r>
      <w:r>
        <w:rPr>
          <w:rtl/>
          <w:lang w:eastAsia="en-US"/>
        </w:rPr>
        <w:t>–</w:t>
      </w:r>
      <w:r>
        <w:rPr>
          <w:rFonts w:hint="cs"/>
          <w:rtl/>
          <w:lang w:eastAsia="en-US"/>
        </w:rPr>
        <w:t xml:space="preserve"> שהמיופה לא הוכרז פושט רגל או לקוח מוגבל חמור. </w:t>
      </w:r>
    </w:p>
    <w:p w:rsidR="00B71754" w:rsidRPr="00146470" w:rsidRDefault="00B71754" w:rsidP="00B71754">
      <w:pPr>
        <w:pStyle w:val="1"/>
        <w:tabs>
          <w:tab w:val="center" w:pos="6804"/>
          <w:tab w:val="left" w:pos="8164"/>
        </w:tabs>
        <w:rPr>
          <w:rtl/>
          <w:lang w:eastAsia="en-US"/>
        </w:rPr>
      </w:pPr>
    </w:p>
    <w:p w:rsidR="00B71754" w:rsidRDefault="00B71754" w:rsidP="00B71754">
      <w:pPr>
        <w:pStyle w:val="1"/>
        <w:tabs>
          <w:tab w:val="center" w:pos="6804"/>
          <w:tab w:val="left" w:pos="8164"/>
        </w:tabs>
        <w:rPr>
          <w:rtl/>
          <w:lang w:eastAsia="en-US"/>
        </w:rPr>
      </w:pPr>
      <w:r w:rsidRPr="00CC4C82">
        <w:rPr>
          <w:rFonts w:hint="cs"/>
          <w:u w:val="single"/>
          <w:rtl/>
          <w:lang w:eastAsia="en-US"/>
        </w:rPr>
        <w:t>תיקון סעיף 32ו</w:t>
      </w:r>
      <w:r>
        <w:rPr>
          <w:rtl/>
          <w:lang w:eastAsia="en-US"/>
        </w:rPr>
        <w:t>–</w:t>
      </w:r>
      <w:r>
        <w:rPr>
          <w:rFonts w:hint="cs"/>
          <w:rtl/>
          <w:lang w:eastAsia="en-US"/>
        </w:rPr>
        <w:t xml:space="preserve"> מוצע לערוך תיקון נוסח שיבהיר כי בעניינים המנויים בסעיף 32ו(ג) מיופה הכוח לא יוסמך לעשות פעולות ללא הסמכה מפורשת של הממנה. </w:t>
      </w:r>
    </w:p>
    <w:p w:rsidR="00B71754" w:rsidRDefault="00B71754" w:rsidP="00B71754">
      <w:pPr>
        <w:pStyle w:val="1"/>
        <w:tabs>
          <w:tab w:val="center" w:pos="6804"/>
          <w:tab w:val="left" w:pos="8164"/>
        </w:tabs>
        <w:rPr>
          <w:rtl/>
          <w:lang w:eastAsia="en-US"/>
        </w:rPr>
      </w:pPr>
      <w:r>
        <w:rPr>
          <w:rFonts w:hint="cs"/>
          <w:rtl/>
          <w:lang w:eastAsia="en-US"/>
        </w:rPr>
        <w:t xml:space="preserve">בסעיף קטן (ג) מוצע להבהיר כי לעניין הפעולות המצריכות הסמכה מפורשת בייפוי הכוח בעניין מתן תרומות, מתנות והלוואת, הסכום הקבוע בחוק (100,000 ₪) הוא הסכום הכולל שציווה הממנה לכלל הגורמים שהוא מעוניין לתת להם תרומה, מתנה או הלוואה. </w:t>
      </w:r>
    </w:p>
    <w:p w:rsidR="00B71754" w:rsidRDefault="00B71754" w:rsidP="00B71754">
      <w:pPr>
        <w:pStyle w:val="1"/>
        <w:tabs>
          <w:tab w:val="center" w:pos="6804"/>
          <w:tab w:val="left" w:pos="8164"/>
        </w:tabs>
        <w:rPr>
          <w:rtl/>
          <w:lang w:eastAsia="en-US"/>
        </w:rPr>
      </w:pPr>
      <w:r>
        <w:rPr>
          <w:rFonts w:hint="cs"/>
          <w:rtl/>
          <w:lang w:eastAsia="en-US"/>
        </w:rPr>
        <w:t>כמו כן מוצע לערוך תיקון נוסח שיבהיר כי בעניינים המנויים בסעיף קטן (ד) מיופה הכוח לא יוסמך לעשות פעולות ללא אישור מפורש של בית המשפט.</w:t>
      </w:r>
    </w:p>
    <w:p w:rsidR="00B71754" w:rsidRDefault="00B71754" w:rsidP="00B71754">
      <w:pPr>
        <w:pStyle w:val="1"/>
        <w:tabs>
          <w:tab w:val="center" w:pos="6804"/>
          <w:tab w:val="left" w:pos="8164"/>
        </w:tabs>
        <w:rPr>
          <w:rtl/>
          <w:lang w:eastAsia="en-US"/>
        </w:rPr>
      </w:pPr>
      <w:r>
        <w:rPr>
          <w:rFonts w:hint="cs"/>
          <w:rtl/>
          <w:lang w:eastAsia="en-US"/>
        </w:rPr>
        <w:t>בסעיף קטן (ז) שעניינו בפעולה משפטית בין הממנה לבין מיופה הכוח או קרוביו, מוצע להשמיט את המילים "בן זוגו" מאחר ובסעיף ההגדרות (סעיף 80) בן הזוג נכלל בגדר קרוב.</w:t>
      </w:r>
    </w:p>
    <w:p w:rsidR="00B71754" w:rsidRDefault="00B71754" w:rsidP="00B71754">
      <w:pPr>
        <w:pStyle w:val="1"/>
        <w:tabs>
          <w:tab w:val="center" w:pos="6804"/>
          <w:tab w:val="left" w:pos="8164"/>
        </w:tabs>
        <w:rPr>
          <w:rtl/>
          <w:lang w:eastAsia="en-US"/>
        </w:rPr>
      </w:pPr>
    </w:p>
    <w:p w:rsidR="00B71754" w:rsidRDefault="00B71754" w:rsidP="00B71754">
      <w:pPr>
        <w:pStyle w:val="1"/>
        <w:tabs>
          <w:tab w:val="center" w:pos="6804"/>
          <w:tab w:val="left" w:pos="8164"/>
        </w:tabs>
        <w:rPr>
          <w:rtl/>
          <w:lang w:eastAsia="en-US"/>
        </w:rPr>
      </w:pPr>
      <w:r w:rsidRPr="00CC4C82">
        <w:rPr>
          <w:rFonts w:hint="cs"/>
          <w:u w:val="single"/>
          <w:rtl/>
          <w:lang w:eastAsia="en-US"/>
        </w:rPr>
        <w:t>תיקון סעיף 32יג</w:t>
      </w:r>
      <w:r>
        <w:rPr>
          <w:rtl/>
          <w:lang w:eastAsia="en-US"/>
        </w:rPr>
        <w:t>–</w:t>
      </w:r>
      <w:r>
        <w:rPr>
          <w:rFonts w:hint="cs"/>
          <w:rtl/>
          <w:lang w:eastAsia="en-US"/>
        </w:rPr>
        <w:t xml:space="preserve"> מוצע להחליף את המונח "ייפויי כוח בריאותיים" ל-"ייפויי כוח רפואיים" בשל הצורך לאחד את המינוחים הקיימים בחוק.</w:t>
      </w:r>
    </w:p>
    <w:p w:rsidR="00B71754" w:rsidRDefault="00B71754" w:rsidP="00B71754">
      <w:pPr>
        <w:pStyle w:val="1"/>
        <w:tabs>
          <w:tab w:val="center" w:pos="6804"/>
          <w:tab w:val="left" w:pos="8164"/>
        </w:tabs>
        <w:rPr>
          <w:rtl/>
          <w:lang w:eastAsia="en-US"/>
        </w:rPr>
      </w:pPr>
    </w:p>
    <w:p w:rsidR="00B71754" w:rsidRDefault="00B71754" w:rsidP="00B71754">
      <w:pPr>
        <w:pStyle w:val="1"/>
        <w:tabs>
          <w:tab w:val="center" w:pos="6804"/>
          <w:tab w:val="left" w:pos="8164"/>
        </w:tabs>
        <w:rPr>
          <w:rtl/>
          <w:lang w:eastAsia="en-US"/>
        </w:rPr>
      </w:pPr>
      <w:r w:rsidRPr="00741A51">
        <w:rPr>
          <w:rFonts w:hint="cs"/>
          <w:u w:val="single"/>
          <w:rtl/>
          <w:lang w:eastAsia="en-US"/>
        </w:rPr>
        <w:t>תיקון סעיף 32יד(ג)(4)</w:t>
      </w:r>
      <w:r>
        <w:rPr>
          <w:rtl/>
          <w:lang w:eastAsia="en-US"/>
        </w:rPr>
        <w:t>–</w:t>
      </w:r>
      <w:r>
        <w:rPr>
          <w:rFonts w:hint="cs"/>
          <w:rtl/>
          <w:lang w:eastAsia="en-US"/>
        </w:rPr>
        <w:t>במסגרת העניינים אותם מחויב עו"ד להסביר לממנה, כמפורט בסעיף 32יד(ג), מוצע להשמיט את המילים "מצבים שבהם לא תידרש הסכמה מפורשת" שכן לגבי מצבים אלה די בכך שעורך הדין יסביר לממנה את העניינים שניתן לכלול בייפוי הכ</w:t>
      </w:r>
      <w:r w:rsidR="006B5EC3">
        <w:rPr>
          <w:rFonts w:hint="cs"/>
          <w:rtl/>
          <w:lang w:eastAsia="en-US"/>
        </w:rPr>
        <w:t>ו</w:t>
      </w:r>
      <w:r>
        <w:rPr>
          <w:rFonts w:hint="cs"/>
          <w:rtl/>
          <w:lang w:eastAsia="en-US"/>
        </w:rPr>
        <w:t>ח ואת משמעותו בעוד מתן מידע נוסף נדרש לגבי המצבים המיוחדים בהם תידרש הסכמה מפורשת של הממנה מראש לפעולות שונות בידי מיופה הכוח, על אף שהם שייכים לעניינים לגביהם ניתן ייפוי הכ</w:t>
      </w:r>
      <w:r w:rsidR="006B5EC3">
        <w:rPr>
          <w:rFonts w:hint="cs"/>
          <w:rtl/>
          <w:lang w:eastAsia="en-US"/>
        </w:rPr>
        <w:t>ו</w:t>
      </w:r>
      <w:r>
        <w:rPr>
          <w:rFonts w:hint="cs"/>
          <w:rtl/>
          <w:lang w:eastAsia="en-US"/>
        </w:rPr>
        <w:t>ח.</w:t>
      </w:r>
    </w:p>
    <w:p w:rsidR="00B71754" w:rsidRDefault="00B71754" w:rsidP="00B71754">
      <w:pPr>
        <w:pStyle w:val="1"/>
        <w:tabs>
          <w:tab w:val="center" w:pos="6804"/>
          <w:tab w:val="left" w:pos="8164"/>
        </w:tabs>
        <w:rPr>
          <w:rtl/>
          <w:lang w:eastAsia="en-US"/>
        </w:rPr>
      </w:pPr>
    </w:p>
    <w:p w:rsidR="00B71754" w:rsidRDefault="00B71754" w:rsidP="00B71754">
      <w:pPr>
        <w:pStyle w:val="1"/>
        <w:tabs>
          <w:tab w:val="center" w:pos="6804"/>
          <w:tab w:val="left" w:pos="8164"/>
        </w:tabs>
        <w:rPr>
          <w:rtl/>
          <w:lang w:eastAsia="en-US"/>
        </w:rPr>
      </w:pPr>
      <w:r w:rsidRPr="00CC4C82">
        <w:rPr>
          <w:rFonts w:hint="cs"/>
          <w:u w:val="single"/>
          <w:rtl/>
          <w:lang w:eastAsia="en-US"/>
        </w:rPr>
        <w:t>תיקון ס' 32טו</w:t>
      </w:r>
      <w:r>
        <w:rPr>
          <w:rtl/>
          <w:lang w:eastAsia="en-US"/>
        </w:rPr>
        <w:t>–</w:t>
      </w:r>
      <w:r>
        <w:rPr>
          <w:rFonts w:hint="cs"/>
          <w:rtl/>
          <w:lang w:eastAsia="en-US"/>
        </w:rPr>
        <w:t xml:space="preserve"> סעיף 32טו מתייחס לייפויי כ</w:t>
      </w:r>
      <w:r w:rsidR="006B5EC3">
        <w:rPr>
          <w:rFonts w:hint="cs"/>
          <w:rtl/>
          <w:lang w:eastAsia="en-US"/>
        </w:rPr>
        <w:t>ו</w:t>
      </w:r>
      <w:r>
        <w:rPr>
          <w:rFonts w:hint="cs"/>
          <w:rtl/>
          <w:lang w:eastAsia="en-US"/>
        </w:rPr>
        <w:t xml:space="preserve">ח רפואיים. </w:t>
      </w:r>
      <w:r w:rsidRPr="00F77706">
        <w:rPr>
          <w:rFonts w:hint="cs"/>
          <w:rtl/>
          <w:lang w:eastAsia="en-US"/>
        </w:rPr>
        <w:t>החוק התייחס</w:t>
      </w:r>
      <w:r>
        <w:rPr>
          <w:rFonts w:hint="cs"/>
          <w:rtl/>
          <w:lang w:eastAsia="en-US"/>
        </w:rPr>
        <w:t xml:space="preserve"> מלכתחילה</w:t>
      </w:r>
      <w:r w:rsidRPr="00F77706">
        <w:rPr>
          <w:rFonts w:hint="cs"/>
          <w:rtl/>
          <w:lang w:eastAsia="en-US"/>
        </w:rPr>
        <w:t xml:space="preserve"> באופן אחר לייפוי כוח רפואי</w:t>
      </w:r>
      <w:r>
        <w:rPr>
          <w:rFonts w:hint="cs"/>
          <w:rtl/>
          <w:lang w:eastAsia="en-US"/>
        </w:rPr>
        <w:t xml:space="preserve"> והקל יותר ב</w:t>
      </w:r>
      <w:r w:rsidRPr="00F77706">
        <w:rPr>
          <w:rFonts w:hint="cs"/>
          <w:rtl/>
          <w:lang w:eastAsia="en-US"/>
        </w:rPr>
        <w:t>עריכת</w:t>
      </w:r>
      <w:r>
        <w:rPr>
          <w:rFonts w:hint="cs"/>
          <w:rtl/>
          <w:lang w:eastAsia="en-US"/>
        </w:rPr>
        <w:t>ו</w:t>
      </w:r>
      <w:r w:rsidRPr="00F77706">
        <w:rPr>
          <w:rFonts w:hint="cs"/>
          <w:rtl/>
          <w:lang w:eastAsia="en-US"/>
        </w:rPr>
        <w:t xml:space="preserve"> בהשוואה לייפוי כוח </w:t>
      </w:r>
      <w:r>
        <w:rPr>
          <w:rFonts w:hint="cs"/>
          <w:rtl/>
          <w:lang w:eastAsia="en-US"/>
        </w:rPr>
        <w:t>בענייני רכוש ובעניינים אישיים</w:t>
      </w:r>
      <w:r w:rsidRPr="00F77706">
        <w:rPr>
          <w:rFonts w:hint="cs"/>
          <w:rtl/>
          <w:lang w:eastAsia="en-US"/>
        </w:rPr>
        <w:t xml:space="preserve">. </w:t>
      </w:r>
      <w:r>
        <w:rPr>
          <w:rFonts w:hint="cs"/>
          <w:rtl/>
          <w:lang w:eastAsia="en-US"/>
        </w:rPr>
        <w:t>(האפשרות לערוך אותו בפני גורמי מקצוע ולא רק עורך דין, צמצום ההסברים לאדם וכניסה לתוקף למשך שנה למרות אי הפקדה). לאחר כניסתו של החוק לתוקף, נשמעו ביקורות, הן מצד מטפלים והן מצד מטופלים, בהתייחס לייפויי כ</w:t>
      </w:r>
      <w:r w:rsidR="006B5EC3">
        <w:rPr>
          <w:rFonts w:hint="cs"/>
          <w:rtl/>
          <w:lang w:eastAsia="en-US"/>
        </w:rPr>
        <w:t>ו</w:t>
      </w:r>
      <w:r>
        <w:rPr>
          <w:rFonts w:hint="cs"/>
          <w:rtl/>
          <w:lang w:eastAsia="en-US"/>
        </w:rPr>
        <w:t xml:space="preserve">ח רפואיים הנוגעים למורכבות ההליךובמיוחד בנוגע לחובת ההפקדה שפעמים רבות אינה אפשרית עבור מטופל שהניידות שלו מוגבלת. בעקבות זאת,מוצע לתקן את החוק הקיים כדלקמן: ראשית, מוצע לכלול בסעיף אחד (סעיף 32טו) את כל הוראות החוק העוסקות בייפויי כוח רפואיים, בניגוד למצב הקיים בו הוראות אלה מפוזרות במספר סעיפי חוק; נוסף לכך מוצעים תיקונים שנועדו להקל על מטופלים המבקשים לערוך ייפויי כוח ולהפקידם: </w:t>
      </w:r>
    </w:p>
    <w:p w:rsidR="00B71754" w:rsidRDefault="00B71754" w:rsidP="00B71754">
      <w:pPr>
        <w:pStyle w:val="1"/>
        <w:tabs>
          <w:tab w:val="center" w:pos="6804"/>
          <w:tab w:val="left" w:pos="8164"/>
        </w:tabs>
        <w:rPr>
          <w:rtl/>
          <w:lang w:eastAsia="en-US"/>
        </w:rPr>
      </w:pPr>
      <w:r w:rsidRPr="001C4AAC">
        <w:rPr>
          <w:rFonts w:hint="cs"/>
          <w:b/>
          <w:bCs/>
          <w:u w:val="single"/>
          <w:rtl/>
          <w:lang w:eastAsia="en-US"/>
        </w:rPr>
        <w:t>1</w:t>
      </w:r>
      <w:r>
        <w:rPr>
          <w:rFonts w:hint="cs"/>
          <w:rtl/>
          <w:lang w:eastAsia="en-US"/>
        </w:rPr>
        <w:t xml:space="preserve">. לפי נוסח סעיף 32יז לחוק כיום, ייפוי כוח שלא הופקד אצל האפוטרופוס הכללי יהיה תקף במשך לשנה. מוצע להוסיף הוראה (לפי הנוסח המוצע </w:t>
      </w:r>
      <w:r>
        <w:rPr>
          <w:rtl/>
          <w:lang w:eastAsia="en-US"/>
        </w:rPr>
        <w:t>–</w:t>
      </w:r>
      <w:r>
        <w:rPr>
          <w:rFonts w:hint="cs"/>
          <w:rtl/>
          <w:lang w:eastAsia="en-US"/>
        </w:rPr>
        <w:t xml:space="preserve"> סעיף 32טו(ה)(1)) הקובעת כי במקרה בו ייפוי הכוח נכנס לתוקף במהלך אותה שנה, כלומר שמצבו של האדם הוא כזה שהוא לא יכול להבין בענייניו הרפואיים וממילא לטפל בהפקדת ייפוי הכ</w:t>
      </w:r>
      <w:r w:rsidR="006B5EC3">
        <w:rPr>
          <w:rFonts w:hint="cs"/>
          <w:rtl/>
          <w:lang w:eastAsia="en-US"/>
        </w:rPr>
        <w:t>ו</w:t>
      </w:r>
      <w:r>
        <w:rPr>
          <w:rFonts w:hint="cs"/>
          <w:rtl/>
          <w:lang w:eastAsia="en-US"/>
        </w:rPr>
        <w:t xml:space="preserve">ח (במצב של חוסר הכרה למשל), ייפוי הכוח ימשיך לעמוד בתוקפו גם אם לא הופקד, וזאת על מנת לאפשר טיפול באדם לפי רצונו כפי שבא לידי ביטוי בייפוי הכוח; </w:t>
      </w:r>
    </w:p>
    <w:p w:rsidR="00B71754" w:rsidRDefault="00B71754" w:rsidP="00B71754">
      <w:pPr>
        <w:pStyle w:val="1"/>
        <w:tabs>
          <w:tab w:val="center" w:pos="6804"/>
          <w:tab w:val="left" w:pos="8164"/>
        </w:tabs>
        <w:rPr>
          <w:rtl/>
          <w:lang w:eastAsia="en-US"/>
        </w:rPr>
      </w:pPr>
      <w:r w:rsidRPr="001C4AAC">
        <w:rPr>
          <w:rFonts w:hint="cs"/>
          <w:b/>
          <w:bCs/>
          <w:u w:val="single"/>
          <w:rtl/>
          <w:lang w:eastAsia="en-US"/>
        </w:rPr>
        <w:t>2</w:t>
      </w:r>
      <w:r>
        <w:rPr>
          <w:rFonts w:hint="cs"/>
          <w:rtl/>
          <w:lang w:eastAsia="en-US"/>
        </w:rPr>
        <w:t>. במסגרת סעיף 32טו(ה)(2) מוצע לקבוע כי הפקדת ייפוי הכוח אצל האפוטרופוס הכללי יכולה להיעשות גם באמצעות משלוח בדואר רשום או באמצעות ייפוי כוח רגיל שנתן הממנה לאדם על מנת שיבצע את ההפקדה במקומו או באמצעות דרך אחרת שיקבע השר בתקנות;</w:t>
      </w:r>
    </w:p>
    <w:p w:rsidR="00B71754" w:rsidRDefault="00B71754" w:rsidP="00B71754">
      <w:pPr>
        <w:pStyle w:val="1"/>
        <w:tabs>
          <w:tab w:val="center" w:pos="6804"/>
          <w:tab w:val="left" w:pos="8164"/>
        </w:tabs>
        <w:rPr>
          <w:rtl/>
          <w:lang w:eastAsia="en-US"/>
        </w:rPr>
      </w:pPr>
      <w:r w:rsidRPr="001C4AAC">
        <w:rPr>
          <w:rFonts w:hint="cs"/>
          <w:b/>
          <w:bCs/>
          <w:u w:val="single"/>
          <w:rtl/>
          <w:lang w:eastAsia="en-US"/>
        </w:rPr>
        <w:t>3</w:t>
      </w:r>
      <w:r>
        <w:rPr>
          <w:rFonts w:hint="cs"/>
          <w:rtl/>
          <w:lang w:eastAsia="en-US"/>
        </w:rPr>
        <w:t xml:space="preserve">. סעיף 32טו(ו) </w:t>
      </w:r>
      <w:r>
        <w:rPr>
          <w:rtl/>
          <w:lang w:eastAsia="en-US"/>
        </w:rPr>
        <w:t>–</w:t>
      </w:r>
      <w:r>
        <w:rPr>
          <w:rFonts w:hint="cs"/>
          <w:rtl/>
          <w:lang w:eastAsia="en-US"/>
        </w:rPr>
        <w:t xml:space="preserve"> משרד הבריאות מאפשר היום להפקיד אצלו טפסים רפואיים שונים, כגון ייפויי כוח משולב לפי חוק זכויות החולה ולפי חוק החולה למות, וניכר כי רבים עושים שימוש באפשרות זו, שהיא יחסית, נוחה, זולה ונגישה למי שהם ממילא נמצאים בטיפול רפואי ומקילה על האפשרות של מטפלים לדעת בזמן אמת האם קיים ייפוי כ</w:t>
      </w:r>
      <w:r w:rsidR="006B5EC3">
        <w:rPr>
          <w:rFonts w:hint="cs"/>
          <w:rtl/>
          <w:lang w:eastAsia="en-US"/>
        </w:rPr>
        <w:t>ו</w:t>
      </w:r>
      <w:r>
        <w:rPr>
          <w:rFonts w:hint="cs"/>
          <w:rtl/>
          <w:lang w:eastAsia="en-US"/>
        </w:rPr>
        <w:t>ח רפואי. על מנת לאפשר את הרחבתאפשרות ההפקדה הקיימת במשרד הבריאות גם לייפויי כ</w:t>
      </w:r>
      <w:r w:rsidR="006B5EC3">
        <w:rPr>
          <w:rFonts w:hint="cs"/>
          <w:rtl/>
          <w:lang w:eastAsia="en-US"/>
        </w:rPr>
        <w:t>ו</w:t>
      </w:r>
      <w:r>
        <w:rPr>
          <w:rFonts w:hint="cs"/>
          <w:rtl/>
          <w:lang w:eastAsia="en-US"/>
        </w:rPr>
        <w:t>ח מתמשכים בתחום הרפואי, מוצע להסמיך את שר המשפטים ושר הבריאות לקבוע בחקיקת משנה הוראות הקובעות כי ייפויי כוח רפואיים יופקדו, לבחירת האדם, במאגר משרד הבריאות או באפוטרופוס הכללי וכן הוראות בדבר אופן ההפקדה וניהול המאגר והדרכים בהן יוכלו הצוות הרפואי המטפל באדם או גורם ייעודי במוסד הרפואי בו מטופל האדם לעיין בייפוי הכוח (לרבות בדיקה האם בכלל הופקד ייפוי כוח בעניינו של המטופל) לצורך הטיפול בממנה. כמו כן מוסמכים השרים לקבוע כללים בנוגע להעברת המידע בין האפוטרופוס הכללי למשרד הבריאות על ייפוי הכ</w:t>
      </w:r>
      <w:r w:rsidR="006B5EC3">
        <w:rPr>
          <w:rFonts w:hint="cs"/>
          <w:rtl/>
          <w:lang w:eastAsia="en-US"/>
        </w:rPr>
        <w:t>ו</w:t>
      </w:r>
      <w:r>
        <w:rPr>
          <w:rFonts w:hint="cs"/>
          <w:rtl/>
          <w:lang w:eastAsia="en-US"/>
        </w:rPr>
        <w:t xml:space="preserve">ח המופקדים אצל כל אחד מהם, כדוגמת ממשקים ממוחשבים שיוכלו לסייע במציאת ייפויי כוח רפואיים ובעיון בהם על מנת לממש את רצון הממנה; </w:t>
      </w:r>
    </w:p>
    <w:p w:rsidR="00B71754" w:rsidRDefault="00B71754" w:rsidP="00200F5D">
      <w:pPr>
        <w:pStyle w:val="1"/>
        <w:tabs>
          <w:tab w:val="center" w:pos="6804"/>
          <w:tab w:val="left" w:pos="8164"/>
        </w:tabs>
        <w:rPr>
          <w:rtl/>
          <w:lang w:eastAsia="en-US"/>
        </w:rPr>
      </w:pPr>
      <w:r w:rsidRPr="001C4AAC">
        <w:rPr>
          <w:rFonts w:hint="cs"/>
          <w:b/>
          <w:bCs/>
          <w:u w:val="single"/>
          <w:rtl/>
          <w:lang w:eastAsia="en-US"/>
        </w:rPr>
        <w:t>4</w:t>
      </w:r>
      <w:r>
        <w:rPr>
          <w:rFonts w:hint="cs"/>
          <w:rtl/>
          <w:lang w:eastAsia="en-US"/>
        </w:rPr>
        <w:t xml:space="preserve">. סעיף 32טו(ז) </w:t>
      </w:r>
      <w:r>
        <w:rPr>
          <w:rtl/>
          <w:lang w:eastAsia="en-US"/>
        </w:rPr>
        <w:t>–</w:t>
      </w:r>
      <w:r>
        <w:rPr>
          <w:rFonts w:hint="cs"/>
          <w:rtl/>
          <w:lang w:eastAsia="en-US"/>
        </w:rPr>
        <w:t xml:space="preserve"> לעניין ייפוי כוח רפואי מוצע לקבוע הוראות שונות מייפויי כוח שאינם רפואיים בנושא כניסה לתוקף של ייפוי הכוח. </w:t>
      </w:r>
      <w:r>
        <w:rPr>
          <w:rFonts w:hint="cs"/>
          <w:sz w:val="26"/>
          <w:rtl/>
        </w:rPr>
        <w:t xml:space="preserve">סעיף 32יט(א)ו-(ג) לחוק קובעים כי </w:t>
      </w:r>
      <w:r>
        <w:rPr>
          <w:rFonts w:hint="cs"/>
          <w:rtl/>
        </w:rPr>
        <w:t>"ייפוי כוח מתמשך ייכנס לתוקפו במועד שבו חדל הממנה להיות מסוגל להבין בדבר בעניין שלגביו ניתן ייפוי הכוח המתמשך, ובכלל זה לקבל החלטות בקשר אליו...", כאשר הממנה רשאי לקבוע בייפוי הכוח את הדרך בה ייקבע כי הוא אינו מסוגל להבין בדבר. ואולם אם הממנה לא קבע כאמור הדרך היא באמצעות חוות דעת מומחה</w:t>
      </w:r>
      <w:r w:rsidR="00200F5D">
        <w:rPr>
          <w:rFonts w:hint="cs"/>
          <w:rtl/>
        </w:rPr>
        <w:t>.</w:t>
      </w:r>
      <w:r>
        <w:rPr>
          <w:rFonts w:hint="cs"/>
          <w:rtl/>
          <w:lang w:eastAsia="en-US"/>
        </w:rPr>
        <w:t>לעומת זאת, לגבי ייפוי כוח רפואי מוצע כי הדרך בה יקבע שאדם אינו מבין בדבר (קרי, ייפוי הכוח נכנס לתוקף), תהיה על ידי החלטת הרופא המטפל באדם ובהסכמת מיופה הכוח, לצד האפשרות הקיימת כבר היום לכניסה לתוקף באמצעות חוות דעת מומחה), וזאת על מנת להקל על האפשרות לכניסה לתוקף של ייפוי הכוח. ההסדר המוצע מסמיך את הרופא המטפל באדם ומכיר את מצבו הרפואי לקבוע כי יש להפעיל את ייפוי הכוח המתמשך. ואולם, הוראה זו לא תחול ביחס לייפוי כוח רפואי בעניין אשפוז פסיכיאטרי וזאת בשל ההשלכות החמורות של אשפוז כאמור על חירותו של האדם. על כן, אשפוז בבית חולים כהגדרתו בחוק לטיפול בחולי נפש, באמצעות ייפוי הכוח, תעשה רק לאחר קביעת מומחה בחוות דעת כי ייפוי הכוח נכנס לתוקפו.</w:t>
      </w:r>
    </w:p>
    <w:p w:rsidR="00B71754" w:rsidRDefault="00B71754" w:rsidP="00B71754">
      <w:pPr>
        <w:pStyle w:val="1"/>
        <w:tabs>
          <w:tab w:val="center" w:pos="6804"/>
          <w:tab w:val="left" w:pos="8164"/>
        </w:tabs>
        <w:rPr>
          <w:rtl/>
          <w:lang w:eastAsia="en-US"/>
        </w:rPr>
      </w:pPr>
    </w:p>
    <w:p w:rsidR="00B71754" w:rsidRDefault="00B71754" w:rsidP="00F17550">
      <w:pPr>
        <w:pStyle w:val="1"/>
        <w:tabs>
          <w:tab w:val="center" w:pos="6804"/>
          <w:tab w:val="left" w:pos="8164"/>
        </w:tabs>
        <w:rPr>
          <w:rtl/>
          <w:lang w:eastAsia="en-US"/>
        </w:rPr>
      </w:pPr>
      <w:r w:rsidRPr="00CC4C82">
        <w:rPr>
          <w:rFonts w:hint="cs"/>
          <w:u w:val="single"/>
          <w:rtl/>
          <w:lang w:eastAsia="en-US"/>
        </w:rPr>
        <w:t>תיקון ס' 32יז</w:t>
      </w:r>
      <w:r>
        <w:rPr>
          <w:rtl/>
          <w:lang w:eastAsia="en-US"/>
        </w:rPr>
        <w:t>–</w:t>
      </w:r>
      <w:r>
        <w:rPr>
          <w:rFonts w:hint="cs"/>
          <w:rtl/>
          <w:lang w:eastAsia="en-US"/>
        </w:rPr>
        <w:t xml:space="preserve"> הסעיף הקיים מחייב למסור את העותק </w:t>
      </w:r>
      <w:r w:rsidRPr="001C4ABF">
        <w:rPr>
          <w:rFonts w:hint="eastAsia"/>
          <w:b/>
          <w:bCs/>
          <w:u w:val="single"/>
          <w:rtl/>
          <w:lang w:eastAsia="en-US"/>
        </w:rPr>
        <w:t>המקורי</w:t>
      </w:r>
      <w:r>
        <w:rPr>
          <w:rFonts w:hint="cs"/>
          <w:rtl/>
          <w:lang w:eastAsia="en-US"/>
        </w:rPr>
        <w:t xml:space="preserve"> של ייפוי כח (בכל העניינים) לידי האפוטרופוס הכללי, מוצע לבטל חובה זו, בין היתר מאחר שייפוי הכוח נעשה באמצעות טופס מקוון שנשלח לאפוטרופוס הכללי באופן מקוון </w:t>
      </w:r>
      <w:r w:rsidR="00F17550">
        <w:rPr>
          <w:rFonts w:hint="cs"/>
          <w:rtl/>
          <w:lang w:eastAsia="en-US"/>
        </w:rPr>
        <w:t xml:space="preserve">ונחתם בחתימה אלקטרונית </w:t>
      </w:r>
      <w:r>
        <w:rPr>
          <w:rFonts w:hint="cs"/>
          <w:rtl/>
          <w:lang w:eastAsia="en-US"/>
        </w:rPr>
        <w:t xml:space="preserve">ועל כן ניתן לוודא את מקוריותו. לפיכך מוצע לציין באופן מפורש בחוק כי אופן ההפקדה של ייפוי הכוח המתמשך תיעשה באמצעות מסירה ידנית של הטופס לידי האפוטרופוס הכללי או באופן מקוון. </w:t>
      </w:r>
    </w:p>
    <w:p w:rsidR="00B71754" w:rsidRDefault="00B71754" w:rsidP="00B71754">
      <w:pPr>
        <w:pStyle w:val="1"/>
        <w:tabs>
          <w:tab w:val="center" w:pos="6804"/>
          <w:tab w:val="left" w:pos="8164"/>
        </w:tabs>
        <w:rPr>
          <w:rtl/>
          <w:lang w:eastAsia="en-US"/>
        </w:rPr>
      </w:pPr>
      <w:r>
        <w:rPr>
          <w:rFonts w:hint="cs"/>
          <w:rtl/>
          <w:lang w:eastAsia="en-US"/>
        </w:rPr>
        <w:t xml:space="preserve">מאחר שלפי הצעת החוק, כל ההוראות הנוגעות לייפוי כוח רפואי מוסדרות באופן מרוכז במסגרת סעיף 32טו, מוצע למחוק את סעיף 32יז(ב) העוסק בתוקפו של ייפוי כוח רפואי על אף שלא הופקד. </w:t>
      </w:r>
    </w:p>
    <w:p w:rsidR="00C26476" w:rsidRDefault="00C26476" w:rsidP="00B71754">
      <w:pPr>
        <w:pStyle w:val="1"/>
        <w:tabs>
          <w:tab w:val="center" w:pos="6804"/>
          <w:tab w:val="left" w:pos="8164"/>
        </w:tabs>
        <w:rPr>
          <w:rtl/>
          <w:lang w:eastAsia="en-US"/>
        </w:rPr>
      </w:pPr>
    </w:p>
    <w:p w:rsidR="00C26476" w:rsidRPr="00C26476" w:rsidRDefault="00C26476" w:rsidP="00292F55">
      <w:pPr>
        <w:pStyle w:val="1"/>
        <w:tabs>
          <w:tab w:val="center" w:pos="6804"/>
          <w:tab w:val="left" w:pos="8164"/>
        </w:tabs>
        <w:rPr>
          <w:lang w:eastAsia="en-US"/>
        </w:rPr>
      </w:pPr>
      <w:r>
        <w:rPr>
          <w:rFonts w:hint="cs"/>
          <w:rtl/>
          <w:lang w:eastAsia="en-US"/>
        </w:rPr>
        <w:t>תיקון סעיף 32יח- מוצע להוסיף לגורמים הזכאים</w:t>
      </w:r>
      <w:r w:rsidR="00292F55">
        <w:rPr>
          <w:rFonts w:hint="cs"/>
          <w:rtl/>
          <w:lang w:eastAsia="en-US"/>
        </w:rPr>
        <w:t>,</w:t>
      </w:r>
      <w:r>
        <w:rPr>
          <w:rFonts w:hint="cs"/>
          <w:rtl/>
          <w:lang w:eastAsia="en-US"/>
        </w:rPr>
        <w:t xml:space="preserve"> לקבל מידע על הפקדת ייפוי כוח מתמשך</w:t>
      </w:r>
      <w:r w:rsidR="00CB33E4">
        <w:rPr>
          <w:rFonts w:hint="cs"/>
          <w:rtl/>
          <w:lang w:eastAsia="en-US"/>
        </w:rPr>
        <w:t xml:space="preserve"> הכולל עניינים רפואיים (בין ייפוי כ</w:t>
      </w:r>
      <w:r w:rsidR="00292F55">
        <w:rPr>
          <w:rFonts w:hint="cs"/>
          <w:rtl/>
          <w:lang w:eastAsia="en-US"/>
        </w:rPr>
        <w:t>ו</w:t>
      </w:r>
      <w:r w:rsidR="00CB33E4">
        <w:rPr>
          <w:rFonts w:hint="cs"/>
          <w:rtl/>
          <w:lang w:eastAsia="en-US"/>
        </w:rPr>
        <w:t>ח בעניינים רפואיים בלבד ובין י</w:t>
      </w:r>
      <w:r w:rsidR="00292F55">
        <w:rPr>
          <w:rFonts w:hint="cs"/>
          <w:rtl/>
          <w:lang w:eastAsia="en-US"/>
        </w:rPr>
        <w:t>י</w:t>
      </w:r>
      <w:r w:rsidR="00CB33E4">
        <w:rPr>
          <w:rFonts w:hint="cs"/>
          <w:rtl/>
          <w:lang w:eastAsia="en-US"/>
        </w:rPr>
        <w:t>פוי כ</w:t>
      </w:r>
      <w:r w:rsidR="00292F55">
        <w:rPr>
          <w:rFonts w:hint="cs"/>
          <w:rtl/>
          <w:lang w:eastAsia="en-US"/>
        </w:rPr>
        <w:t>ו</w:t>
      </w:r>
      <w:r w:rsidR="00CB33E4">
        <w:rPr>
          <w:rFonts w:hint="cs"/>
          <w:rtl/>
          <w:lang w:eastAsia="en-US"/>
        </w:rPr>
        <w:t>ח הכולל עניינים אישיים ובכללם רפואיים)</w:t>
      </w:r>
      <w:r>
        <w:rPr>
          <w:rFonts w:hint="cs"/>
          <w:rtl/>
          <w:lang w:eastAsia="en-US"/>
        </w:rPr>
        <w:t xml:space="preserve"> והעתק ממנו</w:t>
      </w:r>
      <w:r w:rsidR="00292F55">
        <w:rPr>
          <w:rFonts w:hint="cs"/>
          <w:rtl/>
          <w:lang w:eastAsia="en-US"/>
        </w:rPr>
        <w:t>,</w:t>
      </w:r>
      <w:r>
        <w:rPr>
          <w:rFonts w:hint="cs"/>
          <w:rtl/>
          <w:lang w:eastAsia="en-US"/>
        </w:rPr>
        <w:t xml:space="preserve"> גם רופא בבית חולים במסגרת תפקידו ולשם טיפול במטופל</w:t>
      </w:r>
      <w:r w:rsidR="00D535FD">
        <w:rPr>
          <w:rFonts w:hint="cs"/>
          <w:rtl/>
          <w:lang w:eastAsia="en-US"/>
        </w:rPr>
        <w:t xml:space="preserve">. </w:t>
      </w:r>
      <w:r>
        <w:rPr>
          <w:rFonts w:hint="cs"/>
          <w:rtl/>
          <w:lang w:eastAsia="en-US"/>
        </w:rPr>
        <w:t xml:space="preserve">זאת </w:t>
      </w:r>
      <w:r w:rsidR="00D535FD">
        <w:rPr>
          <w:rFonts w:hint="cs"/>
          <w:rtl/>
          <w:lang w:eastAsia="en-US"/>
        </w:rPr>
        <w:t xml:space="preserve">על מנת לקיים </w:t>
      </w:r>
      <w:r w:rsidR="00CB33E4">
        <w:rPr>
          <w:rFonts w:hint="cs"/>
          <w:rtl/>
          <w:lang w:eastAsia="en-US"/>
        </w:rPr>
        <w:t xml:space="preserve">בפועל </w:t>
      </w:r>
      <w:r w:rsidR="00D535FD">
        <w:rPr>
          <w:rFonts w:hint="cs"/>
          <w:rtl/>
          <w:lang w:eastAsia="en-US"/>
        </w:rPr>
        <w:t xml:space="preserve">את רצונו </w:t>
      </w:r>
      <w:r w:rsidR="00292F55">
        <w:rPr>
          <w:rFonts w:hint="cs"/>
          <w:rtl/>
          <w:lang w:eastAsia="en-US"/>
        </w:rPr>
        <w:t xml:space="preserve">של המטופל </w:t>
      </w:r>
      <w:r w:rsidR="00D535FD">
        <w:rPr>
          <w:rFonts w:hint="cs"/>
          <w:rtl/>
          <w:lang w:eastAsia="en-US"/>
        </w:rPr>
        <w:t>בקשר לענייניו הרפואיים, כפי שבא לידי ביטוי בהוראות הייפוי הכוח המתמשך שהופקד בעניינו</w:t>
      </w:r>
      <w:r w:rsidR="00CB33E4">
        <w:rPr>
          <w:rFonts w:hint="cs"/>
          <w:rtl/>
          <w:lang w:eastAsia="en-US"/>
        </w:rPr>
        <w:t xml:space="preserve"> ולהימנע, במקרה הצורך, מ</w:t>
      </w:r>
      <w:r w:rsidR="00CB33E4" w:rsidRPr="00C26476">
        <w:rPr>
          <w:rtl/>
          <w:lang w:eastAsia="en-US"/>
        </w:rPr>
        <w:t>מינויי אפוטרופ</w:t>
      </w:r>
      <w:r w:rsidR="00CB33E4">
        <w:rPr>
          <w:rFonts w:hint="cs"/>
          <w:rtl/>
          <w:lang w:eastAsia="en-US"/>
        </w:rPr>
        <w:t>ו</w:t>
      </w:r>
      <w:r w:rsidR="00CB33E4" w:rsidRPr="00C26476">
        <w:rPr>
          <w:rtl/>
          <w:lang w:eastAsia="en-US"/>
        </w:rPr>
        <w:t>ס</w:t>
      </w:r>
      <w:r w:rsidR="00CB33E4">
        <w:rPr>
          <w:rFonts w:hint="cs"/>
          <w:rtl/>
          <w:lang w:eastAsia="en-US"/>
        </w:rPr>
        <w:t xml:space="preserve"> עבור</w:t>
      </w:r>
      <w:r w:rsidR="00292F55">
        <w:rPr>
          <w:rFonts w:hint="cs"/>
          <w:rtl/>
          <w:lang w:eastAsia="en-US"/>
        </w:rPr>
        <w:t>ו</w:t>
      </w:r>
      <w:r w:rsidRPr="00C26476">
        <w:rPr>
          <w:rtl/>
          <w:lang w:eastAsia="en-US"/>
        </w:rPr>
        <w:t xml:space="preserve"> . </w:t>
      </w:r>
    </w:p>
    <w:p w:rsidR="00C26476" w:rsidRPr="00D535FD" w:rsidRDefault="00C26476" w:rsidP="00C26476">
      <w:pPr>
        <w:pStyle w:val="1"/>
        <w:tabs>
          <w:tab w:val="center" w:pos="6804"/>
          <w:tab w:val="left" w:pos="8164"/>
        </w:tabs>
        <w:rPr>
          <w:rtl/>
          <w:lang w:eastAsia="en-US"/>
        </w:rPr>
      </w:pPr>
    </w:p>
    <w:p w:rsidR="00B71754" w:rsidRDefault="00B71754" w:rsidP="00120156">
      <w:pPr>
        <w:pStyle w:val="1"/>
        <w:tabs>
          <w:tab w:val="center" w:pos="6804"/>
          <w:tab w:val="left" w:pos="8164"/>
        </w:tabs>
      </w:pPr>
      <w:r w:rsidRPr="00CC4C82">
        <w:rPr>
          <w:rFonts w:hint="cs"/>
          <w:u w:val="single"/>
          <w:rtl/>
          <w:lang w:eastAsia="en-US"/>
        </w:rPr>
        <w:t>תיקון ס' 32יט</w:t>
      </w:r>
      <w:r>
        <w:rPr>
          <w:rtl/>
          <w:lang w:eastAsia="en-US"/>
        </w:rPr>
        <w:t>–</w:t>
      </w:r>
      <w:r>
        <w:rPr>
          <w:rFonts w:hint="cs"/>
          <w:rtl/>
          <w:lang w:eastAsia="en-US"/>
        </w:rPr>
        <w:t xml:space="preserve">  סעיף 32יט לחוק קובע כי עד למועד שבו חדל להיות הממנה מסוגל להבין בדבר, דינו של ייפוי הכוח המתמשך יהיה כדין ייפוי כוח שניתן לפי חוק השליחות. המשמעות המעשית היא שמעמדו של ייפוי הכוח המתמשך בתקופה זו (עד להיות הממנה חדל מלהיות מסוגל להבין בדבר) זהה למעמדו של ייפוי כוח רגיל. ואולם, י</w:t>
      </w:r>
      <w:r>
        <w:rPr>
          <w:rtl/>
        </w:rPr>
        <w:t>יפוי כ</w:t>
      </w:r>
      <w:r>
        <w:rPr>
          <w:rFonts w:hint="cs"/>
          <w:rtl/>
        </w:rPr>
        <w:t>ו</w:t>
      </w:r>
      <w:r>
        <w:rPr>
          <w:rtl/>
        </w:rPr>
        <w:t>ח רגיל</w:t>
      </w:r>
      <w:r>
        <w:rPr>
          <w:rFonts w:hint="cs"/>
          <w:rtl/>
        </w:rPr>
        <w:t xml:space="preserve"> לפי חוק השליחות</w:t>
      </w:r>
      <w:r w:rsidRPr="009932EF">
        <w:rPr>
          <w:rtl/>
        </w:rPr>
        <w:t>שניתן לאדם שאינו עו"ד</w:t>
      </w:r>
      <w:r>
        <w:rPr>
          <w:rtl/>
        </w:rPr>
        <w:t xml:space="preserve"> צריך לה</w:t>
      </w:r>
      <w:r>
        <w:rPr>
          <w:rFonts w:hint="cs"/>
          <w:rtl/>
        </w:rPr>
        <w:t>י</w:t>
      </w:r>
      <w:r>
        <w:rPr>
          <w:rtl/>
        </w:rPr>
        <w:t>חתם בפני נוטריון</w:t>
      </w:r>
      <w:r w:rsidR="009932EF">
        <w:rPr>
          <w:rFonts w:hint="cs"/>
          <w:rtl/>
        </w:rPr>
        <w:t>. כמו כן, גם ייפוי כוח</w:t>
      </w:r>
      <w:r w:rsidR="00120156">
        <w:rPr>
          <w:rFonts w:hint="cs"/>
          <w:rtl/>
        </w:rPr>
        <w:t>לביצוע עסקאות במקרקעין הטעונות רישום במרשם המקרקעין</w:t>
      </w:r>
      <w:r w:rsidR="009932EF">
        <w:rPr>
          <w:rFonts w:hint="cs"/>
          <w:rtl/>
        </w:rPr>
        <w:t xml:space="preserve"> צריך להיחתם בפני עו"ד</w:t>
      </w:r>
      <w:r>
        <w:rPr>
          <w:rtl/>
        </w:rPr>
        <w:t>, ו</w:t>
      </w:r>
      <w:r>
        <w:rPr>
          <w:rFonts w:hint="cs"/>
          <w:rtl/>
        </w:rPr>
        <w:t xml:space="preserve">משכך </w:t>
      </w:r>
      <w:r>
        <w:rPr>
          <w:rtl/>
        </w:rPr>
        <w:t>הסעיף מייצר אי בהירות ביחס לתוקפו של י</w:t>
      </w:r>
      <w:r>
        <w:rPr>
          <w:rFonts w:hint="cs"/>
          <w:rtl/>
        </w:rPr>
        <w:t>י</w:t>
      </w:r>
      <w:r>
        <w:rPr>
          <w:rtl/>
        </w:rPr>
        <w:t xml:space="preserve">פוי </w:t>
      </w:r>
      <w:r w:rsidR="00F17550">
        <w:rPr>
          <w:rtl/>
        </w:rPr>
        <w:t>הכ</w:t>
      </w:r>
      <w:r w:rsidR="00F17550">
        <w:rPr>
          <w:rFonts w:hint="cs"/>
          <w:rtl/>
        </w:rPr>
        <w:t>ו</w:t>
      </w:r>
      <w:r w:rsidR="00F17550">
        <w:rPr>
          <w:rtl/>
        </w:rPr>
        <w:t xml:space="preserve">ח </w:t>
      </w:r>
      <w:r>
        <w:rPr>
          <w:rtl/>
        </w:rPr>
        <w:t>בתקופה שטרם איבוד הכשירות.</w:t>
      </w:r>
      <w:r>
        <w:rPr>
          <w:rFonts w:hint="cs"/>
          <w:rtl/>
        </w:rPr>
        <w:t xml:space="preserve"> לכן מוצע לקבוע כי למרות </w:t>
      </w:r>
      <w:r>
        <w:rPr>
          <w:rFonts w:asciiTheme="minorHAnsi" w:eastAsiaTheme="minorHAnsi" w:hAnsiTheme="minorHAnsi" w:cstheme="minorBidi" w:hint="cs"/>
          <w:kern w:val="0"/>
          <w:sz w:val="22"/>
          <w:szCs w:val="22"/>
          <w:rtl/>
          <w:lang w:eastAsia="en-US"/>
        </w:rPr>
        <w:t>שב</w:t>
      </w:r>
      <w:r>
        <w:rPr>
          <w:rtl/>
        </w:rPr>
        <w:t xml:space="preserve">תקופה שטרם איבוד הכשירות, </w:t>
      </w:r>
      <w:r>
        <w:rPr>
          <w:rFonts w:hint="cs"/>
          <w:rtl/>
        </w:rPr>
        <w:t>דינו של ייפוי הכ</w:t>
      </w:r>
      <w:r w:rsidR="00636EAD">
        <w:rPr>
          <w:rFonts w:hint="cs"/>
          <w:rtl/>
        </w:rPr>
        <w:t>ו</w:t>
      </w:r>
      <w:r>
        <w:rPr>
          <w:rFonts w:hint="cs"/>
          <w:rtl/>
        </w:rPr>
        <w:t xml:space="preserve">ח כייפוי כוח רגיל לפי חוק השליחות, הוא לא יהיה טעון אישור אחר, לרבות אישור של נוטריון  מלבד הוראות עריכת ייפוי כוח מתמשך אשר קבועות בחוק הכשרות המשפטית. </w:t>
      </w:r>
    </w:p>
    <w:p w:rsidR="00B71754" w:rsidRDefault="00B71754" w:rsidP="00B71754">
      <w:pPr>
        <w:pStyle w:val="1"/>
        <w:tabs>
          <w:tab w:val="center" w:pos="6804"/>
          <w:tab w:val="left" w:pos="8164"/>
        </w:tabs>
        <w:rPr>
          <w:rtl/>
          <w:lang w:eastAsia="en-US"/>
        </w:rPr>
      </w:pPr>
    </w:p>
    <w:p w:rsidR="00B71754" w:rsidRDefault="00B71754" w:rsidP="00B71754">
      <w:pPr>
        <w:pStyle w:val="1"/>
        <w:tabs>
          <w:tab w:val="center" w:pos="6804"/>
          <w:tab w:val="left" w:pos="8164"/>
        </w:tabs>
        <w:rPr>
          <w:rtl/>
          <w:lang w:eastAsia="en-US"/>
        </w:rPr>
      </w:pPr>
      <w:r w:rsidRPr="00CC4C82">
        <w:rPr>
          <w:rFonts w:hint="cs"/>
          <w:u w:val="single"/>
          <w:rtl/>
          <w:lang w:eastAsia="en-US"/>
        </w:rPr>
        <w:t>תיקון ס' 34</w:t>
      </w:r>
      <w:r>
        <w:rPr>
          <w:rtl/>
          <w:lang w:eastAsia="en-US"/>
        </w:rPr>
        <w:t>–</w:t>
      </w:r>
      <w:r>
        <w:rPr>
          <w:rFonts w:hint="cs"/>
          <w:rtl/>
          <w:lang w:eastAsia="en-US"/>
        </w:rPr>
        <w:t xml:space="preserve">  סעיף 34 קובע מי יכול להתמנות לאפוטרופוס. מוצע להוסיף בסעיף קטן (א)(2), כי בנוסף ל"תאגיד" יוכל להתמנות כאפוטרופוס גם "אפוטרופוס מקצועי". ההגדרה של אפוטרופוס מקצועי מופיעה בסעיף 34(ב) כ"מי שמונה אפוטרופוס לשלושה אנשים לפחות שאינם קרוביו", הגדרה שלא היתה קיימת טרם תיקון 18 ובשל כך נכלל אז האפוטרופוס המקצועי בגדר "יחיד" היכול להתמנות כאפוטרופוס. </w:t>
      </w:r>
    </w:p>
    <w:p w:rsidR="00B71754" w:rsidRDefault="00B71754" w:rsidP="00B71754">
      <w:pPr>
        <w:pStyle w:val="1"/>
        <w:tabs>
          <w:tab w:val="center" w:pos="6804"/>
          <w:tab w:val="left" w:pos="8164"/>
        </w:tabs>
        <w:rPr>
          <w:rtl/>
          <w:lang w:eastAsia="en-US"/>
        </w:rPr>
      </w:pPr>
    </w:p>
    <w:p w:rsidR="00B71754" w:rsidRDefault="00B71754" w:rsidP="00B71754">
      <w:pPr>
        <w:pStyle w:val="1"/>
        <w:tabs>
          <w:tab w:val="center" w:pos="6804"/>
          <w:tab w:val="left" w:pos="8164"/>
        </w:tabs>
        <w:rPr>
          <w:rtl/>
          <w:lang w:eastAsia="en-US"/>
        </w:rPr>
      </w:pPr>
      <w:r w:rsidRPr="009E35DC">
        <w:rPr>
          <w:rFonts w:hint="cs"/>
          <w:u w:val="single"/>
          <w:rtl/>
          <w:lang w:eastAsia="en-US"/>
        </w:rPr>
        <w:t>תיקון ס' 35א</w:t>
      </w:r>
      <w:r>
        <w:rPr>
          <w:rtl/>
          <w:lang w:eastAsia="en-US"/>
        </w:rPr>
        <w:t>–</w:t>
      </w:r>
      <w:r>
        <w:rPr>
          <w:rFonts w:hint="cs"/>
          <w:rtl/>
          <w:lang w:eastAsia="en-US"/>
        </w:rPr>
        <w:t xml:space="preserve"> סעיף זה עוסק במתן הנחיות מקדימות לצורך מינוי אפוטרופוס. </w:t>
      </w:r>
    </w:p>
    <w:p w:rsidR="00B71754" w:rsidRDefault="00B71754" w:rsidP="00B71754">
      <w:pPr>
        <w:pStyle w:val="1"/>
        <w:tabs>
          <w:tab w:val="center" w:pos="6804"/>
          <w:tab w:val="left" w:pos="8164"/>
        </w:tabs>
        <w:rPr>
          <w:rtl/>
          <w:lang w:eastAsia="en-US"/>
        </w:rPr>
      </w:pPr>
      <w:r>
        <w:rPr>
          <w:rFonts w:hint="cs"/>
          <w:rtl/>
          <w:lang w:eastAsia="en-US"/>
        </w:rPr>
        <w:t>בסעיף 35א(ג) העוסק בהפקדת המסמך אצל האפוטרופוס הכללי, בדומה לתיקון המוצע בעניין הפקדת ייפוי כ</w:t>
      </w:r>
      <w:r w:rsidR="00636EAD">
        <w:rPr>
          <w:rFonts w:hint="cs"/>
          <w:rtl/>
          <w:lang w:eastAsia="en-US"/>
        </w:rPr>
        <w:t>ו</w:t>
      </w:r>
      <w:r>
        <w:rPr>
          <w:rFonts w:hint="cs"/>
          <w:rtl/>
          <w:lang w:eastAsia="en-US"/>
        </w:rPr>
        <w:t>ח מתמשך, מוצע לקבוע כי לא תהיה חובה למסור את העותק המקורי לידי האפוטרופוס הכללי;</w:t>
      </w:r>
    </w:p>
    <w:p w:rsidR="00B71754" w:rsidRDefault="00B71754" w:rsidP="00B71754">
      <w:pPr>
        <w:pStyle w:val="1"/>
        <w:tabs>
          <w:tab w:val="center" w:pos="6804"/>
          <w:tab w:val="left" w:pos="8164"/>
        </w:tabs>
        <w:rPr>
          <w:rtl/>
          <w:lang w:eastAsia="en-US"/>
        </w:rPr>
      </w:pPr>
      <w:r>
        <w:rPr>
          <w:rFonts w:hint="cs"/>
          <w:rtl/>
          <w:lang w:eastAsia="en-US"/>
        </w:rPr>
        <w:t>במסגרת סעיף 35א(ה) לחוק נקבע כי הוראות מסוימות המנויות בסעיף החלות על ייפוי כוח מתמשך יחולו גם על הנחיות מקדימות לצורך מינוי אפוטרופוס. מדובר באדם אשר נתן הנחיות מקדימות לגבי מי שהוא מבקש שימונה לו אפוטרופוס בידי בית המשפט אם יתקיימו העילות בשלהן יהיה צורך למנות לו אפוטרופוס לפי סעיף 33א לחוק לאחר חקיקת החוק התברר כי חלק מההוראות החלות על ייפוי כוח מתמשך אינן רלוונטיות למסמך הנחיות מקדימות וכן עלה כי ישנו צורך בדיוק ההפניות לסעיפים אחרים. על כן</w:t>
      </w:r>
      <w:r w:rsidR="00636EAD">
        <w:rPr>
          <w:rFonts w:hint="cs"/>
          <w:rtl/>
          <w:lang w:eastAsia="en-US"/>
        </w:rPr>
        <w:t>,</w:t>
      </w:r>
      <w:r>
        <w:rPr>
          <w:rFonts w:hint="cs"/>
          <w:rtl/>
          <w:lang w:eastAsia="en-US"/>
        </w:rPr>
        <w:t xml:space="preserve"> מוצע לתקן את הסעיף הקיים ולקבוע כי רק ההוראות הבאות, שחלות על ייפוי כוח מתמשך, יחולו גם על הנחיות מקדימות</w:t>
      </w:r>
      <w:r w:rsidR="005857CA" w:rsidRPr="005857CA">
        <w:rPr>
          <w:rFonts w:hint="cs"/>
          <w:u w:val="single"/>
          <w:rtl/>
          <w:lang w:eastAsia="en-US"/>
        </w:rPr>
        <w:t>בשינויים המחויבים</w:t>
      </w:r>
      <w:r>
        <w:rPr>
          <w:rFonts w:hint="cs"/>
          <w:rtl/>
          <w:lang w:eastAsia="en-US"/>
        </w:rPr>
        <w:t>:</w:t>
      </w:r>
    </w:p>
    <w:p w:rsidR="00B71754" w:rsidRDefault="00B71754" w:rsidP="00B71754">
      <w:pPr>
        <w:pStyle w:val="1"/>
        <w:tabs>
          <w:tab w:val="center" w:pos="6804"/>
          <w:tab w:val="left" w:pos="8164"/>
        </w:tabs>
        <w:rPr>
          <w:rtl/>
          <w:lang w:eastAsia="en-US"/>
        </w:rPr>
      </w:pPr>
    </w:p>
    <w:p w:rsidR="00B71754" w:rsidRDefault="00B71754" w:rsidP="00B71754">
      <w:pPr>
        <w:pStyle w:val="1"/>
        <w:numPr>
          <w:ilvl w:val="0"/>
          <w:numId w:val="17"/>
        </w:numPr>
        <w:tabs>
          <w:tab w:val="center" w:pos="6804"/>
          <w:tab w:val="left" w:pos="8164"/>
        </w:tabs>
        <w:rPr>
          <w:rtl/>
          <w:lang w:eastAsia="en-US"/>
        </w:rPr>
      </w:pPr>
      <w:r>
        <w:rPr>
          <w:rFonts w:hint="cs"/>
          <w:rtl/>
          <w:lang w:eastAsia="en-US"/>
        </w:rPr>
        <w:t>סעיף 32יג העוסק באופן עריכת ייפוי כוח מתמשך - יחולו כלל ההוראות מלבד ההוראה שעניינה בקביעת אדם שיהיה על מיופה הכוח לי</w:t>
      </w:r>
      <w:r w:rsidR="00636EAD">
        <w:rPr>
          <w:rFonts w:hint="cs"/>
          <w:rtl/>
          <w:lang w:eastAsia="en-US"/>
        </w:rPr>
        <w:t>י</w:t>
      </w:r>
      <w:r>
        <w:rPr>
          <w:rFonts w:hint="cs"/>
          <w:rtl/>
          <w:lang w:eastAsia="en-US"/>
        </w:rPr>
        <w:t>דעו בדבר הכניסה לתוקף של ייפוי הכוח, מאחר שהוראה זו אינה נוגעת לעניין הנחיות מקדימות לאפוטרופוס באשר המינוי נעשה על ידי בית המשפט ולפי הוראותיו;</w:t>
      </w:r>
    </w:p>
    <w:p w:rsidR="00B71754" w:rsidRDefault="00B71754" w:rsidP="00636EAD">
      <w:pPr>
        <w:pStyle w:val="1"/>
        <w:numPr>
          <w:ilvl w:val="0"/>
          <w:numId w:val="17"/>
        </w:numPr>
        <w:tabs>
          <w:tab w:val="center" w:pos="6804"/>
          <w:tab w:val="left" w:pos="8164"/>
        </w:tabs>
        <w:rPr>
          <w:rtl/>
          <w:lang w:eastAsia="en-US"/>
        </w:rPr>
      </w:pPr>
      <w:r>
        <w:rPr>
          <w:rFonts w:hint="cs"/>
          <w:rtl/>
          <w:lang w:eastAsia="en-US"/>
        </w:rPr>
        <w:t xml:space="preserve">סעיף 32יד העוסק בחתימה על ייפוי כוח מתמשך </w:t>
      </w:r>
      <w:r>
        <w:rPr>
          <w:rtl/>
          <w:lang w:eastAsia="en-US"/>
        </w:rPr>
        <w:t>–</w:t>
      </w:r>
      <w:r>
        <w:rPr>
          <w:rFonts w:hint="cs"/>
          <w:rtl/>
          <w:lang w:eastAsia="en-US"/>
        </w:rPr>
        <w:t>מוצע להבהיר כי ניתן יהיה לחתום בפני כל עורך דין ולא יהיה צורך בחתימה בפני עורך דין שעבר הכשרה דווקא. כמו כן לא יהיה צורך להבהיר את כל העניינים שניתן לכלול בייפוי כ</w:t>
      </w:r>
      <w:r w:rsidR="00636EAD">
        <w:rPr>
          <w:rFonts w:hint="cs"/>
          <w:rtl/>
          <w:lang w:eastAsia="en-US"/>
        </w:rPr>
        <w:t>ו</w:t>
      </w:r>
      <w:r>
        <w:rPr>
          <w:rFonts w:hint="cs"/>
          <w:rtl/>
          <w:lang w:eastAsia="en-US"/>
        </w:rPr>
        <w:t>ח מתמשך</w:t>
      </w:r>
      <w:r w:rsidR="00811E6F">
        <w:rPr>
          <w:rFonts w:hint="cs"/>
          <w:rtl/>
          <w:lang w:eastAsia="en-US"/>
        </w:rPr>
        <w:t xml:space="preserve">. </w:t>
      </w:r>
      <w:r>
        <w:rPr>
          <w:rFonts w:hint="cs"/>
          <w:rtl/>
          <w:lang w:eastAsia="en-US"/>
        </w:rPr>
        <w:t xml:space="preserve">תחול ההוראה </w:t>
      </w:r>
      <w:r w:rsidR="00811E6F">
        <w:rPr>
          <w:rFonts w:hint="cs"/>
          <w:rtl/>
          <w:lang w:eastAsia="en-US"/>
        </w:rPr>
        <w:t>הקובעת</w:t>
      </w:r>
      <w:r w:rsidR="005857CA">
        <w:rPr>
          <w:rFonts w:hint="cs"/>
          <w:rtl/>
          <w:lang w:eastAsia="en-US"/>
        </w:rPr>
        <w:t>,</w:t>
      </w:r>
      <w:r w:rsidR="00811E6F">
        <w:rPr>
          <w:rFonts w:hint="cs"/>
          <w:rtl/>
          <w:lang w:eastAsia="en-US"/>
        </w:rPr>
        <w:t xml:space="preserve"> כי עורך הדין יפנה את האדם למומחה כדי שיחווה את דעתו בדבר היותו בעל כשירות</w:t>
      </w:r>
      <w:r w:rsidR="005857CA">
        <w:rPr>
          <w:rFonts w:hint="cs"/>
          <w:rtl/>
          <w:lang w:eastAsia="en-US"/>
        </w:rPr>
        <w:t xml:space="preserve">,וזאת </w:t>
      </w:r>
      <w:r>
        <w:rPr>
          <w:rFonts w:hint="cs"/>
          <w:rtl/>
          <w:lang w:eastAsia="en-US"/>
        </w:rPr>
        <w:t>אם התעורר ספק אצל עורך הדין בדבר היותו של אדם בעל כשירות לפני החתימה על הטופס</w:t>
      </w:r>
      <w:r w:rsidR="005857CA">
        <w:rPr>
          <w:rFonts w:hint="cs"/>
          <w:rtl/>
          <w:lang w:eastAsia="en-US"/>
        </w:rPr>
        <w:t xml:space="preserve">. בנוסף, יחולו ההוראות הקובעות, כי עורך הדין שבפניו נערכה החתימה יביא לידיעת הממנה ויסביר בלשון פשוטה על המשמעויות המשפטיות של </w:t>
      </w:r>
      <w:r w:rsidR="00636EAD">
        <w:rPr>
          <w:rFonts w:hint="cs"/>
          <w:rtl/>
          <w:lang w:eastAsia="en-US"/>
        </w:rPr>
        <w:t>המסמך</w:t>
      </w:r>
      <w:r w:rsidR="00EE782D">
        <w:rPr>
          <w:rFonts w:hint="cs"/>
          <w:rtl/>
          <w:lang w:eastAsia="en-US"/>
        </w:rPr>
        <w:t xml:space="preserve">, </w:t>
      </w:r>
      <w:r w:rsidR="005857CA">
        <w:rPr>
          <w:rFonts w:hint="cs"/>
          <w:rtl/>
          <w:lang w:eastAsia="en-US"/>
        </w:rPr>
        <w:t>החלופות הקיימות לו בדין</w:t>
      </w:r>
      <w:r w:rsidR="0097627D">
        <w:rPr>
          <w:rFonts w:hint="cs"/>
          <w:rtl/>
          <w:lang w:eastAsia="en-US"/>
        </w:rPr>
        <w:t xml:space="preserve"> ועל האפשרות ל</w:t>
      </w:r>
      <w:r w:rsidR="00EE782D">
        <w:rPr>
          <w:rFonts w:hint="cs"/>
          <w:rtl/>
          <w:lang w:eastAsia="en-US"/>
        </w:rPr>
        <w:t>בטלו או לקבוע שהוא יעמוד בתוקפו גם אם יבקש הממנה לבטלו כשלא יהיה בעל כשירות</w:t>
      </w:r>
      <w:r w:rsidR="005857CA">
        <w:rPr>
          <w:rFonts w:hint="cs"/>
          <w:rtl/>
          <w:lang w:eastAsia="en-US"/>
        </w:rPr>
        <w:t xml:space="preserve">. כמו כן, תחול ההוראה הקובעת כי עורך הדין שבפניו נחתם </w:t>
      </w:r>
      <w:r w:rsidR="00636EAD">
        <w:rPr>
          <w:rFonts w:hint="cs"/>
          <w:rtl/>
          <w:lang w:eastAsia="en-US"/>
        </w:rPr>
        <w:t>המסמך</w:t>
      </w:r>
      <w:r w:rsidR="005857CA">
        <w:rPr>
          <w:rFonts w:hint="cs"/>
          <w:rtl/>
          <w:lang w:eastAsia="en-US"/>
        </w:rPr>
        <w:t xml:space="preserve"> יאשר על גבי הטופס כי הממונה חתם עליו במועד הנקוב בו ולאחר שהביא לידיעתו פרטים לגבי המשמעויות המשפטיות של ייפוי הכוח והחלופות הקיימות לו בדין</w:t>
      </w:r>
      <w:r>
        <w:rPr>
          <w:rFonts w:hint="cs"/>
          <w:rtl/>
          <w:lang w:eastAsia="en-US"/>
        </w:rPr>
        <w:t>;</w:t>
      </w:r>
    </w:p>
    <w:p w:rsidR="00B71754" w:rsidRDefault="00B71754" w:rsidP="00B71754">
      <w:pPr>
        <w:pStyle w:val="1"/>
        <w:numPr>
          <w:ilvl w:val="0"/>
          <w:numId w:val="17"/>
        </w:numPr>
        <w:tabs>
          <w:tab w:val="center" w:pos="6804"/>
          <w:tab w:val="left" w:pos="8164"/>
        </w:tabs>
        <w:rPr>
          <w:rtl/>
          <w:lang w:eastAsia="en-US"/>
        </w:rPr>
      </w:pPr>
      <w:r>
        <w:rPr>
          <w:rFonts w:hint="cs"/>
          <w:rtl/>
          <w:lang w:eastAsia="en-US"/>
        </w:rPr>
        <w:t xml:space="preserve">סעיף 32יח העוסק בקבלת מידע על הפקדת ייפוי כוח מתמשך </w:t>
      </w:r>
      <w:r>
        <w:rPr>
          <w:rtl/>
          <w:lang w:eastAsia="en-US"/>
        </w:rPr>
        <w:t>–</w:t>
      </w:r>
      <w:r>
        <w:rPr>
          <w:rFonts w:hint="cs"/>
          <w:rtl/>
          <w:lang w:eastAsia="en-US"/>
        </w:rPr>
        <w:t xml:space="preserve"> יחולו רק ההוראות הנוגעות לזכאים לקבל מידע על ההפקדה;</w:t>
      </w:r>
    </w:p>
    <w:p w:rsidR="00B71754" w:rsidRDefault="00B71754" w:rsidP="00B71754">
      <w:pPr>
        <w:pStyle w:val="1"/>
        <w:numPr>
          <w:ilvl w:val="0"/>
          <w:numId w:val="17"/>
        </w:numPr>
        <w:tabs>
          <w:tab w:val="center" w:pos="6804"/>
          <w:tab w:val="left" w:pos="8164"/>
        </w:tabs>
        <w:rPr>
          <w:rtl/>
          <w:lang w:eastAsia="en-US"/>
        </w:rPr>
      </w:pPr>
      <w:r>
        <w:rPr>
          <w:rFonts w:hint="cs"/>
          <w:rtl/>
          <w:lang w:eastAsia="en-US"/>
        </w:rPr>
        <w:t xml:space="preserve">סעיף 32יט העוסק בכניסה לתוקף של ייפוי כוח מתמשך </w:t>
      </w:r>
      <w:r>
        <w:rPr>
          <w:rtl/>
          <w:lang w:eastAsia="en-US"/>
        </w:rPr>
        <w:t>–</w:t>
      </w:r>
      <w:r>
        <w:rPr>
          <w:rFonts w:hint="cs"/>
          <w:rtl/>
          <w:lang w:eastAsia="en-US"/>
        </w:rPr>
        <w:t xml:space="preserve"> יחולו, בשינויים המחויבים, הוראות הנוגעות לדרך שבה האדם מבקש שייקבע כי אינו מסוגל להבין בדבר וכן בנוגע לחובותיו של מיופה הכוח (או מי שהאדם ציינו בהנחיות מקדימות) ליידע את הממנה וכל אדם ששמו צוין בייפוי הכוח המתמשך על התקיימות התנאים לכניסתו לתוקף של ייפוי הכוח המתמשך; </w:t>
      </w:r>
    </w:p>
    <w:p w:rsidR="00B71754" w:rsidRDefault="00B71754" w:rsidP="00B71754">
      <w:pPr>
        <w:pStyle w:val="1"/>
        <w:numPr>
          <w:ilvl w:val="0"/>
          <w:numId w:val="17"/>
        </w:numPr>
        <w:tabs>
          <w:tab w:val="center" w:pos="6804"/>
          <w:tab w:val="left" w:pos="8164"/>
        </w:tabs>
        <w:rPr>
          <w:rtl/>
          <w:lang w:eastAsia="en-US"/>
        </w:rPr>
      </w:pPr>
      <w:r>
        <w:rPr>
          <w:rFonts w:hint="cs"/>
          <w:rtl/>
          <w:lang w:eastAsia="en-US"/>
        </w:rPr>
        <w:t>סעיף 32כא העוסק בתקופת תוקפו של ייפוי הכוח;</w:t>
      </w:r>
    </w:p>
    <w:p w:rsidR="00B71754" w:rsidRDefault="00B71754" w:rsidP="00B71754">
      <w:pPr>
        <w:pStyle w:val="1"/>
        <w:numPr>
          <w:ilvl w:val="0"/>
          <w:numId w:val="17"/>
        </w:numPr>
        <w:tabs>
          <w:tab w:val="center" w:pos="6804"/>
          <w:tab w:val="left" w:pos="8164"/>
        </w:tabs>
        <w:rPr>
          <w:rtl/>
          <w:lang w:eastAsia="en-US"/>
        </w:rPr>
      </w:pPr>
      <w:r>
        <w:rPr>
          <w:rFonts w:hint="cs"/>
          <w:rtl/>
          <w:lang w:eastAsia="en-US"/>
        </w:rPr>
        <w:t>סעיף 32כב העוסק בפקיעת תוקף ייפוי הכוח בעניינים הרלוונט</w:t>
      </w:r>
      <w:r w:rsidR="006B5E66">
        <w:rPr>
          <w:rFonts w:hint="cs"/>
          <w:rtl/>
          <w:lang w:eastAsia="en-US"/>
        </w:rPr>
        <w:t>י</w:t>
      </w:r>
      <w:r>
        <w:rPr>
          <w:rFonts w:hint="cs"/>
          <w:rtl/>
          <w:lang w:eastAsia="en-US"/>
        </w:rPr>
        <w:t>ים להנחיות מקדימות (תנאי שקבע עורך ההנחיות או פטירתו של האדם);</w:t>
      </w:r>
    </w:p>
    <w:p w:rsidR="00B71754" w:rsidRDefault="00B71754" w:rsidP="00B71754">
      <w:pPr>
        <w:pStyle w:val="1"/>
        <w:numPr>
          <w:ilvl w:val="0"/>
          <w:numId w:val="17"/>
        </w:numPr>
        <w:tabs>
          <w:tab w:val="center" w:pos="6804"/>
          <w:tab w:val="left" w:pos="8164"/>
        </w:tabs>
        <w:rPr>
          <w:rtl/>
          <w:lang w:eastAsia="en-US"/>
        </w:rPr>
      </w:pPr>
      <w:r>
        <w:rPr>
          <w:rFonts w:hint="cs"/>
          <w:rtl/>
          <w:lang w:eastAsia="en-US"/>
        </w:rPr>
        <w:t>סעיף 32כג העוסק בביטול ייפוי כוח על ידי הממנה;</w:t>
      </w:r>
    </w:p>
    <w:p w:rsidR="00B71754" w:rsidRDefault="00B71754" w:rsidP="00B71754">
      <w:pPr>
        <w:pStyle w:val="1"/>
        <w:numPr>
          <w:ilvl w:val="0"/>
          <w:numId w:val="17"/>
        </w:numPr>
        <w:tabs>
          <w:tab w:val="center" w:pos="6804"/>
          <w:tab w:val="left" w:pos="8164"/>
        </w:tabs>
        <w:rPr>
          <w:rtl/>
          <w:lang w:eastAsia="en-US"/>
        </w:rPr>
      </w:pPr>
      <w:r>
        <w:rPr>
          <w:rFonts w:hint="cs"/>
          <w:rtl/>
          <w:lang w:eastAsia="en-US"/>
        </w:rPr>
        <w:t>סעיף 32לא העוסק במתן הנחיות מקדימות למיופה כוח;</w:t>
      </w:r>
    </w:p>
    <w:p w:rsidR="00B71754" w:rsidRDefault="00B71754" w:rsidP="00B71754">
      <w:pPr>
        <w:pStyle w:val="1"/>
        <w:numPr>
          <w:ilvl w:val="0"/>
          <w:numId w:val="17"/>
        </w:numPr>
        <w:tabs>
          <w:tab w:val="center" w:pos="6804"/>
          <w:tab w:val="left" w:pos="8164"/>
        </w:tabs>
        <w:rPr>
          <w:lang w:eastAsia="en-US"/>
        </w:rPr>
      </w:pPr>
      <w:r>
        <w:rPr>
          <w:rFonts w:hint="cs"/>
          <w:rtl/>
          <w:lang w:eastAsia="en-US"/>
        </w:rPr>
        <w:t>סעיף 32לב העוסק בתוקפן של הנחיות מקדימות;</w:t>
      </w:r>
    </w:p>
    <w:p w:rsidR="00B71754" w:rsidRDefault="00B71754" w:rsidP="00B71754">
      <w:pPr>
        <w:pStyle w:val="1"/>
        <w:numPr>
          <w:ilvl w:val="0"/>
          <w:numId w:val="17"/>
        </w:numPr>
        <w:tabs>
          <w:tab w:val="center" w:pos="6804"/>
          <w:tab w:val="left" w:pos="8164"/>
        </w:tabs>
        <w:rPr>
          <w:rtl/>
          <w:lang w:eastAsia="en-US"/>
        </w:rPr>
      </w:pPr>
      <w:r>
        <w:rPr>
          <w:rFonts w:hint="cs"/>
          <w:rtl/>
          <w:lang w:eastAsia="en-US"/>
        </w:rPr>
        <w:t>סעיף 32לג העוסק בכך באי תחולה של הוראות הנוגעות לייפוי כוח מתמשך על מתן הנחיות לטיפול רפואי בחולה הנוטה למות.</w:t>
      </w:r>
    </w:p>
    <w:p w:rsidR="00B71754" w:rsidRDefault="00B71754" w:rsidP="00B71754">
      <w:pPr>
        <w:pStyle w:val="1"/>
        <w:tabs>
          <w:tab w:val="center" w:pos="6804"/>
          <w:tab w:val="left" w:pos="8164"/>
        </w:tabs>
        <w:rPr>
          <w:rtl/>
          <w:lang w:eastAsia="en-US"/>
        </w:rPr>
      </w:pPr>
    </w:p>
    <w:p w:rsidR="00B71754" w:rsidRDefault="00B71754" w:rsidP="00B71754">
      <w:pPr>
        <w:pStyle w:val="1"/>
        <w:tabs>
          <w:tab w:val="center" w:pos="6804"/>
          <w:tab w:val="left" w:pos="8164"/>
        </w:tabs>
        <w:rPr>
          <w:rtl/>
          <w:lang w:eastAsia="en-US"/>
        </w:rPr>
      </w:pPr>
      <w:r w:rsidRPr="00CC4C82">
        <w:rPr>
          <w:rFonts w:hint="cs"/>
          <w:u w:val="single"/>
          <w:rtl/>
          <w:lang w:eastAsia="en-US"/>
        </w:rPr>
        <w:t>תיקון ס' 48</w:t>
      </w:r>
      <w:r>
        <w:rPr>
          <w:rtl/>
          <w:lang w:eastAsia="en-US"/>
        </w:rPr>
        <w:t>–</w:t>
      </w:r>
      <w:r>
        <w:rPr>
          <w:rFonts w:hint="cs"/>
          <w:rtl/>
          <w:lang w:eastAsia="en-US"/>
        </w:rPr>
        <w:t xml:space="preserve"> סעיף זה עוסק בפעולות שיש בהן ניגוד אינטרסים וקובע שבפעולה משפטית בין האדם לבין האפוטרופוס שמונה לו או קרוביו וכן פעולה משפטית בין שניים שמונה להם אותו אפוטרופוס, האפוטרופוס אינו מוסמך לייצג אדם שהוא מונה כאפוטרופסו. בשגגה נשמטה הסיפא של הסעיף "מבלי שבית משפט או אפוטרופוס אחר שנתמנה למטרה זו אישרן מראש", אשר נועדה להשאיר לבית המשפט שיקול דעת ואת האפשרות לאשר פעולה בניגוד עניינים מסוים כאשר אין בדבר כדי לפגוע באדם שמונה לו אפוטרופוס.</w:t>
      </w:r>
      <w:r w:rsidR="006B5E66">
        <w:rPr>
          <w:rFonts w:hint="cs"/>
          <w:rtl/>
          <w:lang w:eastAsia="en-US"/>
        </w:rPr>
        <w:t xml:space="preserve"> התיקון המוצע נועד להחזירה לנוסח הסעיף. </w:t>
      </w:r>
    </w:p>
    <w:p w:rsidR="00B71754" w:rsidRDefault="00B71754" w:rsidP="00B71754">
      <w:pPr>
        <w:pStyle w:val="1"/>
        <w:tabs>
          <w:tab w:val="center" w:pos="6804"/>
          <w:tab w:val="left" w:pos="8164"/>
        </w:tabs>
        <w:rPr>
          <w:rtl/>
          <w:lang w:eastAsia="en-US"/>
        </w:rPr>
      </w:pPr>
    </w:p>
    <w:p w:rsidR="00B71754" w:rsidRDefault="00B71754" w:rsidP="00D44187">
      <w:pPr>
        <w:pStyle w:val="1"/>
        <w:tabs>
          <w:tab w:val="center" w:pos="6804"/>
          <w:tab w:val="left" w:pos="8164"/>
        </w:tabs>
        <w:rPr>
          <w:rtl/>
          <w:lang w:eastAsia="en-US"/>
        </w:rPr>
      </w:pPr>
      <w:r w:rsidRPr="000F1ECD">
        <w:rPr>
          <w:rFonts w:hint="eastAsia"/>
          <w:u w:val="single"/>
          <w:rtl/>
          <w:lang w:eastAsia="en-US"/>
        </w:rPr>
        <w:t>תיקוןסעיף</w:t>
      </w:r>
      <w:r w:rsidRPr="000F1ECD">
        <w:rPr>
          <w:u w:val="single"/>
          <w:rtl/>
          <w:lang w:eastAsia="en-US"/>
        </w:rPr>
        <w:t xml:space="preserve"> 51</w:t>
      </w:r>
      <w:r>
        <w:rPr>
          <w:rtl/>
          <w:lang w:eastAsia="en-US"/>
        </w:rPr>
        <w:t>–</w:t>
      </w:r>
      <w:r>
        <w:rPr>
          <w:rFonts w:hint="cs"/>
          <w:rtl/>
          <w:lang w:eastAsia="en-US"/>
        </w:rPr>
        <w:t xml:space="preserve"> מועד הגשת הפרטה הקבוע היום</w:t>
      </w:r>
      <w:r>
        <w:rPr>
          <w:rFonts w:hint="cs"/>
          <w:rtl/>
          <w:lang w:eastAsia="en-US"/>
        </w:rPr>
        <w:tab/>
        <w:t xml:space="preserve"> בחוק הוא 30 ימים מיום מינויו של האפוטרופוס. נטען כי מדובר בסד זמנים צפוף נוכח טיבו של המסמך המצריך איסוף נתונים על ידי האפוטרופוס ועל כן מוצע להאריך את המועד האמור ולקבוע כי מועד הגשת הפרטה יהיה </w:t>
      </w:r>
      <w:r w:rsidRPr="000A5D5A">
        <w:rPr>
          <w:rFonts w:hint="cs"/>
          <w:rtl/>
          <w:lang w:eastAsia="en-US"/>
        </w:rPr>
        <w:t xml:space="preserve">תוך </w:t>
      </w:r>
      <w:r w:rsidR="00D44187" w:rsidRPr="000A5D5A">
        <w:rPr>
          <w:rFonts w:hint="cs"/>
          <w:rtl/>
          <w:lang w:eastAsia="en-US"/>
        </w:rPr>
        <w:t xml:space="preserve">60 </w:t>
      </w:r>
      <w:r w:rsidRPr="000A5D5A">
        <w:rPr>
          <w:rFonts w:hint="cs"/>
          <w:rtl/>
          <w:lang w:eastAsia="en-US"/>
        </w:rPr>
        <w:t>ימים</w:t>
      </w:r>
      <w:r>
        <w:rPr>
          <w:rFonts w:hint="cs"/>
          <w:rtl/>
          <w:lang w:eastAsia="en-US"/>
        </w:rPr>
        <w:t xml:space="preserve"> מיום מינוי האפוטרופוס או במועד אחר שיקבע שר המשפטים בתקנות, בהתאם לשיקולים המקצועיים של האפוטרופוס הכללי.</w:t>
      </w:r>
    </w:p>
    <w:p w:rsidR="00B71754" w:rsidRDefault="00B71754" w:rsidP="00B71754">
      <w:pPr>
        <w:pStyle w:val="1"/>
        <w:tabs>
          <w:tab w:val="center" w:pos="6804"/>
          <w:tab w:val="left" w:pos="8164"/>
        </w:tabs>
        <w:rPr>
          <w:rtl/>
          <w:lang w:eastAsia="en-US"/>
        </w:rPr>
      </w:pPr>
    </w:p>
    <w:p w:rsidR="00B71754" w:rsidRDefault="00B71754" w:rsidP="00CB5692">
      <w:pPr>
        <w:pStyle w:val="1"/>
        <w:tabs>
          <w:tab w:val="center" w:pos="6804"/>
          <w:tab w:val="left" w:pos="8164"/>
        </w:tabs>
        <w:rPr>
          <w:rtl/>
          <w:lang w:eastAsia="en-US"/>
        </w:rPr>
      </w:pPr>
      <w:r w:rsidRPr="00CC4C82">
        <w:rPr>
          <w:rFonts w:hint="cs"/>
          <w:u w:val="single"/>
          <w:rtl/>
          <w:lang w:eastAsia="en-US"/>
        </w:rPr>
        <w:t>תיקון ס' 57</w:t>
      </w:r>
      <w:r>
        <w:rPr>
          <w:rtl/>
          <w:lang w:eastAsia="en-US"/>
        </w:rPr>
        <w:t>–</w:t>
      </w:r>
      <w:r w:rsidR="00CB5692">
        <w:rPr>
          <w:rFonts w:hint="cs"/>
          <w:rtl/>
          <w:lang w:eastAsia="en-US"/>
        </w:rPr>
        <w:t xml:space="preserve">סעיף 57 קובע, כי "האפוטרופוס אחראי לנזק שגרם לאדם שהוא אפוטרופסו או לרכושו. בית המשפט רשאי לפטרו מאחריותו, כולה או מקצתה, אם פעל בתום לב ונתכוון לטובת אותו אדם. האפוטרופוס אינו נושא באחריות אם פעל בתום לב לפי הוראות בית משפט או קיבל אישורו, אם מראש ואם למפרע". </w:t>
      </w:r>
      <w:r>
        <w:rPr>
          <w:rFonts w:hint="cs"/>
          <w:rtl/>
          <w:lang w:eastAsia="en-US"/>
        </w:rPr>
        <w:t xml:space="preserve">מוצע לקבוע כי הסדר האחריות בנזיקין הקבוע בחוק לגבי אפוטרופוס יחול גם על מיופה כוח ותומך בקבלת החלטות, בשל האופי הדומה של התפקידים המצריכים התייחסות מיוחדת בנוגע לאחריות בנזיקין. </w:t>
      </w:r>
    </w:p>
    <w:p w:rsidR="00B71754" w:rsidRDefault="00B71754" w:rsidP="00B71754">
      <w:pPr>
        <w:pStyle w:val="1"/>
        <w:tabs>
          <w:tab w:val="center" w:pos="6804"/>
          <w:tab w:val="left" w:pos="8164"/>
        </w:tabs>
        <w:rPr>
          <w:rtl/>
          <w:lang w:eastAsia="en-US"/>
        </w:rPr>
      </w:pPr>
    </w:p>
    <w:p w:rsidR="00B71754" w:rsidRDefault="00B71754" w:rsidP="00B71754">
      <w:pPr>
        <w:pStyle w:val="1"/>
        <w:tabs>
          <w:tab w:val="center" w:pos="6804"/>
          <w:tab w:val="left" w:pos="8164"/>
        </w:tabs>
        <w:rPr>
          <w:rtl/>
          <w:lang w:eastAsia="en-US"/>
        </w:rPr>
      </w:pPr>
      <w:r w:rsidRPr="00CC4C82">
        <w:rPr>
          <w:rFonts w:hint="cs"/>
          <w:u w:val="single"/>
          <w:rtl/>
          <w:lang w:eastAsia="en-US"/>
        </w:rPr>
        <w:t>תיקון ס' 64</w:t>
      </w:r>
      <w:r>
        <w:rPr>
          <w:rtl/>
          <w:lang w:eastAsia="en-US"/>
        </w:rPr>
        <w:t>–</w:t>
      </w:r>
      <w:r>
        <w:rPr>
          <w:rFonts w:hint="cs"/>
          <w:rtl/>
          <w:lang w:eastAsia="en-US"/>
        </w:rPr>
        <w:t xml:space="preserve"> סעיף זה עוסק במסמך הבעת רצון או צוואה של הורה או אפוטרופוס שהוא קרוב של קטין.</w:t>
      </w:r>
    </w:p>
    <w:p w:rsidR="00B71754" w:rsidRDefault="00B71754" w:rsidP="00F17550">
      <w:pPr>
        <w:pStyle w:val="1"/>
        <w:tabs>
          <w:tab w:val="center" w:pos="6804"/>
          <w:tab w:val="left" w:pos="8164"/>
        </w:tabs>
        <w:rPr>
          <w:rtl/>
          <w:lang w:eastAsia="en-US"/>
        </w:rPr>
      </w:pPr>
      <w:r>
        <w:rPr>
          <w:rFonts w:hint="cs"/>
          <w:rtl/>
          <w:lang w:eastAsia="en-US"/>
        </w:rPr>
        <w:t xml:space="preserve">מוצע להוסיף את האפשרות לציין במסמך הבעת רצון או צוואה כאמור גם תאגיד כאפוטרופוס שימונה לקטין בדומה לסעיף 64א העוסק בצוואה או במסמך הבעת רצון של אפוטרופוס של בגיר. זאת, מאחר שסעיף 34 לחוק קובע כי גם תאגיד יכול להתמנות כאפוטרופוס ועל כן במידה ויבחר זאת ההורה או </w:t>
      </w:r>
      <w:r w:rsidR="00F17550">
        <w:rPr>
          <w:rFonts w:hint="cs"/>
          <w:rtl/>
          <w:lang w:eastAsia="en-US"/>
        </w:rPr>
        <w:t xml:space="preserve">האפוטרופוס </w:t>
      </w:r>
      <w:r>
        <w:rPr>
          <w:rFonts w:hint="cs"/>
          <w:rtl/>
          <w:lang w:eastAsia="en-US"/>
        </w:rPr>
        <w:t xml:space="preserve">שהוא קרובו של קטין, יוכל לציין גם תאגיד במסמך הבעת רצון או בצוואה. </w:t>
      </w:r>
    </w:p>
    <w:p w:rsidR="00B71754" w:rsidRDefault="00B71754" w:rsidP="00F3062A">
      <w:pPr>
        <w:pStyle w:val="1"/>
        <w:tabs>
          <w:tab w:val="center" w:pos="6804"/>
          <w:tab w:val="left" w:pos="8164"/>
        </w:tabs>
        <w:rPr>
          <w:rtl/>
          <w:lang w:eastAsia="en-US"/>
        </w:rPr>
      </w:pPr>
      <w:r>
        <w:rPr>
          <w:rFonts w:hint="cs"/>
          <w:rtl/>
          <w:lang w:eastAsia="en-US"/>
        </w:rPr>
        <w:t xml:space="preserve">במסגרת סעיף 64(ד) לחוק נקבע כי הוראות מסוימות המנויות בסעיף החלות על ייפוי כוח מתמשך יחולו גם על טופס הבעת רצון. לאחר חקיקת החוק התברר כי חלק מההוראות החלות על ייפוי כוח מתמשך אינן רלוונטיות למסמך הנחיות מקדימות וכן כי ישנו צורך לדייק את  ההפניות המופיעות בסעיף 64(ד). על כן מוצע לתקן את הסעיף הקיים ולקבוע </w:t>
      </w:r>
      <w:r w:rsidRPr="00780F46">
        <w:rPr>
          <w:rFonts w:hint="cs"/>
          <w:u w:val="single"/>
          <w:rtl/>
          <w:lang w:eastAsia="en-US"/>
        </w:rPr>
        <w:t>כי רק ההוראות הבאות, שחלות על ייפוי כוח מתמשך, יחולו גם על טופס הבעת רצון</w:t>
      </w:r>
      <w:r w:rsidR="00DB3142">
        <w:rPr>
          <w:rFonts w:hint="cs"/>
          <w:u w:val="single"/>
          <w:rtl/>
          <w:lang w:eastAsia="en-US"/>
        </w:rPr>
        <w:t>, בשינויים המחויבים</w:t>
      </w:r>
      <w:r>
        <w:rPr>
          <w:rFonts w:hint="cs"/>
          <w:rtl/>
          <w:lang w:eastAsia="en-US"/>
        </w:rPr>
        <w:t>:</w:t>
      </w:r>
    </w:p>
    <w:p w:rsidR="00B71754" w:rsidRDefault="00B71754" w:rsidP="00B71754">
      <w:pPr>
        <w:pStyle w:val="1"/>
        <w:numPr>
          <w:ilvl w:val="0"/>
          <w:numId w:val="17"/>
        </w:numPr>
        <w:tabs>
          <w:tab w:val="center" w:pos="6804"/>
          <w:tab w:val="left" w:pos="8164"/>
        </w:tabs>
        <w:rPr>
          <w:rtl/>
          <w:lang w:eastAsia="en-US"/>
        </w:rPr>
      </w:pPr>
      <w:r>
        <w:rPr>
          <w:rFonts w:hint="cs"/>
          <w:rtl/>
          <w:lang w:eastAsia="en-US"/>
        </w:rPr>
        <w:t>סעיף 32יג העוסק באופן עריכת ייפוי כוח מתמשך יחולו כלל ההוראות מלבד ההוראה שעניינה בקביעת אדם שיהיה על מיופה הכוח לידעו בדבר הכניסה לתוקף של ייפוי הכוח, מאחר שהוראה זו אינה נוגעת לעניין הנחיות מקדימות לאפוטרופוס באשר המינוי נעשה על ידי בית המשפט ולפי הוראותיו;</w:t>
      </w:r>
    </w:p>
    <w:p w:rsidR="007D6BF9" w:rsidRPr="007D6BF9" w:rsidRDefault="00B71754" w:rsidP="008910FC">
      <w:pPr>
        <w:pStyle w:val="1"/>
        <w:numPr>
          <w:ilvl w:val="0"/>
          <w:numId w:val="17"/>
        </w:numPr>
        <w:tabs>
          <w:tab w:val="center" w:pos="6804"/>
          <w:tab w:val="left" w:pos="8164"/>
        </w:tabs>
        <w:rPr>
          <w:rtl/>
          <w:lang w:eastAsia="en-US"/>
        </w:rPr>
      </w:pPr>
      <w:r>
        <w:rPr>
          <w:rFonts w:hint="cs"/>
          <w:rtl/>
          <w:lang w:eastAsia="en-US"/>
        </w:rPr>
        <w:t xml:space="preserve">סעיף 32יד העוסק בחתימה על ייפוי כוח מתמשך </w:t>
      </w:r>
      <w:r>
        <w:rPr>
          <w:rtl/>
          <w:lang w:eastAsia="en-US"/>
        </w:rPr>
        <w:t>–</w:t>
      </w:r>
      <w:r w:rsidR="007D6BF9" w:rsidRPr="007D6BF9">
        <w:rPr>
          <w:rFonts w:hint="cs"/>
          <w:rtl/>
          <w:lang w:eastAsia="en-US"/>
        </w:rPr>
        <w:t xml:space="preserve">מוצע להבהיר כי ניתן יהיה לחתום </w:t>
      </w:r>
      <w:r w:rsidR="00922514">
        <w:rPr>
          <w:rFonts w:hint="cs"/>
          <w:rtl/>
          <w:lang w:eastAsia="en-US"/>
        </w:rPr>
        <w:t xml:space="preserve">על </w:t>
      </w:r>
      <w:r w:rsidR="008910FC">
        <w:rPr>
          <w:rFonts w:hint="cs"/>
          <w:rtl/>
          <w:lang w:eastAsia="en-US"/>
        </w:rPr>
        <w:t>מסמך הבעת רצון או צוואה של הורה או אפוטרופוס שהוא קרוב של קטין</w:t>
      </w:r>
      <w:r w:rsidR="007D6BF9" w:rsidRPr="007D6BF9">
        <w:rPr>
          <w:rFonts w:hint="cs"/>
          <w:rtl/>
          <w:lang w:eastAsia="en-US"/>
        </w:rPr>
        <w:t>בפני כל עורך דין ולא יהיה צורך בחתימה בפני עורך דין שעבר הכשרה דווקא. כמו כן לא יהיה צורך להבהיר את כל העניינים שניתן לכלול בייפוי כ</w:t>
      </w:r>
      <w:r w:rsidR="007D6BF9">
        <w:rPr>
          <w:rFonts w:hint="cs"/>
          <w:rtl/>
          <w:lang w:eastAsia="en-US"/>
        </w:rPr>
        <w:t>ו</w:t>
      </w:r>
      <w:r w:rsidR="007D6BF9" w:rsidRPr="007D6BF9">
        <w:rPr>
          <w:rFonts w:hint="cs"/>
          <w:rtl/>
          <w:lang w:eastAsia="en-US"/>
        </w:rPr>
        <w:t xml:space="preserve">ח מתמשך. </w:t>
      </w:r>
      <w:r w:rsidR="0059617B">
        <w:rPr>
          <w:rFonts w:hint="cs"/>
          <w:rtl/>
          <w:lang w:eastAsia="en-US"/>
        </w:rPr>
        <w:t xml:space="preserve">במקרה זה </w:t>
      </w:r>
      <w:r w:rsidR="007D6BF9" w:rsidRPr="007D6BF9">
        <w:rPr>
          <w:rFonts w:hint="cs"/>
          <w:rtl/>
          <w:lang w:eastAsia="en-US"/>
        </w:rPr>
        <w:t>תחול ההוראה הקובעת, כי עורך הדין יפנה את האדם למומחה כדי שיחווה את דעתו בדבר היותו בעל כשירות, וזאת אם התעורר ספק אצל עורך הדין בדבר היותו של אדם בעל כשירות לפני החתימה על הטופס. בנוסף, יחולו ההוראות הקובעות, כי עורך הדין שבפניו נערכה החתימה יביא לידיעת הממנה ויסביר בלשון פשוטה על המשמעויות המשפטיות של ייפוי הכוח, החלופות הקיימות לו בדין ועל האפשרות לבטלו או לקבוע שהוא יעמוד בתוקפו גם אם יבקש הממנה לבטלו כשלא יהיה בעל כשירות. כמו כן, תחול ההוראה הקובעת כי עורך הדין שבפניו נחתם ייפוי הכוח יאשר על גבי הטופס כי הממונה חתם עליו במועד הנקוב בו ולאחר שהביא לידיעתו פרטים לגבי המשמעויות המשפטיות של ייפוי הכוח והחלופות הקיימות לו בדין;</w:t>
      </w:r>
    </w:p>
    <w:p w:rsidR="00B71754" w:rsidRDefault="00B71754" w:rsidP="00B71754">
      <w:pPr>
        <w:pStyle w:val="1"/>
        <w:numPr>
          <w:ilvl w:val="0"/>
          <w:numId w:val="17"/>
        </w:numPr>
        <w:tabs>
          <w:tab w:val="center" w:pos="6804"/>
          <w:tab w:val="left" w:pos="8164"/>
        </w:tabs>
        <w:rPr>
          <w:rtl/>
          <w:lang w:eastAsia="en-US"/>
        </w:rPr>
      </w:pPr>
      <w:r>
        <w:rPr>
          <w:rFonts w:hint="cs"/>
          <w:rtl/>
          <w:lang w:eastAsia="en-US"/>
        </w:rPr>
        <w:t xml:space="preserve">סעיף 32יח העוסק בקבלת מידע על הפקדת ייפוי כוח מתמשך </w:t>
      </w:r>
      <w:r>
        <w:rPr>
          <w:rtl/>
          <w:lang w:eastAsia="en-US"/>
        </w:rPr>
        <w:t>–</w:t>
      </w:r>
      <w:r>
        <w:rPr>
          <w:rFonts w:hint="cs"/>
          <w:rtl/>
          <w:lang w:eastAsia="en-US"/>
        </w:rPr>
        <w:t xml:space="preserve"> יחולו רק ההוראות הנוגעות לזכאים לקבל מידע על ההפקדה;</w:t>
      </w:r>
    </w:p>
    <w:p w:rsidR="00B71754" w:rsidRDefault="00B71754" w:rsidP="00427A85">
      <w:pPr>
        <w:pStyle w:val="1"/>
        <w:numPr>
          <w:ilvl w:val="0"/>
          <w:numId w:val="17"/>
        </w:numPr>
        <w:tabs>
          <w:tab w:val="center" w:pos="6804"/>
          <w:tab w:val="left" w:pos="8164"/>
        </w:tabs>
        <w:rPr>
          <w:rtl/>
          <w:lang w:eastAsia="en-US"/>
        </w:rPr>
      </w:pPr>
      <w:r>
        <w:rPr>
          <w:rFonts w:hint="cs"/>
          <w:rtl/>
          <w:lang w:eastAsia="en-US"/>
        </w:rPr>
        <w:t xml:space="preserve">סעיף 32יט העוסק בכניסה לתוקף של ייפוי כוח מתמשך </w:t>
      </w:r>
      <w:r>
        <w:rPr>
          <w:rtl/>
          <w:lang w:eastAsia="en-US"/>
        </w:rPr>
        <w:t>–</w:t>
      </w:r>
      <w:r>
        <w:rPr>
          <w:rFonts w:hint="cs"/>
          <w:rtl/>
          <w:lang w:eastAsia="en-US"/>
        </w:rPr>
        <w:t xml:space="preserve"> יחולו, בשינויים המחויבים, הוראות הנוגעות לדרך שבה ייפוי הכוח ייכנס לתוקף, וככל שהאפוטרופוס הכללי קיבל הודעה </w:t>
      </w:r>
      <w:r w:rsidR="00427A85">
        <w:rPr>
          <w:rFonts w:hint="cs"/>
          <w:rtl/>
          <w:lang w:eastAsia="en-US"/>
        </w:rPr>
        <w:t>בעניין</w:t>
      </w:r>
      <w:r>
        <w:rPr>
          <w:rFonts w:hint="cs"/>
          <w:rtl/>
          <w:lang w:eastAsia="en-US"/>
        </w:rPr>
        <w:t xml:space="preserve"> ימסור אישור על </w:t>
      </w:r>
      <w:r w:rsidR="00427A85">
        <w:rPr>
          <w:rFonts w:hint="cs"/>
          <w:rtl/>
          <w:lang w:eastAsia="en-US"/>
        </w:rPr>
        <w:t xml:space="preserve">כך </w:t>
      </w:r>
      <w:r>
        <w:rPr>
          <w:rFonts w:hint="cs"/>
          <w:rtl/>
          <w:lang w:eastAsia="en-US"/>
        </w:rPr>
        <w:t>ויוד</w:t>
      </w:r>
      <w:r w:rsidR="00427A85">
        <w:rPr>
          <w:rFonts w:hint="cs"/>
          <w:rtl/>
          <w:lang w:eastAsia="en-US"/>
        </w:rPr>
        <w:t>י</w:t>
      </w:r>
      <w:r>
        <w:rPr>
          <w:rFonts w:hint="cs"/>
          <w:rtl/>
          <w:lang w:eastAsia="en-US"/>
        </w:rPr>
        <w:t xml:space="preserve">ע על הכניסה לתוקף לממנה ולאדם מיודע. כמו כן תחול ההוראה בנוגע לדרך שבה האדם מבקש כי ייקבע כי אינו מסוגל להבין בדבר. </w:t>
      </w:r>
    </w:p>
    <w:p w:rsidR="00B71754" w:rsidRDefault="00B71754" w:rsidP="00B71754">
      <w:pPr>
        <w:pStyle w:val="1"/>
        <w:numPr>
          <w:ilvl w:val="0"/>
          <w:numId w:val="17"/>
        </w:numPr>
        <w:tabs>
          <w:tab w:val="center" w:pos="6804"/>
          <w:tab w:val="left" w:pos="8164"/>
        </w:tabs>
        <w:rPr>
          <w:rtl/>
          <w:lang w:eastAsia="en-US"/>
        </w:rPr>
      </w:pPr>
      <w:r>
        <w:rPr>
          <w:rFonts w:hint="cs"/>
          <w:rtl/>
          <w:lang w:eastAsia="en-US"/>
        </w:rPr>
        <w:t xml:space="preserve">סעיף 32כב העוסק בפקיעת תוקף ייפוי הכוח בעניינים </w:t>
      </w:r>
      <w:r w:rsidR="00427A85">
        <w:rPr>
          <w:rFonts w:hint="cs"/>
          <w:rtl/>
          <w:lang w:eastAsia="en-US"/>
        </w:rPr>
        <w:t>הרלוונטיי</w:t>
      </w:r>
      <w:r w:rsidR="00427A85">
        <w:rPr>
          <w:rFonts w:hint="eastAsia"/>
          <w:rtl/>
          <w:lang w:eastAsia="en-US"/>
        </w:rPr>
        <w:t>ם</w:t>
      </w:r>
      <w:r>
        <w:rPr>
          <w:rFonts w:hint="cs"/>
          <w:rtl/>
          <w:lang w:eastAsia="en-US"/>
        </w:rPr>
        <w:t xml:space="preserve"> להנחיות מקדימות (תנאי שקבע עורך ההנחיות);</w:t>
      </w:r>
    </w:p>
    <w:p w:rsidR="00B71754" w:rsidRDefault="00B71754" w:rsidP="00B71754">
      <w:pPr>
        <w:pStyle w:val="1"/>
        <w:numPr>
          <w:ilvl w:val="0"/>
          <w:numId w:val="17"/>
        </w:numPr>
        <w:tabs>
          <w:tab w:val="center" w:pos="6804"/>
          <w:tab w:val="left" w:pos="8164"/>
        </w:tabs>
        <w:rPr>
          <w:rtl/>
          <w:lang w:eastAsia="en-US"/>
        </w:rPr>
      </w:pPr>
      <w:r>
        <w:rPr>
          <w:rFonts w:hint="cs"/>
          <w:rtl/>
          <w:lang w:eastAsia="en-US"/>
        </w:rPr>
        <w:t>סעיף 32כג העוסק בביטול ייפוי כוח על ידי הממנה.</w:t>
      </w:r>
    </w:p>
    <w:p w:rsidR="00B71754" w:rsidRDefault="00B71754" w:rsidP="00B71754">
      <w:pPr>
        <w:pStyle w:val="1"/>
        <w:tabs>
          <w:tab w:val="center" w:pos="6804"/>
          <w:tab w:val="left" w:pos="8164"/>
        </w:tabs>
        <w:rPr>
          <w:rtl/>
          <w:lang w:eastAsia="en-US"/>
        </w:rPr>
      </w:pPr>
    </w:p>
    <w:p w:rsidR="00B71754" w:rsidRDefault="00B71754" w:rsidP="00B71754">
      <w:pPr>
        <w:pStyle w:val="1"/>
        <w:tabs>
          <w:tab w:val="center" w:pos="6804"/>
          <w:tab w:val="left" w:pos="8164"/>
        </w:tabs>
        <w:rPr>
          <w:rtl/>
          <w:lang w:eastAsia="en-US"/>
        </w:rPr>
      </w:pPr>
      <w:r>
        <w:rPr>
          <w:rFonts w:hint="cs"/>
          <w:rtl/>
          <w:lang w:eastAsia="en-US"/>
        </w:rPr>
        <w:t xml:space="preserve">אחרי סעיף קטן (ד) מוצע להוסיף סעיף חדש (ד1) המאפשר את הפקדת טופס הבעת הרצון אצל האפוטרופוס הכללי. יובהר, כי זוהי הפקדת רשות. מודל ההפקדה נותן לגורמים רלוונטיים את האפשרות לדעת על קיומו של הטופס ובכך יש וודאות גדולה יותר כי יקוים רצון האדם. </w:t>
      </w:r>
    </w:p>
    <w:p w:rsidR="00B71754" w:rsidRDefault="00B71754" w:rsidP="00B71754">
      <w:pPr>
        <w:pStyle w:val="1"/>
        <w:tabs>
          <w:tab w:val="center" w:pos="6804"/>
          <w:tab w:val="left" w:pos="8164"/>
        </w:tabs>
        <w:rPr>
          <w:rtl/>
          <w:lang w:eastAsia="en-US"/>
        </w:rPr>
      </w:pPr>
    </w:p>
    <w:p w:rsidR="00B71754" w:rsidRDefault="00B71754" w:rsidP="00B71754">
      <w:pPr>
        <w:pStyle w:val="1"/>
        <w:tabs>
          <w:tab w:val="center" w:pos="6804"/>
          <w:tab w:val="left" w:pos="8164"/>
        </w:tabs>
        <w:rPr>
          <w:rtl/>
          <w:lang w:eastAsia="en-US"/>
        </w:rPr>
      </w:pPr>
      <w:r w:rsidRPr="00CC4C82">
        <w:rPr>
          <w:rFonts w:hint="cs"/>
          <w:u w:val="single"/>
          <w:rtl/>
          <w:lang w:eastAsia="en-US"/>
        </w:rPr>
        <w:t>תיקון ס' 64א</w:t>
      </w:r>
      <w:r>
        <w:rPr>
          <w:rtl/>
          <w:lang w:eastAsia="en-US"/>
        </w:rPr>
        <w:t>–</w:t>
      </w:r>
      <w:r>
        <w:rPr>
          <w:rFonts w:hint="cs"/>
          <w:rtl/>
          <w:lang w:eastAsia="en-US"/>
        </w:rPr>
        <w:t xml:space="preserve"> סעיף זה עוסק במסמך הבעת רצון או צוואה של הורה או אפוטרופסו של בגיר.</w:t>
      </w:r>
    </w:p>
    <w:p w:rsidR="00B71754" w:rsidRDefault="00B71754" w:rsidP="00B71754">
      <w:pPr>
        <w:pStyle w:val="1"/>
        <w:tabs>
          <w:tab w:val="center" w:pos="6804"/>
          <w:tab w:val="left" w:pos="8164"/>
        </w:tabs>
        <w:rPr>
          <w:rtl/>
          <w:lang w:eastAsia="en-US"/>
        </w:rPr>
      </w:pPr>
      <w:r>
        <w:rPr>
          <w:rFonts w:hint="cs"/>
          <w:rtl/>
          <w:lang w:eastAsia="en-US"/>
        </w:rPr>
        <w:t>בסעיף 64א(ג) מוצע לחדד את הנוסח הקיים ולהבהיר שההנחיות המקדימות של אדם שהוא אפוטרופוס של אדם או קרובו יינתנו בצוואה או במסמך הבעת רצון לפי העניין.</w:t>
      </w:r>
    </w:p>
    <w:p w:rsidR="00B71754" w:rsidRDefault="00B71754" w:rsidP="00B71754">
      <w:pPr>
        <w:pStyle w:val="1"/>
        <w:tabs>
          <w:tab w:val="center" w:pos="6804"/>
          <w:tab w:val="left" w:pos="8164"/>
        </w:tabs>
        <w:rPr>
          <w:rtl/>
          <w:lang w:eastAsia="en-US"/>
        </w:rPr>
      </w:pPr>
      <w:r>
        <w:rPr>
          <w:rFonts w:hint="cs"/>
          <w:rtl/>
          <w:lang w:eastAsia="en-US"/>
        </w:rPr>
        <w:t xml:space="preserve">במסגרת סעיף 64(ד) לחוק נקבע כי הוראות מסוימות המנויות בסעיף החלות על ייפוי כוח מתמשך יחולו גם על טופס הבעת רצון. לאחר חקיקת החוק התברר כי חלק מההוראות החלות על ייפוי כוח מתמשך אינן רלוונטיות למסמך הנחיות מקדימות וכן כי ישנו צורך לדייק את ההפניות המופיעות בסעיף 64(ד). על כן מוצע לתקן את הסעיף הקיים ולקבוע כי </w:t>
      </w:r>
      <w:r w:rsidRPr="00427A85">
        <w:rPr>
          <w:rFonts w:hint="cs"/>
          <w:u w:val="single"/>
          <w:rtl/>
          <w:lang w:eastAsia="en-US"/>
        </w:rPr>
        <w:t>רק ההוראות הבאות, שחלות על ייפוי כוח מתמשך, יחולו גם על טופס הבעת רצון</w:t>
      </w:r>
      <w:r w:rsidR="00427A85" w:rsidRPr="00427A85">
        <w:rPr>
          <w:rFonts w:hint="cs"/>
          <w:u w:val="single"/>
          <w:rtl/>
          <w:lang w:eastAsia="en-US"/>
        </w:rPr>
        <w:t>, בשינויים המחויבים</w:t>
      </w:r>
      <w:r>
        <w:rPr>
          <w:rFonts w:hint="cs"/>
          <w:rtl/>
          <w:lang w:eastAsia="en-US"/>
        </w:rPr>
        <w:t>:</w:t>
      </w:r>
    </w:p>
    <w:p w:rsidR="00B71754" w:rsidRDefault="00B71754" w:rsidP="00427A85">
      <w:pPr>
        <w:pStyle w:val="1"/>
        <w:numPr>
          <w:ilvl w:val="0"/>
          <w:numId w:val="17"/>
        </w:numPr>
        <w:tabs>
          <w:tab w:val="center" w:pos="6804"/>
          <w:tab w:val="left" w:pos="8164"/>
        </w:tabs>
        <w:rPr>
          <w:rtl/>
          <w:lang w:eastAsia="en-US"/>
        </w:rPr>
      </w:pPr>
      <w:r>
        <w:rPr>
          <w:rFonts w:hint="cs"/>
          <w:rtl/>
          <w:lang w:eastAsia="en-US"/>
        </w:rPr>
        <w:t>סעיף 32יג העוסק באופן עריכת ייפוי כוח מתמשך יחולו כל ההוראות מלבד ההוראה שעניינה בקביעת אדם שיהיה על מיופה הכוח לי</w:t>
      </w:r>
      <w:r w:rsidR="00427A85">
        <w:rPr>
          <w:rFonts w:hint="cs"/>
          <w:rtl/>
          <w:lang w:eastAsia="en-US"/>
        </w:rPr>
        <w:t>י</w:t>
      </w:r>
      <w:r>
        <w:rPr>
          <w:rFonts w:hint="cs"/>
          <w:rtl/>
          <w:lang w:eastAsia="en-US"/>
        </w:rPr>
        <w:t>דעו בדבר הכניסה לתוקף של ייפוי הכוח, מאחר שהוראה זו אינה נוגעת לעניין הנחיות מקדימות לאפוטרופוס באשר המינוי נעשה על ידי בית המשפט ולפי הוראותיו;</w:t>
      </w:r>
    </w:p>
    <w:p w:rsidR="00B71754" w:rsidRDefault="00EA48B3" w:rsidP="009F1BA0">
      <w:pPr>
        <w:pStyle w:val="1"/>
        <w:numPr>
          <w:ilvl w:val="0"/>
          <w:numId w:val="17"/>
        </w:numPr>
        <w:tabs>
          <w:tab w:val="center" w:pos="6804"/>
          <w:tab w:val="left" w:pos="8164"/>
        </w:tabs>
        <w:rPr>
          <w:rtl/>
          <w:lang w:eastAsia="en-US"/>
        </w:rPr>
      </w:pPr>
      <w:r>
        <w:rPr>
          <w:rFonts w:hint="cs"/>
          <w:rtl/>
          <w:lang w:eastAsia="en-US"/>
        </w:rPr>
        <w:t xml:space="preserve">סעיף 32יד העוסק בחתימה על ייפוי כוח מתמשך </w:t>
      </w:r>
      <w:r>
        <w:rPr>
          <w:rtl/>
          <w:lang w:eastAsia="en-US"/>
        </w:rPr>
        <w:t>–</w:t>
      </w:r>
      <w:r w:rsidRPr="007D6BF9">
        <w:rPr>
          <w:rFonts w:hint="cs"/>
          <w:rtl/>
          <w:lang w:eastAsia="en-US"/>
        </w:rPr>
        <w:t xml:space="preserve">מוצע להבהיר כי ניתן יהיה לחתום </w:t>
      </w:r>
      <w:r w:rsidR="009F1BA0">
        <w:rPr>
          <w:rFonts w:hint="cs"/>
          <w:rtl/>
          <w:lang w:eastAsia="en-US"/>
        </w:rPr>
        <w:t xml:space="preserve">על </w:t>
      </w:r>
      <w:r w:rsidR="009F1BA0" w:rsidRPr="009F1BA0">
        <w:rPr>
          <w:rtl/>
          <w:lang w:eastAsia="en-US"/>
        </w:rPr>
        <w:t>מסמך הבעת רצון או צוואה של הורה או אפוטרופסו של בגיר</w:t>
      </w:r>
      <w:r w:rsidRPr="007D6BF9">
        <w:rPr>
          <w:rFonts w:hint="cs"/>
          <w:rtl/>
          <w:lang w:eastAsia="en-US"/>
        </w:rPr>
        <w:t>בפני כל עורך דין ולא יהיה צורך בחתימה בפני עורך דין שעבר הכשרה דווקא. כמו כן לא יהיה צורך להבהיר את כל העניינים שניתן לכלול בייפוי כ</w:t>
      </w:r>
      <w:r>
        <w:rPr>
          <w:rFonts w:hint="cs"/>
          <w:rtl/>
          <w:lang w:eastAsia="en-US"/>
        </w:rPr>
        <w:t>ו</w:t>
      </w:r>
      <w:r w:rsidRPr="007D6BF9">
        <w:rPr>
          <w:rFonts w:hint="cs"/>
          <w:rtl/>
          <w:lang w:eastAsia="en-US"/>
        </w:rPr>
        <w:t xml:space="preserve">ח מתמשך. </w:t>
      </w:r>
      <w:r w:rsidR="00427A85">
        <w:rPr>
          <w:rFonts w:hint="cs"/>
          <w:rtl/>
          <w:lang w:eastAsia="en-US"/>
        </w:rPr>
        <w:t xml:space="preserve">במקרה זה </w:t>
      </w:r>
      <w:r w:rsidRPr="007D6BF9">
        <w:rPr>
          <w:rFonts w:hint="cs"/>
          <w:rtl/>
          <w:lang w:eastAsia="en-US"/>
        </w:rPr>
        <w:t>תחול ההוראה הקובעת, כי עורך הדין יפנה את האדם למומחה כדי שיחווה את דעתו בדבר היותו בעל כשירות, וזאת אם התעורר ספק אצל עורך הדין בדבר היותו של אדם בעל כשירות לפני החתימה על הטופס. בנוסף, יחולו ההוראות הקובעות, כי עורך הדין שבפניו נערכה החתימה יביא לידיעת הממנה ויסביר בלשון פשוטה על המשמעויות המשפטיות של ייפוי הכוח, החלופות הקיימות לו בדין ועל האפשרות לבטלו או לקבוע שהוא יעמוד בתוקפו גם אם יבקש הממנה לבטלו כשלא יהיה בעל כשירות. כמו כן, תחול ההוראה הקובעת כי עורך הדין שבפניו נחתם ייפוי הכוח יאשר על גבי הטופס כי הממונה חתם עליו במועד הנקוב בו ולאחר שהביא לידיעתו פרטים לגבי המשמעויות המשפטיות של ייפוי הכוח והחלופות הקיימות לו בדין;</w:t>
      </w:r>
    </w:p>
    <w:p w:rsidR="00B71754" w:rsidRDefault="00B71754" w:rsidP="00B71754">
      <w:pPr>
        <w:pStyle w:val="1"/>
        <w:numPr>
          <w:ilvl w:val="0"/>
          <w:numId w:val="17"/>
        </w:numPr>
        <w:tabs>
          <w:tab w:val="center" w:pos="6804"/>
          <w:tab w:val="left" w:pos="8164"/>
        </w:tabs>
        <w:rPr>
          <w:rtl/>
          <w:lang w:eastAsia="en-US"/>
        </w:rPr>
      </w:pPr>
      <w:r>
        <w:rPr>
          <w:rFonts w:hint="cs"/>
          <w:rtl/>
          <w:lang w:eastAsia="en-US"/>
        </w:rPr>
        <w:t xml:space="preserve">סעיף 32יח העוסק בקבלת מידע על הפקדת ייפוי כוח מתמשך </w:t>
      </w:r>
      <w:r>
        <w:rPr>
          <w:rtl/>
          <w:lang w:eastAsia="en-US"/>
        </w:rPr>
        <w:t>–</w:t>
      </w:r>
      <w:r>
        <w:rPr>
          <w:rFonts w:hint="cs"/>
          <w:rtl/>
          <w:lang w:eastAsia="en-US"/>
        </w:rPr>
        <w:t xml:space="preserve"> יחולו רק ההוראות הנוגעות לזכאים לקבל מידע על ההפקדה;</w:t>
      </w:r>
    </w:p>
    <w:p w:rsidR="00B71754" w:rsidRDefault="00B71754" w:rsidP="00B71754">
      <w:pPr>
        <w:pStyle w:val="1"/>
        <w:numPr>
          <w:ilvl w:val="0"/>
          <w:numId w:val="17"/>
        </w:numPr>
        <w:tabs>
          <w:tab w:val="center" w:pos="6804"/>
          <w:tab w:val="left" w:pos="8164"/>
        </w:tabs>
        <w:rPr>
          <w:rtl/>
          <w:lang w:eastAsia="en-US"/>
        </w:rPr>
      </w:pPr>
      <w:r>
        <w:rPr>
          <w:rFonts w:hint="cs"/>
          <w:rtl/>
          <w:lang w:eastAsia="en-US"/>
        </w:rPr>
        <w:t xml:space="preserve">סעיף 32יט העוסק בכניסה לתוקף של ייפוי כוח מתמשך </w:t>
      </w:r>
      <w:r>
        <w:rPr>
          <w:rtl/>
          <w:lang w:eastAsia="en-US"/>
        </w:rPr>
        <w:t>–</w:t>
      </w:r>
      <w:r>
        <w:rPr>
          <w:rFonts w:hint="cs"/>
          <w:rtl/>
          <w:lang w:eastAsia="en-US"/>
        </w:rPr>
        <w:t xml:space="preserve"> יחולו, בשינויים המחויבים, הוראות הנוגעות לדרך שבה ייפוי הכוח ייכנס לתוקף, וככל שהאפוטרופוס הכללי קיבל הודעה על כך ימסור אישור על כך ויודע על הכניסה לתוקף לממנה ולאדם מיודע. כמו כן תחול ההוראה בנוגע לדרך שבה האדם מבקש כי ייקבע כי אינו מסוגל להבין בדבר. </w:t>
      </w:r>
    </w:p>
    <w:p w:rsidR="00B71754" w:rsidRDefault="00B71754" w:rsidP="00B71754">
      <w:pPr>
        <w:pStyle w:val="1"/>
        <w:numPr>
          <w:ilvl w:val="0"/>
          <w:numId w:val="17"/>
        </w:numPr>
        <w:tabs>
          <w:tab w:val="center" w:pos="6804"/>
          <w:tab w:val="left" w:pos="8164"/>
        </w:tabs>
        <w:rPr>
          <w:rtl/>
          <w:lang w:eastAsia="en-US"/>
        </w:rPr>
      </w:pPr>
      <w:r>
        <w:rPr>
          <w:rFonts w:hint="cs"/>
          <w:rtl/>
          <w:lang w:eastAsia="en-US"/>
        </w:rPr>
        <w:t xml:space="preserve">סעיף 32כב העוסק בפקיעת תוקף ייפוי הכוח בעניינים </w:t>
      </w:r>
      <w:r w:rsidR="00427A85">
        <w:rPr>
          <w:rFonts w:hint="cs"/>
          <w:rtl/>
          <w:lang w:eastAsia="en-US"/>
        </w:rPr>
        <w:t>הרלוונטיי</w:t>
      </w:r>
      <w:r w:rsidR="00427A85">
        <w:rPr>
          <w:rFonts w:hint="eastAsia"/>
          <w:rtl/>
          <w:lang w:eastAsia="en-US"/>
        </w:rPr>
        <w:t>ם</w:t>
      </w:r>
      <w:r>
        <w:rPr>
          <w:rFonts w:hint="cs"/>
          <w:rtl/>
          <w:lang w:eastAsia="en-US"/>
        </w:rPr>
        <w:t xml:space="preserve"> להנחיות מקדימות (תנאי שקבע עורך ההנחיות);</w:t>
      </w:r>
    </w:p>
    <w:p w:rsidR="00B71754" w:rsidRDefault="00B71754" w:rsidP="00B71754">
      <w:pPr>
        <w:pStyle w:val="1"/>
        <w:numPr>
          <w:ilvl w:val="0"/>
          <w:numId w:val="17"/>
        </w:numPr>
        <w:tabs>
          <w:tab w:val="center" w:pos="6804"/>
          <w:tab w:val="left" w:pos="8164"/>
        </w:tabs>
        <w:rPr>
          <w:rtl/>
          <w:lang w:eastAsia="en-US"/>
        </w:rPr>
      </w:pPr>
      <w:r>
        <w:rPr>
          <w:rFonts w:hint="cs"/>
          <w:rtl/>
          <w:lang w:eastAsia="en-US"/>
        </w:rPr>
        <w:t>סעיף 32כג העוסק בביטול ייפוי כוח על ידי הממנה.</w:t>
      </w:r>
    </w:p>
    <w:p w:rsidR="00427A85" w:rsidRDefault="00427A85" w:rsidP="00B71754">
      <w:pPr>
        <w:pStyle w:val="1"/>
        <w:tabs>
          <w:tab w:val="center" w:pos="6804"/>
          <w:tab w:val="left" w:pos="8164"/>
        </w:tabs>
        <w:rPr>
          <w:rtl/>
          <w:lang w:eastAsia="en-US"/>
        </w:rPr>
      </w:pPr>
    </w:p>
    <w:p w:rsidR="00B71754" w:rsidRDefault="00B71754" w:rsidP="00B71754">
      <w:pPr>
        <w:pStyle w:val="1"/>
        <w:tabs>
          <w:tab w:val="center" w:pos="6804"/>
          <w:tab w:val="left" w:pos="8164"/>
        </w:tabs>
        <w:rPr>
          <w:rtl/>
          <w:lang w:eastAsia="en-US"/>
        </w:rPr>
      </w:pPr>
      <w:r>
        <w:rPr>
          <w:rFonts w:hint="cs"/>
          <w:rtl/>
          <w:lang w:eastAsia="en-US"/>
        </w:rPr>
        <w:t xml:space="preserve">אחרי סעיף קטן (ד) מוצע להוסיף סעיף חדש (ד1) המאפשר את הפקדת טופס הבעת הרצון אצל האפוטרופוס הכללי. יובהר, כי זוהי הפקדת רשות. מודל ההפקדה נותן לגורמים רלוונטיים את האפשרות לדעת על קיומו של הטופס ובכך יש וודאות גדולה יותר כי יקוים רצון האדם. </w:t>
      </w:r>
    </w:p>
    <w:p w:rsidR="00B71754" w:rsidRDefault="00B71754" w:rsidP="00B71754">
      <w:pPr>
        <w:pStyle w:val="1"/>
        <w:tabs>
          <w:tab w:val="center" w:pos="6804"/>
          <w:tab w:val="left" w:pos="8164"/>
        </w:tabs>
        <w:rPr>
          <w:rtl/>
          <w:lang w:eastAsia="en-US"/>
        </w:rPr>
      </w:pPr>
    </w:p>
    <w:p w:rsidR="00B71754" w:rsidRDefault="00B71754" w:rsidP="00B71754">
      <w:pPr>
        <w:pStyle w:val="1"/>
        <w:tabs>
          <w:tab w:val="center" w:pos="6804"/>
          <w:tab w:val="left" w:pos="8164"/>
        </w:tabs>
        <w:rPr>
          <w:rtl/>
          <w:lang w:eastAsia="en-US"/>
        </w:rPr>
      </w:pPr>
      <w:r w:rsidRPr="008F66F4">
        <w:rPr>
          <w:rFonts w:hint="cs"/>
          <w:u w:val="single"/>
          <w:rtl/>
          <w:lang w:eastAsia="en-US"/>
        </w:rPr>
        <w:t>ס' 67ב</w:t>
      </w:r>
      <w:r>
        <w:rPr>
          <w:rtl/>
          <w:lang w:eastAsia="en-US"/>
        </w:rPr>
        <w:t>–</w:t>
      </w:r>
      <w:r>
        <w:rPr>
          <w:rFonts w:hint="cs"/>
          <w:rtl/>
          <w:lang w:eastAsia="en-US"/>
        </w:rPr>
        <w:t xml:space="preserve"> סעיף 67ב לחוק עוסק במנגנון של מינוי תומך בקבלת החלטות. ביחס לסעיף זה מוצעים מספר תיקונים כדלקמן:</w:t>
      </w:r>
    </w:p>
    <w:p w:rsidR="00B71754" w:rsidRDefault="00B71754" w:rsidP="00B71754">
      <w:pPr>
        <w:pStyle w:val="1"/>
        <w:numPr>
          <w:ilvl w:val="0"/>
          <w:numId w:val="33"/>
        </w:numPr>
        <w:tabs>
          <w:tab w:val="center" w:pos="6804"/>
          <w:tab w:val="left" w:pos="8164"/>
        </w:tabs>
        <w:rPr>
          <w:lang w:eastAsia="en-US"/>
        </w:rPr>
      </w:pPr>
      <w:r>
        <w:rPr>
          <w:rFonts w:hint="cs"/>
          <w:rtl/>
          <w:lang w:eastAsia="en-US"/>
        </w:rPr>
        <w:t xml:space="preserve">מוצע להוסיף את סעיף קטן (ה1) העוסק בחיובי צד שלישי וקובע, כי כל עוד הצו בתוקפו מחויב כל גורם לאפשר לתומך בקבלת ההחלטות לבצע את תפקידו וזאת בהתאם להוראות הפרטניות שקבע בית המשפט בצו ובהתאם להוראות החוק בעניין תומך בקבלת החלטות.  </w:t>
      </w:r>
    </w:p>
    <w:p w:rsidR="00B71754" w:rsidRDefault="00B71754" w:rsidP="00B71754">
      <w:pPr>
        <w:pStyle w:val="1"/>
        <w:numPr>
          <w:ilvl w:val="0"/>
          <w:numId w:val="33"/>
        </w:numPr>
        <w:tabs>
          <w:tab w:val="center" w:pos="6804"/>
          <w:tab w:val="left" w:pos="8164"/>
        </w:tabs>
        <w:rPr>
          <w:lang w:eastAsia="en-US"/>
        </w:rPr>
      </w:pPr>
      <w:r>
        <w:rPr>
          <w:rFonts w:hint="cs"/>
          <w:rtl/>
          <w:lang w:eastAsia="en-US"/>
        </w:rPr>
        <w:t>מוצע להוסיף את סעיף קטן (ה2) העוסק בהגנת צד שלישי, לפיו אם נפל פגם במינויו של תומך, פעולתו של תומך ע"פ הצו תהיה בתוקף ובלבד שנעשתה כלפי צד שלישי שפעל בתום לב ובתמורה והוצג צו מינוי בתוקף.</w:t>
      </w:r>
    </w:p>
    <w:p w:rsidR="00E57A4F" w:rsidRDefault="00E57A4F" w:rsidP="00E57A4F">
      <w:pPr>
        <w:pStyle w:val="1"/>
        <w:numPr>
          <w:ilvl w:val="0"/>
          <w:numId w:val="33"/>
        </w:numPr>
        <w:tabs>
          <w:tab w:val="center" w:pos="6804"/>
          <w:tab w:val="left" w:pos="8164"/>
        </w:tabs>
        <w:rPr>
          <w:lang w:eastAsia="en-US"/>
        </w:rPr>
      </w:pPr>
      <w:r w:rsidRPr="008D2D68">
        <w:rPr>
          <w:rFonts w:hint="cs"/>
          <w:rtl/>
          <w:lang w:eastAsia="en-US"/>
        </w:rPr>
        <w:t>תיקון סעיף התקנות</w:t>
      </w:r>
      <w:r w:rsidR="008D2D68">
        <w:rPr>
          <w:rFonts w:hint="cs"/>
          <w:rtl/>
          <w:lang w:eastAsia="en-US"/>
        </w:rPr>
        <w:t xml:space="preserve"> (סעיף קטן (ו))</w:t>
      </w:r>
      <w:r w:rsidRPr="008D2D68">
        <w:rPr>
          <w:rFonts w:hint="cs"/>
          <w:rtl/>
          <w:lang w:eastAsia="en-US"/>
        </w:rPr>
        <w:t>- מוצעים התיקונים הבאים:</w:t>
      </w:r>
    </w:p>
    <w:p w:rsidR="008D2D68" w:rsidRDefault="008D2D68" w:rsidP="008D2D68">
      <w:pPr>
        <w:pStyle w:val="1"/>
        <w:numPr>
          <w:ilvl w:val="0"/>
          <w:numId w:val="34"/>
        </w:numPr>
        <w:tabs>
          <w:tab w:val="center" w:pos="6804"/>
          <w:tab w:val="left" w:pos="8164"/>
        </w:tabs>
        <w:rPr>
          <w:lang w:eastAsia="en-US"/>
        </w:rPr>
      </w:pPr>
      <w:r>
        <w:rPr>
          <w:rFonts w:hint="cs"/>
          <w:rtl/>
          <w:lang w:eastAsia="en-US"/>
        </w:rPr>
        <w:t xml:space="preserve">הבהרה כי השר רשאי לקבוע הוראות נוספות לעניין החלופה של תמיכה בקבלות החלטות ולא רק ביחס לתומך עצמו. </w:t>
      </w:r>
    </w:p>
    <w:p w:rsidR="008D2D68" w:rsidRDefault="008D2D68" w:rsidP="008D2D68">
      <w:pPr>
        <w:pStyle w:val="1"/>
        <w:numPr>
          <w:ilvl w:val="0"/>
          <w:numId w:val="34"/>
        </w:numPr>
        <w:tabs>
          <w:tab w:val="center" w:pos="6804"/>
          <w:tab w:val="left" w:pos="8164"/>
        </w:tabs>
        <w:rPr>
          <w:lang w:eastAsia="en-US"/>
        </w:rPr>
      </w:pPr>
      <w:r>
        <w:rPr>
          <w:rFonts w:hint="cs"/>
          <w:rtl/>
          <w:lang w:eastAsia="en-US"/>
        </w:rPr>
        <w:t>תיקון נוסח בסעיף קטן (3), כך שבמקום "חובות" יבוא "חובותיו".</w:t>
      </w:r>
    </w:p>
    <w:p w:rsidR="008D2D68" w:rsidRPr="008D2D68" w:rsidRDefault="008D2D68" w:rsidP="001715F0">
      <w:pPr>
        <w:pStyle w:val="1"/>
        <w:numPr>
          <w:ilvl w:val="0"/>
          <w:numId w:val="34"/>
        </w:numPr>
        <w:tabs>
          <w:tab w:val="center" w:pos="6804"/>
          <w:tab w:val="left" w:pos="8164"/>
        </w:tabs>
        <w:ind w:left="720"/>
        <w:rPr>
          <w:lang w:eastAsia="en-US"/>
        </w:rPr>
      </w:pPr>
      <w:r>
        <w:rPr>
          <w:rFonts w:hint="cs"/>
          <w:rtl/>
          <w:lang w:eastAsia="en-US"/>
        </w:rPr>
        <w:t xml:space="preserve">הרחבת העניינים בהם יהיה השר רשאי לקבוע הוראות. מוצע כי השר יהיה רשאי לקבוע כללים לגבי השכר שבית המשפט רשאי לקבוע לתומך בקבלת החלטות וניתן יהיה לקבוע הוראות שונות לסוגים שונים של תומכים. כמו כן, השר רשאי לקבוע הוראות בדבר שכר לתומך שניתן יהיה לקבלו אף ללא אישור בית המשפט. עוד מוצע כי השר יהיה רשאי לקבוע הוראות נוספות לעניין צדדים שלישיים, </w:t>
      </w:r>
      <w:r w:rsidR="001929B8">
        <w:rPr>
          <w:rFonts w:hint="cs"/>
          <w:rtl/>
          <w:lang w:eastAsia="en-US"/>
        </w:rPr>
        <w:t>כך לדוגמא קביעת הוראות נוספות בעניין חיובי צד שלישי ועוד.</w:t>
      </w:r>
    </w:p>
    <w:p w:rsidR="005434AC" w:rsidRDefault="005434AC" w:rsidP="005434AC">
      <w:pPr>
        <w:rPr>
          <w:rtl/>
        </w:rPr>
      </w:pPr>
    </w:p>
    <w:p w:rsidR="005434AC" w:rsidRDefault="005434AC" w:rsidP="005434AC"/>
    <w:p w:rsidR="009B30DF" w:rsidRDefault="009B30DF" w:rsidP="005434AC">
      <w:pPr>
        <w:pStyle w:val="HesberWriters"/>
        <w:spacing w:after="120"/>
        <w:rPr>
          <w:rtl/>
        </w:rPr>
      </w:pPr>
    </w:p>
    <w:sectPr w:rsidR="009B30DF" w:rsidSect="006D751F">
      <w:footerReference w:type="even" r:id="rId11"/>
      <w:footerReference w:type="default" r:id="rId12"/>
      <w:pgSz w:w="11907" w:h="16840" w:code="9"/>
      <w:pgMar w:top="1134" w:right="1134" w:bottom="1134" w:left="1134" w:header="680" w:footer="680" w:gutter="0"/>
      <w:cols w:space="720"/>
      <w:noEndnote/>
      <w:bidi/>
      <w:rtlGutter/>
      <w:docGrid w:linePitch="23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90F76F4" w15:done="0"/>
  <w15:commentEx w15:paraId="3B2AE9C0" w15:done="0"/>
  <w15:commentEx w15:paraId="7856469C" w15:done="0"/>
  <w15:commentEx w15:paraId="20DFC30A" w15:done="0"/>
  <w15:commentEx w15:paraId="36D80244" w15:done="0"/>
  <w15:commentEx w15:paraId="474EFA9E" w15:done="0"/>
  <w15:commentEx w15:paraId="6AE6411B" w15:done="0"/>
  <w15:commentEx w15:paraId="723C1D2E" w15:done="0"/>
  <w15:commentEx w15:paraId="2AB64A0D" w15:done="0"/>
  <w15:commentEx w15:paraId="7750738D" w15:done="0"/>
  <w15:commentEx w15:paraId="434A0D8E" w15:done="0"/>
  <w15:commentEx w15:paraId="26FB1E9D" w15:done="0"/>
  <w15:commentEx w15:paraId="53329102" w15:done="0"/>
  <w15:commentEx w15:paraId="3BF82FD4" w15:done="0"/>
  <w15:commentEx w15:paraId="3B4FB77A" w15:done="0"/>
  <w15:commentEx w15:paraId="7C3E8687" w15:done="0"/>
  <w15:commentEx w15:paraId="05BBE6A0" w15:done="0"/>
  <w15:commentEx w15:paraId="0903C42E" w15:done="0"/>
  <w15:commentEx w15:paraId="148B4C17" w15:done="0"/>
  <w15:commentEx w15:paraId="53CCE8E9" w15:paraIdParent="148B4C17" w15:done="0"/>
  <w15:commentEx w15:paraId="3F3F80E1" w15:done="0"/>
  <w15:commentEx w15:paraId="6E652177" w15:done="0"/>
  <w15:commentEx w15:paraId="1944A596" w15:done="0"/>
  <w15:commentEx w15:paraId="3282426A" w15:done="0"/>
  <w15:commentEx w15:paraId="19841DAD" w15:done="0"/>
  <w15:commentEx w15:paraId="3EF2B82A" w15:done="0"/>
  <w15:commentEx w15:paraId="00900ABD" w15:done="0"/>
  <w15:commentEx w15:paraId="30F8A238" w15:done="0"/>
  <w15:commentEx w15:paraId="4D74029B" w15:done="0"/>
  <w15:commentEx w15:paraId="0AE0719E" w15:paraIdParent="4D74029B" w15:done="0"/>
  <w15:commentEx w15:paraId="7694C57E" w15:done="0"/>
  <w15:commentEx w15:paraId="44695860" w15:done="0"/>
  <w15:commentEx w15:paraId="143D8F3F" w15:done="0"/>
  <w15:commentEx w15:paraId="353E8338" w15:done="0"/>
  <w15:commentEx w15:paraId="2B7D16C0" w15:done="0"/>
  <w15:commentEx w15:paraId="0E6F34DE" w15:done="0"/>
  <w15:commentEx w15:paraId="3A63B5B1" w15:done="0"/>
  <w15:commentEx w15:paraId="18704068" w15:done="0"/>
  <w15:commentEx w15:paraId="00FB5855" w15:done="0"/>
  <w15:commentEx w15:paraId="25638DFB" w15:done="0"/>
  <w15:commentEx w15:paraId="04D73099" w15:done="0"/>
  <w15:commentEx w15:paraId="02E31ACF" w15:done="0"/>
  <w15:commentEx w15:paraId="369F0B4C" w15:done="0"/>
  <w15:commentEx w15:paraId="5D8836A9" w15:done="0"/>
  <w15:commentEx w15:paraId="70104CDF" w15:paraIdParent="5D8836A9" w15:done="0"/>
  <w15:commentEx w15:paraId="6DA1316C" w15:done="0"/>
  <w15:commentEx w15:paraId="4DA5EBD4" w15:done="0"/>
  <w15:commentEx w15:paraId="71550D36" w15:done="0"/>
  <w15:commentEx w15:paraId="72839F80" w15:paraIdParent="71550D36" w15:done="0"/>
  <w15:commentEx w15:paraId="28A4B67A" w15:done="0"/>
  <w15:commentEx w15:paraId="66E8D1B7" w15:done="0"/>
  <w15:commentEx w15:paraId="0CC2587D" w15:done="0"/>
  <w15:commentEx w15:paraId="16C96251" w15:done="0"/>
  <w15:commentEx w15:paraId="46CD8C07" w15:done="0"/>
  <w15:commentEx w15:paraId="354078EA" w15:paraIdParent="46CD8C07" w15:done="0"/>
  <w15:commentEx w15:paraId="02A0865B" w15:done="0"/>
  <w15:commentEx w15:paraId="1ECA5391" w15:done="0"/>
  <w15:commentEx w15:paraId="0AB6D7E8" w15:done="0"/>
  <w15:commentEx w15:paraId="5AB1FDCF" w15:done="0"/>
  <w15:commentEx w15:paraId="556312F1" w15:done="0"/>
  <w15:commentEx w15:paraId="093B7C5C" w15:done="0"/>
  <w15:commentEx w15:paraId="0116E408" w15:done="0"/>
  <w15:commentEx w15:paraId="251EBC50" w15:done="0"/>
  <w15:commentEx w15:paraId="2E4AF7DE" w15:done="0"/>
  <w15:commentEx w15:paraId="0D13BAFF" w15:done="0"/>
  <w15:commentEx w15:paraId="48F976B8" w15:done="0"/>
  <w15:commentEx w15:paraId="0AF5F1E5" w15:paraIdParent="48F976B8" w15:done="0"/>
  <w15:commentEx w15:paraId="254C3F85" w15:done="0"/>
  <w15:commentEx w15:paraId="6D73D1EA" w15:paraIdParent="254C3F85" w15:done="0"/>
  <w15:commentEx w15:paraId="19948A2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D49" w:rsidRDefault="00870D49">
      <w:r>
        <w:separator/>
      </w:r>
    </w:p>
  </w:endnote>
  <w:endnote w:type="continuationSeparator" w:id="1">
    <w:p w:rsidR="00870D49" w:rsidRDefault="00870D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avid">
    <w:panose1 w:val="020E05020604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Hadasa Roso SL">
    <w:altName w:val="Times New Roman"/>
    <w:charset w:val="00"/>
    <w:family w:val="roman"/>
    <w:pitch w:val="variable"/>
    <w:sig w:usb0="80001827" w:usb1="5000004A" w:usb2="00000020" w:usb3="00000000" w:csb0="0000002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15D" w:rsidRDefault="00806536" w:rsidP="002213BB">
    <w:pPr>
      <w:pStyle w:val="a9"/>
      <w:framePr w:wrap="around" w:vAnchor="text" w:hAnchor="text" w:xAlign="center" w:y="1"/>
      <w:rPr>
        <w:rStyle w:val="aa"/>
      </w:rPr>
    </w:pPr>
    <w:r>
      <w:rPr>
        <w:rStyle w:val="aa"/>
        <w:rtl/>
      </w:rPr>
      <w:fldChar w:fldCharType="begin"/>
    </w:r>
    <w:r w:rsidR="00F9615D">
      <w:rPr>
        <w:rStyle w:val="aa"/>
      </w:rPr>
      <w:instrText xml:space="preserve">PAGE  </w:instrText>
    </w:r>
    <w:r>
      <w:rPr>
        <w:rStyle w:val="aa"/>
        <w:rtl/>
      </w:rPr>
      <w:fldChar w:fldCharType="end"/>
    </w:r>
  </w:p>
  <w:p w:rsidR="00F9615D" w:rsidRDefault="00F9615D">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615D" w:rsidRPr="006D751F" w:rsidRDefault="00806536" w:rsidP="002213BB">
    <w:pPr>
      <w:pStyle w:val="a9"/>
      <w:framePr w:wrap="around" w:vAnchor="text" w:hAnchor="text" w:xAlign="center" w:y="1"/>
      <w:rPr>
        <w:rStyle w:val="aa"/>
        <w:rFonts w:cs="David"/>
        <w:sz w:val="26"/>
        <w:szCs w:val="26"/>
      </w:rPr>
    </w:pPr>
    <w:r w:rsidRPr="006D751F">
      <w:rPr>
        <w:rStyle w:val="aa"/>
        <w:rFonts w:cs="David"/>
        <w:sz w:val="26"/>
        <w:szCs w:val="26"/>
        <w:rtl/>
      </w:rPr>
      <w:fldChar w:fldCharType="begin"/>
    </w:r>
    <w:r w:rsidR="00F9615D" w:rsidRPr="006D751F">
      <w:rPr>
        <w:rStyle w:val="aa"/>
        <w:rFonts w:cs="David"/>
        <w:sz w:val="26"/>
        <w:szCs w:val="26"/>
      </w:rPr>
      <w:instrText xml:space="preserve">PAGE  </w:instrText>
    </w:r>
    <w:r w:rsidRPr="006D751F">
      <w:rPr>
        <w:rStyle w:val="aa"/>
        <w:rFonts w:cs="David"/>
        <w:sz w:val="26"/>
        <w:szCs w:val="26"/>
        <w:rtl/>
      </w:rPr>
      <w:fldChar w:fldCharType="separate"/>
    </w:r>
    <w:r w:rsidR="00870D49">
      <w:rPr>
        <w:rStyle w:val="aa"/>
        <w:rFonts w:cs="David"/>
        <w:noProof/>
        <w:sz w:val="26"/>
        <w:szCs w:val="26"/>
        <w:rtl/>
      </w:rPr>
      <w:t>1</w:t>
    </w:r>
    <w:r w:rsidRPr="006D751F">
      <w:rPr>
        <w:rStyle w:val="aa"/>
        <w:rFonts w:cs="David"/>
        <w:sz w:val="26"/>
        <w:szCs w:val="26"/>
        <w:rtl/>
      </w:rPr>
      <w:fldChar w:fldCharType="end"/>
    </w:r>
  </w:p>
  <w:p w:rsidR="00F9615D" w:rsidRDefault="00F9615D">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D49" w:rsidRDefault="00870D49">
      <w:pPr>
        <w:ind w:firstLine="0"/>
      </w:pPr>
      <w:r>
        <w:separator/>
      </w:r>
    </w:p>
  </w:footnote>
  <w:footnote w:type="continuationSeparator" w:id="1">
    <w:p w:rsidR="00870D49" w:rsidRDefault="00870D49">
      <w:r>
        <w:continuationSeparator/>
      </w:r>
    </w:p>
  </w:footnote>
  <w:footnote w:type="continuationNotice" w:id="2">
    <w:p w:rsidR="00870D49" w:rsidRDefault="00870D49"/>
  </w:footnote>
  <w:footnote w:id="3">
    <w:p w:rsidR="00F9615D" w:rsidRDefault="00F9615D" w:rsidP="00013281">
      <w:pPr>
        <w:pStyle w:val="a4"/>
        <w:rPr>
          <w:rtl/>
        </w:rPr>
      </w:pPr>
      <w:r>
        <w:rPr>
          <w:rStyle w:val="a6"/>
        </w:rPr>
        <w:footnoteRef/>
      </w:r>
      <w:r>
        <w:rPr>
          <w:rFonts w:hint="cs"/>
          <w:rtl/>
        </w:rPr>
        <w:t>ס"ח התשכ"ב, עמ' 120.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F6AAD98"/>
    <w:lvl w:ilvl="0">
      <w:start w:val="1"/>
      <w:numFmt w:val="decimal"/>
      <w:lvlText w:val="%1."/>
      <w:lvlJc w:val="left"/>
      <w:pPr>
        <w:tabs>
          <w:tab w:val="num" w:pos="1492"/>
        </w:tabs>
        <w:ind w:left="1492" w:hanging="360"/>
      </w:pPr>
    </w:lvl>
  </w:abstractNum>
  <w:abstractNum w:abstractNumId="1">
    <w:nsid w:val="00B67749"/>
    <w:multiLevelType w:val="hybridMultilevel"/>
    <w:tmpl w:val="B546F26A"/>
    <w:lvl w:ilvl="0" w:tplc="9FC4C48C">
      <w:start w:val="1"/>
      <w:numFmt w:val="decimal"/>
      <w:lvlRestart w:val="0"/>
      <w:lvlText w:val="(%1)"/>
      <w:lvlJc w:val="left"/>
      <w:pPr>
        <w:tabs>
          <w:tab w:val="num" w:pos="1344"/>
        </w:tabs>
        <w:ind w:left="720" w:firstLine="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0EF01BA"/>
    <w:multiLevelType w:val="hybridMultilevel"/>
    <w:tmpl w:val="5C745B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11647A6"/>
    <w:multiLevelType w:val="hybridMultilevel"/>
    <w:tmpl w:val="039CB504"/>
    <w:lvl w:ilvl="0" w:tplc="376CAA62">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D221A9"/>
    <w:multiLevelType w:val="hybridMultilevel"/>
    <w:tmpl w:val="06927BAC"/>
    <w:lvl w:ilvl="0" w:tplc="4394DF88">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5E6DD5"/>
    <w:multiLevelType w:val="hybridMultilevel"/>
    <w:tmpl w:val="0CDA6774"/>
    <w:lvl w:ilvl="0" w:tplc="DE2E04D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nsid w:val="12D95305"/>
    <w:multiLevelType w:val="hybridMultilevel"/>
    <w:tmpl w:val="3FCA8912"/>
    <w:lvl w:ilvl="0" w:tplc="BCFC8B4A">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C34E65"/>
    <w:multiLevelType w:val="hybridMultilevel"/>
    <w:tmpl w:val="442CB08C"/>
    <w:lvl w:ilvl="0" w:tplc="99C808DC">
      <w:start w:val="1"/>
      <w:numFmt w:val="decimal"/>
      <w:lvlText w:val="(%1)"/>
      <w:lvlJc w:val="left"/>
      <w:pPr>
        <w:ind w:left="720" w:hanging="360"/>
      </w:pPr>
      <w:rPr>
        <w:rFonts w:ascii="Arial" w:eastAsia="Arial Unicode MS" w:hAnsi="Arial" w:cs="David"/>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D78F3"/>
    <w:multiLevelType w:val="hybridMultilevel"/>
    <w:tmpl w:val="9E4C4E42"/>
    <w:lvl w:ilvl="0" w:tplc="861C87C0">
      <w:start w:val="1"/>
      <w:numFmt w:val="decimal"/>
      <w:lvlText w:val="(%1)"/>
      <w:lvlJc w:val="left"/>
      <w:pPr>
        <w:tabs>
          <w:tab w:val="num" w:pos="624"/>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226B78"/>
    <w:multiLevelType w:val="hybridMultilevel"/>
    <w:tmpl w:val="7690E8A2"/>
    <w:lvl w:ilvl="0" w:tplc="E772BD86">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B45286"/>
    <w:multiLevelType w:val="hybridMultilevel"/>
    <w:tmpl w:val="645EE05E"/>
    <w:lvl w:ilvl="0" w:tplc="BB2030AA">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18790E"/>
    <w:multiLevelType w:val="hybridMultilevel"/>
    <w:tmpl w:val="634CD96C"/>
    <w:lvl w:ilvl="0" w:tplc="7C38E94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0EB73C3"/>
    <w:multiLevelType w:val="hybridMultilevel"/>
    <w:tmpl w:val="950C9A34"/>
    <w:lvl w:ilvl="0" w:tplc="867A65D6">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2B4156"/>
    <w:multiLevelType w:val="hybridMultilevel"/>
    <w:tmpl w:val="2E96BF9A"/>
    <w:lvl w:ilvl="0" w:tplc="7D9EA174">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F45F22"/>
    <w:multiLevelType w:val="hybridMultilevel"/>
    <w:tmpl w:val="BAC6F738"/>
    <w:lvl w:ilvl="0" w:tplc="646CDC0C">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7CD6B8B"/>
    <w:multiLevelType w:val="hybridMultilevel"/>
    <w:tmpl w:val="1F844B64"/>
    <w:lvl w:ilvl="0" w:tplc="A8B806B4">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88072B"/>
    <w:multiLevelType w:val="hybridMultilevel"/>
    <w:tmpl w:val="38C445E2"/>
    <w:lvl w:ilvl="0" w:tplc="ED7C5EA6">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2515B0"/>
    <w:multiLevelType w:val="hybridMultilevel"/>
    <w:tmpl w:val="505ADD64"/>
    <w:lvl w:ilvl="0" w:tplc="4CACE2B2">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3C6FB2"/>
    <w:multiLevelType w:val="hybridMultilevel"/>
    <w:tmpl w:val="F3BE6CB8"/>
    <w:lvl w:ilvl="0" w:tplc="1AEE87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4C5B80"/>
    <w:multiLevelType w:val="hybridMultilevel"/>
    <w:tmpl w:val="FC5289AC"/>
    <w:lvl w:ilvl="0" w:tplc="D026C6B4">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28415A"/>
    <w:multiLevelType w:val="hybridMultilevel"/>
    <w:tmpl w:val="A8CC1258"/>
    <w:lvl w:ilvl="0" w:tplc="6136EBA4">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56057A"/>
    <w:multiLevelType w:val="hybridMultilevel"/>
    <w:tmpl w:val="29DEB480"/>
    <w:lvl w:ilvl="0" w:tplc="360E17A4">
      <w:start w:val="1"/>
      <w:numFmt w:val="hebrew1"/>
      <w:lvlText w:val="%1."/>
      <w:lvlJc w:val="left"/>
      <w:pPr>
        <w:tabs>
          <w:tab w:val="num" w:pos="567"/>
        </w:tabs>
        <w:ind w:left="567" w:hanging="567"/>
      </w:pPr>
      <w:rPr>
        <w:rFonts w:cs="David" w:hint="default"/>
      </w:rPr>
    </w:lvl>
    <w:lvl w:ilvl="1" w:tplc="0409000F">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47D915D4"/>
    <w:multiLevelType w:val="hybridMultilevel"/>
    <w:tmpl w:val="FFF28DE0"/>
    <w:lvl w:ilvl="0" w:tplc="9A30CD42">
      <w:start w:val="1"/>
      <w:numFmt w:val="decimal"/>
      <w:lvlText w:val="(%1)"/>
      <w:lvlJc w:val="left"/>
      <w:pPr>
        <w:ind w:left="720" w:hanging="360"/>
      </w:pPr>
      <w:rPr>
        <w:rFont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3D5248"/>
    <w:multiLevelType w:val="hybridMultilevel"/>
    <w:tmpl w:val="AD2A9896"/>
    <w:lvl w:ilvl="0" w:tplc="11C62772">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4E591C"/>
    <w:multiLevelType w:val="hybridMultilevel"/>
    <w:tmpl w:val="801AF218"/>
    <w:lvl w:ilvl="0" w:tplc="B10E167A">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664DE4"/>
    <w:multiLevelType w:val="hybridMultilevel"/>
    <w:tmpl w:val="2F84292A"/>
    <w:lvl w:ilvl="0" w:tplc="7F929C5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0F46D1"/>
    <w:multiLevelType w:val="hybridMultilevel"/>
    <w:tmpl w:val="DE7239FE"/>
    <w:lvl w:ilvl="0" w:tplc="3042DF9A">
      <w:start w:val="1"/>
      <w:numFmt w:val="decimal"/>
      <w:lvlText w:val="(%1)"/>
      <w:lvlJc w:val="left"/>
      <w:pPr>
        <w:ind w:left="720" w:hanging="360"/>
      </w:pPr>
      <w:rPr>
        <w:rFonts w:hint="default"/>
        <w:lang w:bidi="he-I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2C5293"/>
    <w:multiLevelType w:val="hybridMultilevel"/>
    <w:tmpl w:val="5658E96A"/>
    <w:lvl w:ilvl="0" w:tplc="036A5330">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8E1910"/>
    <w:multiLevelType w:val="hybridMultilevel"/>
    <w:tmpl w:val="480A112E"/>
    <w:lvl w:ilvl="0" w:tplc="1F4269B0">
      <w:start w:val="1"/>
      <w:numFmt w:val="hebrew1"/>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5739CB"/>
    <w:multiLevelType w:val="hybridMultilevel"/>
    <w:tmpl w:val="9FA63332"/>
    <w:lvl w:ilvl="0" w:tplc="DB305142">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53C544D"/>
    <w:multiLevelType w:val="hybridMultilevel"/>
    <w:tmpl w:val="B170A16C"/>
    <w:lvl w:ilvl="0" w:tplc="746489A4">
      <w:start w:val="1"/>
      <w:numFmt w:val="decimal"/>
      <w:lvlText w:val="%1."/>
      <w:lvlJc w:val="left"/>
      <w:pPr>
        <w:tabs>
          <w:tab w:val="num" w:pos="0"/>
        </w:tabs>
        <w:ind w:left="0" w:firstLine="0"/>
      </w:pPr>
      <w:rPr>
        <w:rFonts w:hint="default"/>
      </w:rPr>
    </w:lvl>
    <w:lvl w:ilvl="1" w:tplc="D3D4E8B2">
      <w:start w:val="1"/>
      <w:numFmt w:val="decimal"/>
      <w:lvlText w:val="(%2)"/>
      <w:lvlJc w:val="left"/>
      <w:pPr>
        <w:tabs>
          <w:tab w:val="num" w:pos="624"/>
        </w:tabs>
        <w:ind w:left="0" w:firstLine="0"/>
      </w:pPr>
      <w:rPr>
        <w:rFonts w:hint="default"/>
      </w:rPr>
    </w:lvl>
    <w:lvl w:ilvl="2" w:tplc="5D2AB1E4">
      <w:start w:val="1"/>
      <w:numFmt w:val="hebrew1"/>
      <w:lvlText w:val="(%3)"/>
      <w:lvlJc w:val="left"/>
      <w:pPr>
        <w:tabs>
          <w:tab w:val="num" w:pos="624"/>
        </w:tabs>
        <w:ind w:left="0" w:firstLine="0"/>
      </w:pPr>
      <w:rPr>
        <w:rFonts w:hint="default"/>
      </w:rPr>
    </w:lvl>
    <w:lvl w:ilvl="3" w:tplc="1F820BA4">
      <w:start w:val="1"/>
      <w:numFmt w:val="hebrew1"/>
      <w:lvlRestart w:val="0"/>
      <w:lvlText w:val="(%4)"/>
      <w:lvlJc w:val="left"/>
      <w:pPr>
        <w:tabs>
          <w:tab w:val="num" w:pos="624"/>
        </w:tabs>
        <w:ind w:left="0" w:firstLine="0"/>
      </w:pPr>
      <w:rPr>
        <w:rFonts w:hint="default"/>
      </w:rPr>
    </w:lvl>
    <w:lvl w:ilvl="4" w:tplc="62C6E096">
      <w:start w:val="1"/>
      <w:numFmt w:val="decimal"/>
      <w:lvlRestart w:val="0"/>
      <w:lvlText w:val="(%5)"/>
      <w:lvlJc w:val="left"/>
      <w:pPr>
        <w:tabs>
          <w:tab w:val="num" w:pos="3864"/>
        </w:tabs>
        <w:ind w:left="3240" w:firstLine="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5C858E4"/>
    <w:multiLevelType w:val="hybridMultilevel"/>
    <w:tmpl w:val="882C6ED4"/>
    <w:lvl w:ilvl="0" w:tplc="4112A21E">
      <w:start w:val="1"/>
      <w:numFmt w:val="hebrew1"/>
      <w:lvlRestart w:val="0"/>
      <w:lvlText w:val="(%1)"/>
      <w:lvlJc w:val="left"/>
      <w:pPr>
        <w:tabs>
          <w:tab w:val="num" w:pos="624"/>
        </w:tabs>
        <w:ind w:left="0" w:firstLine="0"/>
      </w:pPr>
      <w:rPr>
        <w:rFonts w:hint="default"/>
      </w:rPr>
    </w:lvl>
    <w:lvl w:ilvl="1" w:tplc="49082BE6">
      <w:start w:val="1"/>
      <w:numFmt w:val="decimal"/>
      <w:lvlRestart w:val="0"/>
      <w:lvlText w:val="(%2)"/>
      <w:lvlJc w:val="left"/>
      <w:pPr>
        <w:tabs>
          <w:tab w:val="num" w:pos="1704"/>
        </w:tabs>
        <w:ind w:left="1080" w:firstLine="0"/>
      </w:pPr>
      <w:rPr>
        <w:rFonts w:hint="default"/>
      </w:rPr>
    </w:lvl>
    <w:lvl w:ilvl="2" w:tplc="48C06176">
      <w:start w:val="1"/>
      <w:numFmt w:val="decimal"/>
      <w:lvlRestart w:val="0"/>
      <w:lvlText w:val="(%3)"/>
      <w:lvlJc w:val="left"/>
      <w:pPr>
        <w:tabs>
          <w:tab w:val="num" w:pos="2604"/>
        </w:tabs>
        <w:ind w:left="1980" w:firstLine="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756778F"/>
    <w:multiLevelType w:val="hybridMultilevel"/>
    <w:tmpl w:val="10B2D332"/>
    <w:lvl w:ilvl="0" w:tplc="2A3E1004">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6E153A"/>
    <w:multiLevelType w:val="hybridMultilevel"/>
    <w:tmpl w:val="1A2EBD6E"/>
    <w:lvl w:ilvl="0" w:tplc="744023FC">
      <w:start w:val="1"/>
      <w:numFmt w:val="decimal"/>
      <w:lvlRestart w:val="0"/>
      <w:lvlText w:val="(%1)"/>
      <w:lvlJc w:val="left"/>
      <w:pPr>
        <w:tabs>
          <w:tab w:val="num" w:pos="624"/>
        </w:tabs>
        <w:ind w:left="0" w:firstLine="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D91226"/>
    <w:multiLevelType w:val="hybridMultilevel"/>
    <w:tmpl w:val="C5EC8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0"/>
  </w:num>
  <w:num w:numId="3">
    <w:abstractNumId w:val="8"/>
  </w:num>
  <w:num w:numId="4">
    <w:abstractNumId w:val="31"/>
  </w:num>
  <w:num w:numId="5">
    <w:abstractNumId w:val="24"/>
  </w:num>
  <w:num w:numId="6">
    <w:abstractNumId w:val="14"/>
  </w:num>
  <w:num w:numId="7">
    <w:abstractNumId w:val="29"/>
  </w:num>
  <w:num w:numId="8">
    <w:abstractNumId w:val="9"/>
  </w:num>
  <w:num w:numId="9">
    <w:abstractNumId w:val="6"/>
  </w:num>
  <w:num w:numId="10">
    <w:abstractNumId w:val="23"/>
  </w:num>
  <w:num w:numId="11">
    <w:abstractNumId w:val="10"/>
  </w:num>
  <w:num w:numId="12">
    <w:abstractNumId w:val="21"/>
  </w:num>
  <w:num w:numId="13">
    <w:abstractNumId w:val="18"/>
  </w:num>
  <w:num w:numId="14">
    <w:abstractNumId w:val="5"/>
  </w:num>
  <w:num w:numId="15">
    <w:abstractNumId w:val="25"/>
  </w:num>
  <w:num w:numId="16">
    <w:abstractNumId w:val="26"/>
  </w:num>
  <w:num w:numId="17">
    <w:abstractNumId w:val="34"/>
  </w:num>
  <w:num w:numId="18">
    <w:abstractNumId w:val="4"/>
  </w:num>
  <w:num w:numId="19">
    <w:abstractNumId w:val="16"/>
  </w:num>
  <w:num w:numId="20">
    <w:abstractNumId w:val="33"/>
  </w:num>
  <w:num w:numId="21">
    <w:abstractNumId w:val="32"/>
  </w:num>
  <w:num w:numId="22">
    <w:abstractNumId w:val="22"/>
  </w:num>
  <w:num w:numId="23">
    <w:abstractNumId w:val="3"/>
  </w:num>
  <w:num w:numId="24">
    <w:abstractNumId w:val="17"/>
  </w:num>
  <w:num w:numId="25">
    <w:abstractNumId w:val="15"/>
  </w:num>
  <w:num w:numId="26">
    <w:abstractNumId w:val="12"/>
  </w:num>
  <w:num w:numId="27">
    <w:abstractNumId w:val="13"/>
  </w:num>
  <w:num w:numId="28">
    <w:abstractNumId w:val="28"/>
  </w:num>
  <w:num w:numId="29">
    <w:abstractNumId w:val="20"/>
  </w:num>
  <w:num w:numId="30">
    <w:abstractNumId w:val="27"/>
  </w:num>
  <w:num w:numId="31">
    <w:abstractNumId w:val="7"/>
  </w:num>
  <w:num w:numId="32">
    <w:abstractNumId w:val="1"/>
  </w:num>
  <w:num w:numId="33">
    <w:abstractNumId w:val="2"/>
  </w:num>
  <w:num w:numId="34">
    <w:abstractNumId w:val="11"/>
  </w:num>
  <w:num w:numId="35">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l Fuchs">
    <w15:presenceInfo w15:providerId="AD" w15:userId="S-1-5-21-806468-360911638-1700950580-59662590"/>
  </w15:person>
  <w15:person w15:author="Liora Gur">
    <w15:presenceInfo w15:providerId="AD" w15:userId="S-1-5-21-806468-360911638-1700950580-868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attachedTemplate r:id="rId1"/>
  <w:stylePaneFormatFilter w:val="3F01"/>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footnotePr>
    <w:footnote w:id="0"/>
    <w:footnote w:id="1"/>
    <w:footnote w:id="2"/>
  </w:footnotePr>
  <w:endnotePr>
    <w:endnote w:id="0"/>
    <w:endnote w:id="1"/>
  </w:endnotePr>
  <w:compat>
    <w:useFELayout/>
  </w:compat>
  <w:rsids>
    <w:rsidRoot w:val="00013281"/>
    <w:rsid w:val="00001778"/>
    <w:rsid w:val="00003047"/>
    <w:rsid w:val="000103BD"/>
    <w:rsid w:val="00010950"/>
    <w:rsid w:val="00011BA0"/>
    <w:rsid w:val="00011C4D"/>
    <w:rsid w:val="0001316D"/>
    <w:rsid w:val="00013281"/>
    <w:rsid w:val="00014599"/>
    <w:rsid w:val="00014D8E"/>
    <w:rsid w:val="00017BED"/>
    <w:rsid w:val="00027C50"/>
    <w:rsid w:val="0003252C"/>
    <w:rsid w:val="0003612C"/>
    <w:rsid w:val="000423FC"/>
    <w:rsid w:val="00043CE4"/>
    <w:rsid w:val="000517A7"/>
    <w:rsid w:val="000528ED"/>
    <w:rsid w:val="0005382C"/>
    <w:rsid w:val="00070BCE"/>
    <w:rsid w:val="0007373A"/>
    <w:rsid w:val="0007395E"/>
    <w:rsid w:val="00074FE0"/>
    <w:rsid w:val="00076077"/>
    <w:rsid w:val="0007639B"/>
    <w:rsid w:val="00080B43"/>
    <w:rsid w:val="000814F7"/>
    <w:rsid w:val="00083174"/>
    <w:rsid w:val="00084A3D"/>
    <w:rsid w:val="00092990"/>
    <w:rsid w:val="000A240C"/>
    <w:rsid w:val="000A2810"/>
    <w:rsid w:val="000A44A7"/>
    <w:rsid w:val="000A5D5A"/>
    <w:rsid w:val="000B118D"/>
    <w:rsid w:val="000B1250"/>
    <w:rsid w:val="000B22A3"/>
    <w:rsid w:val="000B4317"/>
    <w:rsid w:val="000C1EA4"/>
    <w:rsid w:val="000C20B6"/>
    <w:rsid w:val="000C2149"/>
    <w:rsid w:val="000C2C85"/>
    <w:rsid w:val="000C3F40"/>
    <w:rsid w:val="000C549E"/>
    <w:rsid w:val="000C570C"/>
    <w:rsid w:val="000C6A6D"/>
    <w:rsid w:val="000C72C2"/>
    <w:rsid w:val="000C7865"/>
    <w:rsid w:val="000D249D"/>
    <w:rsid w:val="000D283F"/>
    <w:rsid w:val="000D2C98"/>
    <w:rsid w:val="000D3CAA"/>
    <w:rsid w:val="000D3E44"/>
    <w:rsid w:val="000D3E90"/>
    <w:rsid w:val="000D63A5"/>
    <w:rsid w:val="000E0149"/>
    <w:rsid w:val="000E2AF8"/>
    <w:rsid w:val="000E304D"/>
    <w:rsid w:val="000E3A35"/>
    <w:rsid w:val="000E459F"/>
    <w:rsid w:val="000E48F6"/>
    <w:rsid w:val="000E60DC"/>
    <w:rsid w:val="000F0029"/>
    <w:rsid w:val="000F0DEA"/>
    <w:rsid w:val="000F16C7"/>
    <w:rsid w:val="000F1ECD"/>
    <w:rsid w:val="000F2779"/>
    <w:rsid w:val="00102970"/>
    <w:rsid w:val="001032A5"/>
    <w:rsid w:val="00103DA2"/>
    <w:rsid w:val="001062F3"/>
    <w:rsid w:val="001069C0"/>
    <w:rsid w:val="001107BB"/>
    <w:rsid w:val="001108DF"/>
    <w:rsid w:val="00112656"/>
    <w:rsid w:val="00113CC3"/>
    <w:rsid w:val="00120156"/>
    <w:rsid w:val="00121102"/>
    <w:rsid w:val="001279A9"/>
    <w:rsid w:val="001339BE"/>
    <w:rsid w:val="0013745B"/>
    <w:rsid w:val="001379E0"/>
    <w:rsid w:val="00137CF2"/>
    <w:rsid w:val="00140224"/>
    <w:rsid w:val="001408B3"/>
    <w:rsid w:val="00142D93"/>
    <w:rsid w:val="00142E39"/>
    <w:rsid w:val="001436D3"/>
    <w:rsid w:val="0014460F"/>
    <w:rsid w:val="00146470"/>
    <w:rsid w:val="00147415"/>
    <w:rsid w:val="00147CAE"/>
    <w:rsid w:val="00150ECA"/>
    <w:rsid w:val="0015290F"/>
    <w:rsid w:val="00154264"/>
    <w:rsid w:val="00157888"/>
    <w:rsid w:val="0016052C"/>
    <w:rsid w:val="00161837"/>
    <w:rsid w:val="00162B97"/>
    <w:rsid w:val="001715F0"/>
    <w:rsid w:val="00171BEF"/>
    <w:rsid w:val="00171E15"/>
    <w:rsid w:val="00173230"/>
    <w:rsid w:val="001753B1"/>
    <w:rsid w:val="0017575F"/>
    <w:rsid w:val="001764F9"/>
    <w:rsid w:val="001769BD"/>
    <w:rsid w:val="00180899"/>
    <w:rsid w:val="00181256"/>
    <w:rsid w:val="00181A1B"/>
    <w:rsid w:val="00182A20"/>
    <w:rsid w:val="00182E30"/>
    <w:rsid w:val="00183CE5"/>
    <w:rsid w:val="001929B8"/>
    <w:rsid w:val="00193217"/>
    <w:rsid w:val="00194CA3"/>
    <w:rsid w:val="00194F6C"/>
    <w:rsid w:val="001A13AB"/>
    <w:rsid w:val="001A28D6"/>
    <w:rsid w:val="001A7A53"/>
    <w:rsid w:val="001B1478"/>
    <w:rsid w:val="001B1C6F"/>
    <w:rsid w:val="001B2473"/>
    <w:rsid w:val="001B320D"/>
    <w:rsid w:val="001B6670"/>
    <w:rsid w:val="001B6735"/>
    <w:rsid w:val="001B7CE6"/>
    <w:rsid w:val="001C06A0"/>
    <w:rsid w:val="001C4AAC"/>
    <w:rsid w:val="001C5094"/>
    <w:rsid w:val="001D2AA9"/>
    <w:rsid w:val="001D3BDD"/>
    <w:rsid w:val="001D549B"/>
    <w:rsid w:val="001D5E31"/>
    <w:rsid w:val="001D7024"/>
    <w:rsid w:val="001D70F3"/>
    <w:rsid w:val="001D7EF3"/>
    <w:rsid w:val="001E2DD0"/>
    <w:rsid w:val="001E390B"/>
    <w:rsid w:val="001E48BB"/>
    <w:rsid w:val="001E61B7"/>
    <w:rsid w:val="001E73F2"/>
    <w:rsid w:val="001E7C1D"/>
    <w:rsid w:val="001F2259"/>
    <w:rsid w:val="001F409D"/>
    <w:rsid w:val="001F5709"/>
    <w:rsid w:val="001F58D5"/>
    <w:rsid w:val="001F660A"/>
    <w:rsid w:val="001F7082"/>
    <w:rsid w:val="00200906"/>
    <w:rsid w:val="00200F5D"/>
    <w:rsid w:val="0020326A"/>
    <w:rsid w:val="0020494D"/>
    <w:rsid w:val="00204FFD"/>
    <w:rsid w:val="002212B5"/>
    <w:rsid w:val="002213BB"/>
    <w:rsid w:val="002245FA"/>
    <w:rsid w:val="00224B34"/>
    <w:rsid w:val="00227DD3"/>
    <w:rsid w:val="00230B77"/>
    <w:rsid w:val="00231F4A"/>
    <w:rsid w:val="00233DFB"/>
    <w:rsid w:val="002345C9"/>
    <w:rsid w:val="00236CCE"/>
    <w:rsid w:val="00237887"/>
    <w:rsid w:val="002424A4"/>
    <w:rsid w:val="00244997"/>
    <w:rsid w:val="00250D90"/>
    <w:rsid w:val="002521F3"/>
    <w:rsid w:val="002525DB"/>
    <w:rsid w:val="00255C43"/>
    <w:rsid w:val="00255CC5"/>
    <w:rsid w:val="00256C6A"/>
    <w:rsid w:val="002611CF"/>
    <w:rsid w:val="002616F4"/>
    <w:rsid w:val="0026356E"/>
    <w:rsid w:val="00263F03"/>
    <w:rsid w:val="002676E4"/>
    <w:rsid w:val="00267869"/>
    <w:rsid w:val="0027088E"/>
    <w:rsid w:val="00271F33"/>
    <w:rsid w:val="002814D5"/>
    <w:rsid w:val="002862E7"/>
    <w:rsid w:val="0028720F"/>
    <w:rsid w:val="00287CD1"/>
    <w:rsid w:val="0029060C"/>
    <w:rsid w:val="0029071E"/>
    <w:rsid w:val="00292F55"/>
    <w:rsid w:val="00294C8B"/>
    <w:rsid w:val="0029611C"/>
    <w:rsid w:val="00296EED"/>
    <w:rsid w:val="002A1526"/>
    <w:rsid w:val="002A1AD8"/>
    <w:rsid w:val="002A6AD0"/>
    <w:rsid w:val="002A70A2"/>
    <w:rsid w:val="002B12C7"/>
    <w:rsid w:val="002B51D1"/>
    <w:rsid w:val="002C04C2"/>
    <w:rsid w:val="002C18C4"/>
    <w:rsid w:val="002C1B87"/>
    <w:rsid w:val="002C3633"/>
    <w:rsid w:val="002C3915"/>
    <w:rsid w:val="002C5BFE"/>
    <w:rsid w:val="002C6D87"/>
    <w:rsid w:val="002C7857"/>
    <w:rsid w:val="002D03B4"/>
    <w:rsid w:val="002D1C18"/>
    <w:rsid w:val="002D325A"/>
    <w:rsid w:val="002D4F53"/>
    <w:rsid w:val="002D5D2D"/>
    <w:rsid w:val="002D6B17"/>
    <w:rsid w:val="002D76EA"/>
    <w:rsid w:val="002E25E5"/>
    <w:rsid w:val="002E32F0"/>
    <w:rsid w:val="002E4542"/>
    <w:rsid w:val="002E6751"/>
    <w:rsid w:val="002F1679"/>
    <w:rsid w:val="002F33F0"/>
    <w:rsid w:val="002F3DC1"/>
    <w:rsid w:val="00300B11"/>
    <w:rsid w:val="00304B99"/>
    <w:rsid w:val="00305B72"/>
    <w:rsid w:val="00310118"/>
    <w:rsid w:val="003120D5"/>
    <w:rsid w:val="0031416A"/>
    <w:rsid w:val="00314957"/>
    <w:rsid w:val="00322336"/>
    <w:rsid w:val="00322E4F"/>
    <w:rsid w:val="003230D2"/>
    <w:rsid w:val="003279AF"/>
    <w:rsid w:val="00334626"/>
    <w:rsid w:val="00334B58"/>
    <w:rsid w:val="00334E25"/>
    <w:rsid w:val="00335F4D"/>
    <w:rsid w:val="003367C4"/>
    <w:rsid w:val="003367FE"/>
    <w:rsid w:val="00337DBF"/>
    <w:rsid w:val="003401C2"/>
    <w:rsid w:val="00344F91"/>
    <w:rsid w:val="00346EBA"/>
    <w:rsid w:val="003503FC"/>
    <w:rsid w:val="00351082"/>
    <w:rsid w:val="00351CDC"/>
    <w:rsid w:val="00351E59"/>
    <w:rsid w:val="00352C2C"/>
    <w:rsid w:val="00356BCC"/>
    <w:rsid w:val="003579F5"/>
    <w:rsid w:val="003628BF"/>
    <w:rsid w:val="003633C4"/>
    <w:rsid w:val="003661E3"/>
    <w:rsid w:val="003670DA"/>
    <w:rsid w:val="00371A0F"/>
    <w:rsid w:val="00372266"/>
    <w:rsid w:val="00372AB6"/>
    <w:rsid w:val="00372B59"/>
    <w:rsid w:val="00373BD5"/>
    <w:rsid w:val="00374C5B"/>
    <w:rsid w:val="00374ECC"/>
    <w:rsid w:val="00376439"/>
    <w:rsid w:val="00380958"/>
    <w:rsid w:val="003845E3"/>
    <w:rsid w:val="003850F2"/>
    <w:rsid w:val="0039143F"/>
    <w:rsid w:val="00391847"/>
    <w:rsid w:val="0039397A"/>
    <w:rsid w:val="00395D16"/>
    <w:rsid w:val="0039737B"/>
    <w:rsid w:val="0039785F"/>
    <w:rsid w:val="003A574A"/>
    <w:rsid w:val="003A663D"/>
    <w:rsid w:val="003A6706"/>
    <w:rsid w:val="003B0217"/>
    <w:rsid w:val="003B784A"/>
    <w:rsid w:val="003C5919"/>
    <w:rsid w:val="003C5AE8"/>
    <w:rsid w:val="003C623E"/>
    <w:rsid w:val="003C6FAF"/>
    <w:rsid w:val="003C7470"/>
    <w:rsid w:val="003D2471"/>
    <w:rsid w:val="003D2A1B"/>
    <w:rsid w:val="003D49CD"/>
    <w:rsid w:val="003D5C57"/>
    <w:rsid w:val="003E0266"/>
    <w:rsid w:val="003E188B"/>
    <w:rsid w:val="003E18FB"/>
    <w:rsid w:val="003E521A"/>
    <w:rsid w:val="003E7834"/>
    <w:rsid w:val="003F1942"/>
    <w:rsid w:val="003F2742"/>
    <w:rsid w:val="003F49C9"/>
    <w:rsid w:val="003F5FFA"/>
    <w:rsid w:val="003F6FC4"/>
    <w:rsid w:val="004015B5"/>
    <w:rsid w:val="00401A9E"/>
    <w:rsid w:val="00402B61"/>
    <w:rsid w:val="00405752"/>
    <w:rsid w:val="004074F5"/>
    <w:rsid w:val="00413D4B"/>
    <w:rsid w:val="00415146"/>
    <w:rsid w:val="004155EC"/>
    <w:rsid w:val="00417185"/>
    <w:rsid w:val="00417379"/>
    <w:rsid w:val="004278FF"/>
    <w:rsid w:val="00427A85"/>
    <w:rsid w:val="00430768"/>
    <w:rsid w:val="00430799"/>
    <w:rsid w:val="00430EBB"/>
    <w:rsid w:val="00431CB3"/>
    <w:rsid w:val="00437053"/>
    <w:rsid w:val="00440248"/>
    <w:rsid w:val="00440A73"/>
    <w:rsid w:val="004429B5"/>
    <w:rsid w:val="00443B89"/>
    <w:rsid w:val="00443C79"/>
    <w:rsid w:val="00444A98"/>
    <w:rsid w:val="004461FF"/>
    <w:rsid w:val="004478AF"/>
    <w:rsid w:val="00447E7A"/>
    <w:rsid w:val="00450457"/>
    <w:rsid w:val="00450C12"/>
    <w:rsid w:val="0045220A"/>
    <w:rsid w:val="004543AD"/>
    <w:rsid w:val="00457DAC"/>
    <w:rsid w:val="0046005C"/>
    <w:rsid w:val="00461A6F"/>
    <w:rsid w:val="00461E39"/>
    <w:rsid w:val="0046210B"/>
    <w:rsid w:val="00471252"/>
    <w:rsid w:val="0047143C"/>
    <w:rsid w:val="00471D02"/>
    <w:rsid w:val="00473196"/>
    <w:rsid w:val="00474A1A"/>
    <w:rsid w:val="004760C1"/>
    <w:rsid w:val="00476111"/>
    <w:rsid w:val="004761E1"/>
    <w:rsid w:val="004816B0"/>
    <w:rsid w:val="00484E8A"/>
    <w:rsid w:val="00487CF7"/>
    <w:rsid w:val="004900A8"/>
    <w:rsid w:val="0049107E"/>
    <w:rsid w:val="00492577"/>
    <w:rsid w:val="004926A7"/>
    <w:rsid w:val="004968BC"/>
    <w:rsid w:val="00496D63"/>
    <w:rsid w:val="004A1CE1"/>
    <w:rsid w:val="004A4161"/>
    <w:rsid w:val="004A424F"/>
    <w:rsid w:val="004A430A"/>
    <w:rsid w:val="004A44A6"/>
    <w:rsid w:val="004A4B17"/>
    <w:rsid w:val="004A5B2F"/>
    <w:rsid w:val="004B0D40"/>
    <w:rsid w:val="004B5A05"/>
    <w:rsid w:val="004C1413"/>
    <w:rsid w:val="004C455F"/>
    <w:rsid w:val="004C6AE5"/>
    <w:rsid w:val="004E1944"/>
    <w:rsid w:val="004E2920"/>
    <w:rsid w:val="004E2A72"/>
    <w:rsid w:val="004E7E58"/>
    <w:rsid w:val="004F030D"/>
    <w:rsid w:val="004F08CD"/>
    <w:rsid w:val="004F1D75"/>
    <w:rsid w:val="004F31D4"/>
    <w:rsid w:val="0050052F"/>
    <w:rsid w:val="00503233"/>
    <w:rsid w:val="00503C22"/>
    <w:rsid w:val="00504784"/>
    <w:rsid w:val="00506BCA"/>
    <w:rsid w:val="00507BA4"/>
    <w:rsid w:val="005116DA"/>
    <w:rsid w:val="005119FF"/>
    <w:rsid w:val="005123B1"/>
    <w:rsid w:val="005127AD"/>
    <w:rsid w:val="005129BB"/>
    <w:rsid w:val="00513FD2"/>
    <w:rsid w:val="005150DC"/>
    <w:rsid w:val="0051760B"/>
    <w:rsid w:val="005203E9"/>
    <w:rsid w:val="00520FC3"/>
    <w:rsid w:val="0052258A"/>
    <w:rsid w:val="00523CFA"/>
    <w:rsid w:val="005256C2"/>
    <w:rsid w:val="005275E5"/>
    <w:rsid w:val="00531D84"/>
    <w:rsid w:val="0053349F"/>
    <w:rsid w:val="00537F0B"/>
    <w:rsid w:val="005434AC"/>
    <w:rsid w:val="00546437"/>
    <w:rsid w:val="00546A49"/>
    <w:rsid w:val="00550A56"/>
    <w:rsid w:val="00553EBB"/>
    <w:rsid w:val="005558C6"/>
    <w:rsid w:val="005560DF"/>
    <w:rsid w:val="0055755D"/>
    <w:rsid w:val="005625F4"/>
    <w:rsid w:val="00563A50"/>
    <w:rsid w:val="00567EE5"/>
    <w:rsid w:val="00567FB2"/>
    <w:rsid w:val="0057045C"/>
    <w:rsid w:val="00571540"/>
    <w:rsid w:val="00573A40"/>
    <w:rsid w:val="005771C4"/>
    <w:rsid w:val="005857CA"/>
    <w:rsid w:val="0059152C"/>
    <w:rsid w:val="0059617B"/>
    <w:rsid w:val="005A0475"/>
    <w:rsid w:val="005A0504"/>
    <w:rsid w:val="005A170C"/>
    <w:rsid w:val="005A3443"/>
    <w:rsid w:val="005A5BDB"/>
    <w:rsid w:val="005A71A0"/>
    <w:rsid w:val="005B065E"/>
    <w:rsid w:val="005B435A"/>
    <w:rsid w:val="005B4ADC"/>
    <w:rsid w:val="005B68B4"/>
    <w:rsid w:val="005C086A"/>
    <w:rsid w:val="005C3CAB"/>
    <w:rsid w:val="005C6009"/>
    <w:rsid w:val="005C731E"/>
    <w:rsid w:val="005C7BC5"/>
    <w:rsid w:val="005D022F"/>
    <w:rsid w:val="005D076E"/>
    <w:rsid w:val="005D17D1"/>
    <w:rsid w:val="005D2A19"/>
    <w:rsid w:val="005D2FA0"/>
    <w:rsid w:val="005D51AE"/>
    <w:rsid w:val="005E1CA2"/>
    <w:rsid w:val="005E2B24"/>
    <w:rsid w:val="005F1258"/>
    <w:rsid w:val="005F181C"/>
    <w:rsid w:val="005F3504"/>
    <w:rsid w:val="005F63FC"/>
    <w:rsid w:val="005F7381"/>
    <w:rsid w:val="00600873"/>
    <w:rsid w:val="00601684"/>
    <w:rsid w:val="006028CC"/>
    <w:rsid w:val="0060685C"/>
    <w:rsid w:val="00607770"/>
    <w:rsid w:val="00607881"/>
    <w:rsid w:val="00612279"/>
    <w:rsid w:val="00615391"/>
    <w:rsid w:val="00615CC5"/>
    <w:rsid w:val="00616929"/>
    <w:rsid w:val="00616DBB"/>
    <w:rsid w:val="00621801"/>
    <w:rsid w:val="00621A75"/>
    <w:rsid w:val="00622152"/>
    <w:rsid w:val="00623B3B"/>
    <w:rsid w:val="006242CA"/>
    <w:rsid w:val="006245DD"/>
    <w:rsid w:val="006261CD"/>
    <w:rsid w:val="00626E1B"/>
    <w:rsid w:val="00632CA3"/>
    <w:rsid w:val="00636EAD"/>
    <w:rsid w:val="00637FF6"/>
    <w:rsid w:val="006416BB"/>
    <w:rsid w:val="006424D1"/>
    <w:rsid w:val="0064293D"/>
    <w:rsid w:val="00644940"/>
    <w:rsid w:val="00644E5A"/>
    <w:rsid w:val="00646B81"/>
    <w:rsid w:val="0065202C"/>
    <w:rsid w:val="0065338F"/>
    <w:rsid w:val="00654A60"/>
    <w:rsid w:val="00657743"/>
    <w:rsid w:val="00660C42"/>
    <w:rsid w:val="00662419"/>
    <w:rsid w:val="00662D9D"/>
    <w:rsid w:val="006634EB"/>
    <w:rsid w:val="006639F1"/>
    <w:rsid w:val="0067106D"/>
    <w:rsid w:val="006717F9"/>
    <w:rsid w:val="0067272A"/>
    <w:rsid w:val="00674761"/>
    <w:rsid w:val="00677190"/>
    <w:rsid w:val="00677938"/>
    <w:rsid w:val="00681067"/>
    <w:rsid w:val="00681911"/>
    <w:rsid w:val="0068234D"/>
    <w:rsid w:val="006827E5"/>
    <w:rsid w:val="006836E9"/>
    <w:rsid w:val="00684342"/>
    <w:rsid w:val="00684B06"/>
    <w:rsid w:val="0068600C"/>
    <w:rsid w:val="006918FE"/>
    <w:rsid w:val="00692AA5"/>
    <w:rsid w:val="006963DA"/>
    <w:rsid w:val="006A2323"/>
    <w:rsid w:val="006A311B"/>
    <w:rsid w:val="006A370E"/>
    <w:rsid w:val="006A3DB5"/>
    <w:rsid w:val="006A73E4"/>
    <w:rsid w:val="006B0013"/>
    <w:rsid w:val="006B049F"/>
    <w:rsid w:val="006B293F"/>
    <w:rsid w:val="006B4646"/>
    <w:rsid w:val="006B5E66"/>
    <w:rsid w:val="006B5EC3"/>
    <w:rsid w:val="006B6F30"/>
    <w:rsid w:val="006B71AC"/>
    <w:rsid w:val="006B7AC2"/>
    <w:rsid w:val="006C2EC4"/>
    <w:rsid w:val="006C366F"/>
    <w:rsid w:val="006C3749"/>
    <w:rsid w:val="006C48DD"/>
    <w:rsid w:val="006C4E1A"/>
    <w:rsid w:val="006C5C0E"/>
    <w:rsid w:val="006C6B37"/>
    <w:rsid w:val="006C6DBB"/>
    <w:rsid w:val="006C74B3"/>
    <w:rsid w:val="006D1161"/>
    <w:rsid w:val="006D2D06"/>
    <w:rsid w:val="006D3631"/>
    <w:rsid w:val="006D371F"/>
    <w:rsid w:val="006D489B"/>
    <w:rsid w:val="006D5805"/>
    <w:rsid w:val="006D5A11"/>
    <w:rsid w:val="006D7383"/>
    <w:rsid w:val="006D751F"/>
    <w:rsid w:val="006E24A7"/>
    <w:rsid w:val="006E2E9E"/>
    <w:rsid w:val="006E3FFD"/>
    <w:rsid w:val="006E4C3F"/>
    <w:rsid w:val="006E6E02"/>
    <w:rsid w:val="006F14B1"/>
    <w:rsid w:val="006F5B4D"/>
    <w:rsid w:val="006F7ECE"/>
    <w:rsid w:val="00700C04"/>
    <w:rsid w:val="00703110"/>
    <w:rsid w:val="007053C1"/>
    <w:rsid w:val="00707977"/>
    <w:rsid w:val="00711AD2"/>
    <w:rsid w:val="00711B37"/>
    <w:rsid w:val="00712296"/>
    <w:rsid w:val="00713B9C"/>
    <w:rsid w:val="00714603"/>
    <w:rsid w:val="00714FCC"/>
    <w:rsid w:val="007166D4"/>
    <w:rsid w:val="00716701"/>
    <w:rsid w:val="00722608"/>
    <w:rsid w:val="00723569"/>
    <w:rsid w:val="00724B5A"/>
    <w:rsid w:val="00725641"/>
    <w:rsid w:val="00725D36"/>
    <w:rsid w:val="0073149F"/>
    <w:rsid w:val="00731521"/>
    <w:rsid w:val="00736C5A"/>
    <w:rsid w:val="00737575"/>
    <w:rsid w:val="007408DF"/>
    <w:rsid w:val="00741A51"/>
    <w:rsid w:val="007435DD"/>
    <w:rsid w:val="00746C7C"/>
    <w:rsid w:val="00750095"/>
    <w:rsid w:val="00752D39"/>
    <w:rsid w:val="00753C67"/>
    <w:rsid w:val="00757CFC"/>
    <w:rsid w:val="0076228E"/>
    <w:rsid w:val="007631E0"/>
    <w:rsid w:val="007651DC"/>
    <w:rsid w:val="00765BF3"/>
    <w:rsid w:val="00766065"/>
    <w:rsid w:val="0076660E"/>
    <w:rsid w:val="0077182A"/>
    <w:rsid w:val="0077246A"/>
    <w:rsid w:val="00780F46"/>
    <w:rsid w:val="00781C4C"/>
    <w:rsid w:val="0078279D"/>
    <w:rsid w:val="00784166"/>
    <w:rsid w:val="00786188"/>
    <w:rsid w:val="00786C27"/>
    <w:rsid w:val="007906D4"/>
    <w:rsid w:val="007916DC"/>
    <w:rsid w:val="0079239D"/>
    <w:rsid w:val="007927A3"/>
    <w:rsid w:val="007928D9"/>
    <w:rsid w:val="007939CB"/>
    <w:rsid w:val="00796028"/>
    <w:rsid w:val="007A08BB"/>
    <w:rsid w:val="007A1096"/>
    <w:rsid w:val="007A1E65"/>
    <w:rsid w:val="007A220C"/>
    <w:rsid w:val="007A2CEE"/>
    <w:rsid w:val="007A2FB8"/>
    <w:rsid w:val="007A492B"/>
    <w:rsid w:val="007A5EA1"/>
    <w:rsid w:val="007A7870"/>
    <w:rsid w:val="007B08FE"/>
    <w:rsid w:val="007B1269"/>
    <w:rsid w:val="007B1C96"/>
    <w:rsid w:val="007B58F1"/>
    <w:rsid w:val="007C0140"/>
    <w:rsid w:val="007C17EF"/>
    <w:rsid w:val="007C19F5"/>
    <w:rsid w:val="007C4541"/>
    <w:rsid w:val="007C5B54"/>
    <w:rsid w:val="007D2AC1"/>
    <w:rsid w:val="007D2F46"/>
    <w:rsid w:val="007D3766"/>
    <w:rsid w:val="007D3A1E"/>
    <w:rsid w:val="007D5923"/>
    <w:rsid w:val="007D6BF9"/>
    <w:rsid w:val="007E0186"/>
    <w:rsid w:val="007E0BD7"/>
    <w:rsid w:val="007E0BE1"/>
    <w:rsid w:val="007E1ED9"/>
    <w:rsid w:val="007E5F40"/>
    <w:rsid w:val="007E660A"/>
    <w:rsid w:val="007F048B"/>
    <w:rsid w:val="007F0670"/>
    <w:rsid w:val="007F0C40"/>
    <w:rsid w:val="007F3A75"/>
    <w:rsid w:val="007F41CC"/>
    <w:rsid w:val="007F777A"/>
    <w:rsid w:val="00800466"/>
    <w:rsid w:val="00803E68"/>
    <w:rsid w:val="008042F1"/>
    <w:rsid w:val="008060B0"/>
    <w:rsid w:val="00806333"/>
    <w:rsid w:val="00806536"/>
    <w:rsid w:val="00807D6B"/>
    <w:rsid w:val="00811E6F"/>
    <w:rsid w:val="00812C98"/>
    <w:rsid w:val="00813264"/>
    <w:rsid w:val="00814E30"/>
    <w:rsid w:val="00816CB3"/>
    <w:rsid w:val="00816F7B"/>
    <w:rsid w:val="008170C3"/>
    <w:rsid w:val="00822AEB"/>
    <w:rsid w:val="00822DB3"/>
    <w:rsid w:val="008231D8"/>
    <w:rsid w:val="008233F1"/>
    <w:rsid w:val="00830F64"/>
    <w:rsid w:val="00831610"/>
    <w:rsid w:val="008335B6"/>
    <w:rsid w:val="00833AE4"/>
    <w:rsid w:val="0083549D"/>
    <w:rsid w:val="00837963"/>
    <w:rsid w:val="00837E3B"/>
    <w:rsid w:val="008418BB"/>
    <w:rsid w:val="008437B1"/>
    <w:rsid w:val="00844639"/>
    <w:rsid w:val="00845495"/>
    <w:rsid w:val="00846F6E"/>
    <w:rsid w:val="00850601"/>
    <w:rsid w:val="00850C93"/>
    <w:rsid w:val="00851554"/>
    <w:rsid w:val="00852B96"/>
    <w:rsid w:val="008670F9"/>
    <w:rsid w:val="008674BA"/>
    <w:rsid w:val="00870D49"/>
    <w:rsid w:val="00873202"/>
    <w:rsid w:val="008815D0"/>
    <w:rsid w:val="00882F70"/>
    <w:rsid w:val="00886977"/>
    <w:rsid w:val="008869AB"/>
    <w:rsid w:val="00887C0F"/>
    <w:rsid w:val="0089070C"/>
    <w:rsid w:val="008910FC"/>
    <w:rsid w:val="00892A7D"/>
    <w:rsid w:val="00893A21"/>
    <w:rsid w:val="00896165"/>
    <w:rsid w:val="00896634"/>
    <w:rsid w:val="008A0275"/>
    <w:rsid w:val="008A31F5"/>
    <w:rsid w:val="008A3BBB"/>
    <w:rsid w:val="008A49BE"/>
    <w:rsid w:val="008A5D14"/>
    <w:rsid w:val="008A6798"/>
    <w:rsid w:val="008A7EE5"/>
    <w:rsid w:val="008B2B37"/>
    <w:rsid w:val="008B4029"/>
    <w:rsid w:val="008B46D9"/>
    <w:rsid w:val="008C0482"/>
    <w:rsid w:val="008C119C"/>
    <w:rsid w:val="008C21CF"/>
    <w:rsid w:val="008C2DC7"/>
    <w:rsid w:val="008C5BB3"/>
    <w:rsid w:val="008C7B2C"/>
    <w:rsid w:val="008D2D68"/>
    <w:rsid w:val="008D4643"/>
    <w:rsid w:val="008E0ED6"/>
    <w:rsid w:val="008E4745"/>
    <w:rsid w:val="008E59A3"/>
    <w:rsid w:val="008F127C"/>
    <w:rsid w:val="008F21A4"/>
    <w:rsid w:val="008F3FE4"/>
    <w:rsid w:val="008F4754"/>
    <w:rsid w:val="008F5931"/>
    <w:rsid w:val="008F6026"/>
    <w:rsid w:val="008F66F4"/>
    <w:rsid w:val="008F730C"/>
    <w:rsid w:val="008F7E1F"/>
    <w:rsid w:val="00900EE6"/>
    <w:rsid w:val="00902BAE"/>
    <w:rsid w:val="00904893"/>
    <w:rsid w:val="00907189"/>
    <w:rsid w:val="0090740D"/>
    <w:rsid w:val="00910315"/>
    <w:rsid w:val="009168CC"/>
    <w:rsid w:val="00917F41"/>
    <w:rsid w:val="0092044B"/>
    <w:rsid w:val="00922134"/>
    <w:rsid w:val="00922514"/>
    <w:rsid w:val="00923474"/>
    <w:rsid w:val="00923801"/>
    <w:rsid w:val="009242EA"/>
    <w:rsid w:val="00924476"/>
    <w:rsid w:val="009247FD"/>
    <w:rsid w:val="009268C6"/>
    <w:rsid w:val="0093030A"/>
    <w:rsid w:val="009318A0"/>
    <w:rsid w:val="00931A19"/>
    <w:rsid w:val="00933F3B"/>
    <w:rsid w:val="00937040"/>
    <w:rsid w:val="00940162"/>
    <w:rsid w:val="00944881"/>
    <w:rsid w:val="009455C1"/>
    <w:rsid w:val="00945EE4"/>
    <w:rsid w:val="00953ADA"/>
    <w:rsid w:val="0095563E"/>
    <w:rsid w:val="00963ED1"/>
    <w:rsid w:val="009659C1"/>
    <w:rsid w:val="0096682B"/>
    <w:rsid w:val="00966955"/>
    <w:rsid w:val="00966A39"/>
    <w:rsid w:val="00967FD4"/>
    <w:rsid w:val="0097399B"/>
    <w:rsid w:val="00974123"/>
    <w:rsid w:val="0097544F"/>
    <w:rsid w:val="00975500"/>
    <w:rsid w:val="0097627D"/>
    <w:rsid w:val="009770EF"/>
    <w:rsid w:val="009776F5"/>
    <w:rsid w:val="0098034B"/>
    <w:rsid w:val="009910DE"/>
    <w:rsid w:val="00992A41"/>
    <w:rsid w:val="00992DF7"/>
    <w:rsid w:val="009932EF"/>
    <w:rsid w:val="00993C06"/>
    <w:rsid w:val="009956E9"/>
    <w:rsid w:val="00995BFE"/>
    <w:rsid w:val="009963F6"/>
    <w:rsid w:val="00996573"/>
    <w:rsid w:val="009968F2"/>
    <w:rsid w:val="009A00FC"/>
    <w:rsid w:val="009A2A88"/>
    <w:rsid w:val="009A3587"/>
    <w:rsid w:val="009A3BB3"/>
    <w:rsid w:val="009A73E9"/>
    <w:rsid w:val="009B0E42"/>
    <w:rsid w:val="009B30AD"/>
    <w:rsid w:val="009B30DF"/>
    <w:rsid w:val="009B3F9C"/>
    <w:rsid w:val="009B49D1"/>
    <w:rsid w:val="009C12AA"/>
    <w:rsid w:val="009C17EF"/>
    <w:rsid w:val="009C61CC"/>
    <w:rsid w:val="009D003F"/>
    <w:rsid w:val="009D08FE"/>
    <w:rsid w:val="009D1104"/>
    <w:rsid w:val="009D2E91"/>
    <w:rsid w:val="009D3280"/>
    <w:rsid w:val="009D5A53"/>
    <w:rsid w:val="009D7253"/>
    <w:rsid w:val="009D7A05"/>
    <w:rsid w:val="009E31F3"/>
    <w:rsid w:val="009E35DC"/>
    <w:rsid w:val="009E732F"/>
    <w:rsid w:val="009F0E9D"/>
    <w:rsid w:val="009F123B"/>
    <w:rsid w:val="009F1BA0"/>
    <w:rsid w:val="009F1C3B"/>
    <w:rsid w:val="009F28BE"/>
    <w:rsid w:val="009F3CB9"/>
    <w:rsid w:val="00A003EC"/>
    <w:rsid w:val="00A00931"/>
    <w:rsid w:val="00A02C75"/>
    <w:rsid w:val="00A0579E"/>
    <w:rsid w:val="00A06185"/>
    <w:rsid w:val="00A06974"/>
    <w:rsid w:val="00A12D4B"/>
    <w:rsid w:val="00A145CD"/>
    <w:rsid w:val="00A171E7"/>
    <w:rsid w:val="00A175FC"/>
    <w:rsid w:val="00A17D8F"/>
    <w:rsid w:val="00A17EE7"/>
    <w:rsid w:val="00A20696"/>
    <w:rsid w:val="00A20937"/>
    <w:rsid w:val="00A21C7F"/>
    <w:rsid w:val="00A224BF"/>
    <w:rsid w:val="00A23F27"/>
    <w:rsid w:val="00A2437E"/>
    <w:rsid w:val="00A24B06"/>
    <w:rsid w:val="00A32F8C"/>
    <w:rsid w:val="00A3374B"/>
    <w:rsid w:val="00A34AF3"/>
    <w:rsid w:val="00A370DF"/>
    <w:rsid w:val="00A37631"/>
    <w:rsid w:val="00A51837"/>
    <w:rsid w:val="00A518B2"/>
    <w:rsid w:val="00A5206E"/>
    <w:rsid w:val="00A538E7"/>
    <w:rsid w:val="00A53D4E"/>
    <w:rsid w:val="00A5446D"/>
    <w:rsid w:val="00A5732B"/>
    <w:rsid w:val="00A62903"/>
    <w:rsid w:val="00A64D84"/>
    <w:rsid w:val="00A659C4"/>
    <w:rsid w:val="00A66202"/>
    <w:rsid w:val="00A6748E"/>
    <w:rsid w:val="00A708F3"/>
    <w:rsid w:val="00A709D1"/>
    <w:rsid w:val="00A7265A"/>
    <w:rsid w:val="00A7398B"/>
    <w:rsid w:val="00A7603D"/>
    <w:rsid w:val="00A77BAD"/>
    <w:rsid w:val="00A81242"/>
    <w:rsid w:val="00A8154C"/>
    <w:rsid w:val="00A82E35"/>
    <w:rsid w:val="00A84B4E"/>
    <w:rsid w:val="00A8554C"/>
    <w:rsid w:val="00A86FAA"/>
    <w:rsid w:val="00A87A7A"/>
    <w:rsid w:val="00A87BAD"/>
    <w:rsid w:val="00A909BD"/>
    <w:rsid w:val="00A918F4"/>
    <w:rsid w:val="00A9749B"/>
    <w:rsid w:val="00A97A1E"/>
    <w:rsid w:val="00AA0250"/>
    <w:rsid w:val="00AA04B2"/>
    <w:rsid w:val="00AA0E2A"/>
    <w:rsid w:val="00AA1376"/>
    <w:rsid w:val="00AA1CC0"/>
    <w:rsid w:val="00AA6AB5"/>
    <w:rsid w:val="00AB12EC"/>
    <w:rsid w:val="00AB1FD3"/>
    <w:rsid w:val="00AB45F2"/>
    <w:rsid w:val="00AB4D3E"/>
    <w:rsid w:val="00AB507D"/>
    <w:rsid w:val="00AB7CF4"/>
    <w:rsid w:val="00AC58CF"/>
    <w:rsid w:val="00AC6D94"/>
    <w:rsid w:val="00AC7C11"/>
    <w:rsid w:val="00AD444B"/>
    <w:rsid w:val="00AD7387"/>
    <w:rsid w:val="00AD73C6"/>
    <w:rsid w:val="00AD7785"/>
    <w:rsid w:val="00AE40B0"/>
    <w:rsid w:val="00AE4ECC"/>
    <w:rsid w:val="00AE764E"/>
    <w:rsid w:val="00AF06DD"/>
    <w:rsid w:val="00AF205B"/>
    <w:rsid w:val="00AF6C74"/>
    <w:rsid w:val="00B035FE"/>
    <w:rsid w:val="00B0490F"/>
    <w:rsid w:val="00B07622"/>
    <w:rsid w:val="00B11FD2"/>
    <w:rsid w:val="00B131BD"/>
    <w:rsid w:val="00B13215"/>
    <w:rsid w:val="00B13DF8"/>
    <w:rsid w:val="00B16494"/>
    <w:rsid w:val="00B2218C"/>
    <w:rsid w:val="00B22D00"/>
    <w:rsid w:val="00B24577"/>
    <w:rsid w:val="00B31636"/>
    <w:rsid w:val="00B318BF"/>
    <w:rsid w:val="00B33F36"/>
    <w:rsid w:val="00B350EA"/>
    <w:rsid w:val="00B371C1"/>
    <w:rsid w:val="00B42305"/>
    <w:rsid w:val="00B46D15"/>
    <w:rsid w:val="00B473BA"/>
    <w:rsid w:val="00B50517"/>
    <w:rsid w:val="00B5366F"/>
    <w:rsid w:val="00B5370A"/>
    <w:rsid w:val="00B54879"/>
    <w:rsid w:val="00B616F1"/>
    <w:rsid w:val="00B6739D"/>
    <w:rsid w:val="00B710FE"/>
    <w:rsid w:val="00B71161"/>
    <w:rsid w:val="00B7157A"/>
    <w:rsid w:val="00B71754"/>
    <w:rsid w:val="00B7645F"/>
    <w:rsid w:val="00B80180"/>
    <w:rsid w:val="00B83C83"/>
    <w:rsid w:val="00B859E4"/>
    <w:rsid w:val="00B870E9"/>
    <w:rsid w:val="00B903B4"/>
    <w:rsid w:val="00B90EB3"/>
    <w:rsid w:val="00B922CA"/>
    <w:rsid w:val="00B93E66"/>
    <w:rsid w:val="00B969EC"/>
    <w:rsid w:val="00B97B60"/>
    <w:rsid w:val="00B97DFA"/>
    <w:rsid w:val="00BA167E"/>
    <w:rsid w:val="00BA4A90"/>
    <w:rsid w:val="00BA64BF"/>
    <w:rsid w:val="00BB11BB"/>
    <w:rsid w:val="00BB1D40"/>
    <w:rsid w:val="00BB3C85"/>
    <w:rsid w:val="00BB74D7"/>
    <w:rsid w:val="00BC112A"/>
    <w:rsid w:val="00BC1AC5"/>
    <w:rsid w:val="00BC471B"/>
    <w:rsid w:val="00BC4C6D"/>
    <w:rsid w:val="00BC53B8"/>
    <w:rsid w:val="00BC5D85"/>
    <w:rsid w:val="00BC6677"/>
    <w:rsid w:val="00BC67DD"/>
    <w:rsid w:val="00BD12FF"/>
    <w:rsid w:val="00BD145A"/>
    <w:rsid w:val="00BD14DD"/>
    <w:rsid w:val="00BD3AE0"/>
    <w:rsid w:val="00BD4D50"/>
    <w:rsid w:val="00BD5EC2"/>
    <w:rsid w:val="00BD6A9A"/>
    <w:rsid w:val="00BE0731"/>
    <w:rsid w:val="00BE5292"/>
    <w:rsid w:val="00BE5920"/>
    <w:rsid w:val="00BE669B"/>
    <w:rsid w:val="00BE7EE3"/>
    <w:rsid w:val="00BF1091"/>
    <w:rsid w:val="00BF5A8A"/>
    <w:rsid w:val="00BF7C00"/>
    <w:rsid w:val="00C0166C"/>
    <w:rsid w:val="00C02E9F"/>
    <w:rsid w:val="00C06993"/>
    <w:rsid w:val="00C1072D"/>
    <w:rsid w:val="00C107FA"/>
    <w:rsid w:val="00C12A9C"/>
    <w:rsid w:val="00C12BB7"/>
    <w:rsid w:val="00C134B8"/>
    <w:rsid w:val="00C13CAE"/>
    <w:rsid w:val="00C21E2C"/>
    <w:rsid w:val="00C24BAE"/>
    <w:rsid w:val="00C252BF"/>
    <w:rsid w:val="00C26476"/>
    <w:rsid w:val="00C334D1"/>
    <w:rsid w:val="00C33EF8"/>
    <w:rsid w:val="00C3490B"/>
    <w:rsid w:val="00C34DE2"/>
    <w:rsid w:val="00C358A1"/>
    <w:rsid w:val="00C3704E"/>
    <w:rsid w:val="00C40682"/>
    <w:rsid w:val="00C41521"/>
    <w:rsid w:val="00C4451D"/>
    <w:rsid w:val="00C50917"/>
    <w:rsid w:val="00C514F7"/>
    <w:rsid w:val="00C51FD7"/>
    <w:rsid w:val="00C52917"/>
    <w:rsid w:val="00C5295C"/>
    <w:rsid w:val="00C551FC"/>
    <w:rsid w:val="00C6174E"/>
    <w:rsid w:val="00C638EA"/>
    <w:rsid w:val="00C645D5"/>
    <w:rsid w:val="00C664C9"/>
    <w:rsid w:val="00C66A55"/>
    <w:rsid w:val="00C734E7"/>
    <w:rsid w:val="00C75F52"/>
    <w:rsid w:val="00C763D8"/>
    <w:rsid w:val="00C81692"/>
    <w:rsid w:val="00C8482F"/>
    <w:rsid w:val="00C867E6"/>
    <w:rsid w:val="00C87BD1"/>
    <w:rsid w:val="00C91B2B"/>
    <w:rsid w:val="00C91D72"/>
    <w:rsid w:val="00C9215F"/>
    <w:rsid w:val="00C924B1"/>
    <w:rsid w:val="00C96831"/>
    <w:rsid w:val="00CA11EB"/>
    <w:rsid w:val="00CA1CC7"/>
    <w:rsid w:val="00CA203B"/>
    <w:rsid w:val="00CA32BB"/>
    <w:rsid w:val="00CA4C33"/>
    <w:rsid w:val="00CB33E4"/>
    <w:rsid w:val="00CB3743"/>
    <w:rsid w:val="00CB4C0A"/>
    <w:rsid w:val="00CB5692"/>
    <w:rsid w:val="00CC03A5"/>
    <w:rsid w:val="00CC2FCD"/>
    <w:rsid w:val="00CC35D0"/>
    <w:rsid w:val="00CC4C82"/>
    <w:rsid w:val="00CC6BEB"/>
    <w:rsid w:val="00CC6E4B"/>
    <w:rsid w:val="00CD0066"/>
    <w:rsid w:val="00CD0662"/>
    <w:rsid w:val="00CD14E5"/>
    <w:rsid w:val="00CD4982"/>
    <w:rsid w:val="00CD501F"/>
    <w:rsid w:val="00CE24F8"/>
    <w:rsid w:val="00CE2900"/>
    <w:rsid w:val="00CE2E4B"/>
    <w:rsid w:val="00CE2FB0"/>
    <w:rsid w:val="00CE77C9"/>
    <w:rsid w:val="00CF0688"/>
    <w:rsid w:val="00CF15FC"/>
    <w:rsid w:val="00CF3E94"/>
    <w:rsid w:val="00CF5BDF"/>
    <w:rsid w:val="00CF7619"/>
    <w:rsid w:val="00D03AE9"/>
    <w:rsid w:val="00D045E7"/>
    <w:rsid w:val="00D04853"/>
    <w:rsid w:val="00D102F9"/>
    <w:rsid w:val="00D131CF"/>
    <w:rsid w:val="00D136C0"/>
    <w:rsid w:val="00D15EAC"/>
    <w:rsid w:val="00D16B7E"/>
    <w:rsid w:val="00D2043B"/>
    <w:rsid w:val="00D21354"/>
    <w:rsid w:val="00D223BC"/>
    <w:rsid w:val="00D27112"/>
    <w:rsid w:val="00D34163"/>
    <w:rsid w:val="00D35FF0"/>
    <w:rsid w:val="00D37E0E"/>
    <w:rsid w:val="00D401B7"/>
    <w:rsid w:val="00D42245"/>
    <w:rsid w:val="00D439B2"/>
    <w:rsid w:val="00D43BEF"/>
    <w:rsid w:val="00D44187"/>
    <w:rsid w:val="00D4425E"/>
    <w:rsid w:val="00D47509"/>
    <w:rsid w:val="00D47516"/>
    <w:rsid w:val="00D477CD"/>
    <w:rsid w:val="00D47F84"/>
    <w:rsid w:val="00D52873"/>
    <w:rsid w:val="00D535FD"/>
    <w:rsid w:val="00D537EC"/>
    <w:rsid w:val="00D55B7C"/>
    <w:rsid w:val="00D55F8F"/>
    <w:rsid w:val="00D57789"/>
    <w:rsid w:val="00D62568"/>
    <w:rsid w:val="00D62BFC"/>
    <w:rsid w:val="00D635DA"/>
    <w:rsid w:val="00D65DE9"/>
    <w:rsid w:val="00D70C27"/>
    <w:rsid w:val="00D715E3"/>
    <w:rsid w:val="00D71C8D"/>
    <w:rsid w:val="00D768D4"/>
    <w:rsid w:val="00D77C18"/>
    <w:rsid w:val="00D814C2"/>
    <w:rsid w:val="00D8183A"/>
    <w:rsid w:val="00D841B6"/>
    <w:rsid w:val="00D85A6E"/>
    <w:rsid w:val="00D86187"/>
    <w:rsid w:val="00D87C17"/>
    <w:rsid w:val="00D924C3"/>
    <w:rsid w:val="00D93613"/>
    <w:rsid w:val="00D95D8D"/>
    <w:rsid w:val="00D96739"/>
    <w:rsid w:val="00DA044A"/>
    <w:rsid w:val="00DA4ED9"/>
    <w:rsid w:val="00DA6FB0"/>
    <w:rsid w:val="00DB018F"/>
    <w:rsid w:val="00DB0FD3"/>
    <w:rsid w:val="00DB1C23"/>
    <w:rsid w:val="00DB3142"/>
    <w:rsid w:val="00DB35DD"/>
    <w:rsid w:val="00DB4F68"/>
    <w:rsid w:val="00DB5586"/>
    <w:rsid w:val="00DC07D5"/>
    <w:rsid w:val="00DC38B8"/>
    <w:rsid w:val="00DC4535"/>
    <w:rsid w:val="00DC4FA2"/>
    <w:rsid w:val="00DC6322"/>
    <w:rsid w:val="00DC7BB0"/>
    <w:rsid w:val="00DD11ED"/>
    <w:rsid w:val="00DD1212"/>
    <w:rsid w:val="00DD3C1F"/>
    <w:rsid w:val="00DD5761"/>
    <w:rsid w:val="00DE2CFD"/>
    <w:rsid w:val="00DE3760"/>
    <w:rsid w:val="00DE4361"/>
    <w:rsid w:val="00DE48A7"/>
    <w:rsid w:val="00DE6477"/>
    <w:rsid w:val="00DE7427"/>
    <w:rsid w:val="00DF0388"/>
    <w:rsid w:val="00DF1F85"/>
    <w:rsid w:val="00DF3A60"/>
    <w:rsid w:val="00DF4555"/>
    <w:rsid w:val="00DF4ED6"/>
    <w:rsid w:val="00DF5DAA"/>
    <w:rsid w:val="00DF6AF7"/>
    <w:rsid w:val="00E00A15"/>
    <w:rsid w:val="00E01049"/>
    <w:rsid w:val="00E035F7"/>
    <w:rsid w:val="00E0446F"/>
    <w:rsid w:val="00E052E9"/>
    <w:rsid w:val="00E06346"/>
    <w:rsid w:val="00E07105"/>
    <w:rsid w:val="00E11B03"/>
    <w:rsid w:val="00E128BC"/>
    <w:rsid w:val="00E12FD8"/>
    <w:rsid w:val="00E133D6"/>
    <w:rsid w:val="00E15ADB"/>
    <w:rsid w:val="00E1690D"/>
    <w:rsid w:val="00E171B7"/>
    <w:rsid w:val="00E17715"/>
    <w:rsid w:val="00E20956"/>
    <w:rsid w:val="00E210AB"/>
    <w:rsid w:val="00E23AE2"/>
    <w:rsid w:val="00E24E87"/>
    <w:rsid w:val="00E276AB"/>
    <w:rsid w:val="00E315C3"/>
    <w:rsid w:val="00E319B8"/>
    <w:rsid w:val="00E321EE"/>
    <w:rsid w:val="00E33D9F"/>
    <w:rsid w:val="00E35112"/>
    <w:rsid w:val="00E3570A"/>
    <w:rsid w:val="00E410EF"/>
    <w:rsid w:val="00E4419D"/>
    <w:rsid w:val="00E44D71"/>
    <w:rsid w:val="00E552B1"/>
    <w:rsid w:val="00E57743"/>
    <w:rsid w:val="00E57A4F"/>
    <w:rsid w:val="00E6384C"/>
    <w:rsid w:val="00E659C5"/>
    <w:rsid w:val="00E65FC5"/>
    <w:rsid w:val="00E7024C"/>
    <w:rsid w:val="00E83006"/>
    <w:rsid w:val="00E8383B"/>
    <w:rsid w:val="00E85AEB"/>
    <w:rsid w:val="00E876E5"/>
    <w:rsid w:val="00E87E3F"/>
    <w:rsid w:val="00E900C2"/>
    <w:rsid w:val="00E90CD2"/>
    <w:rsid w:val="00E92965"/>
    <w:rsid w:val="00E95198"/>
    <w:rsid w:val="00E954B2"/>
    <w:rsid w:val="00EA0833"/>
    <w:rsid w:val="00EA48B3"/>
    <w:rsid w:val="00EA575D"/>
    <w:rsid w:val="00EB108D"/>
    <w:rsid w:val="00EB1D6E"/>
    <w:rsid w:val="00EB522B"/>
    <w:rsid w:val="00EB765D"/>
    <w:rsid w:val="00EC11BA"/>
    <w:rsid w:val="00EC2CE7"/>
    <w:rsid w:val="00ED00D2"/>
    <w:rsid w:val="00ED3771"/>
    <w:rsid w:val="00ED7345"/>
    <w:rsid w:val="00EE45C8"/>
    <w:rsid w:val="00EE76C3"/>
    <w:rsid w:val="00EE782D"/>
    <w:rsid w:val="00EF5F65"/>
    <w:rsid w:val="00F00DF4"/>
    <w:rsid w:val="00F02AA4"/>
    <w:rsid w:val="00F075E5"/>
    <w:rsid w:val="00F07980"/>
    <w:rsid w:val="00F10FBB"/>
    <w:rsid w:val="00F1200D"/>
    <w:rsid w:val="00F121C1"/>
    <w:rsid w:val="00F1295F"/>
    <w:rsid w:val="00F12F13"/>
    <w:rsid w:val="00F14723"/>
    <w:rsid w:val="00F15F41"/>
    <w:rsid w:val="00F1678B"/>
    <w:rsid w:val="00F16F84"/>
    <w:rsid w:val="00F17550"/>
    <w:rsid w:val="00F23771"/>
    <w:rsid w:val="00F2400A"/>
    <w:rsid w:val="00F273C5"/>
    <w:rsid w:val="00F275D5"/>
    <w:rsid w:val="00F27D1E"/>
    <w:rsid w:val="00F3062A"/>
    <w:rsid w:val="00F34C60"/>
    <w:rsid w:val="00F362F1"/>
    <w:rsid w:val="00F405F5"/>
    <w:rsid w:val="00F4116A"/>
    <w:rsid w:val="00F42607"/>
    <w:rsid w:val="00F42C05"/>
    <w:rsid w:val="00F4415A"/>
    <w:rsid w:val="00F444E6"/>
    <w:rsid w:val="00F4660F"/>
    <w:rsid w:val="00F51E46"/>
    <w:rsid w:val="00F53C76"/>
    <w:rsid w:val="00F53D92"/>
    <w:rsid w:val="00F62E7A"/>
    <w:rsid w:val="00F63511"/>
    <w:rsid w:val="00F63AB0"/>
    <w:rsid w:val="00F63DD9"/>
    <w:rsid w:val="00F66533"/>
    <w:rsid w:val="00F6741B"/>
    <w:rsid w:val="00F67EA1"/>
    <w:rsid w:val="00F71018"/>
    <w:rsid w:val="00F71A0B"/>
    <w:rsid w:val="00F71CC1"/>
    <w:rsid w:val="00F74F31"/>
    <w:rsid w:val="00F75A4A"/>
    <w:rsid w:val="00F75FB7"/>
    <w:rsid w:val="00F77706"/>
    <w:rsid w:val="00F80161"/>
    <w:rsid w:val="00F8027C"/>
    <w:rsid w:val="00F80638"/>
    <w:rsid w:val="00F813C7"/>
    <w:rsid w:val="00F85275"/>
    <w:rsid w:val="00F85C46"/>
    <w:rsid w:val="00F861B6"/>
    <w:rsid w:val="00F86B9A"/>
    <w:rsid w:val="00F87C8F"/>
    <w:rsid w:val="00F87CE4"/>
    <w:rsid w:val="00F90229"/>
    <w:rsid w:val="00F90363"/>
    <w:rsid w:val="00F90388"/>
    <w:rsid w:val="00F919C0"/>
    <w:rsid w:val="00F9596F"/>
    <w:rsid w:val="00F9615D"/>
    <w:rsid w:val="00FA0C19"/>
    <w:rsid w:val="00FA0CA1"/>
    <w:rsid w:val="00FA127D"/>
    <w:rsid w:val="00FA1CBB"/>
    <w:rsid w:val="00FA2415"/>
    <w:rsid w:val="00FA2E09"/>
    <w:rsid w:val="00FA63FC"/>
    <w:rsid w:val="00FA7508"/>
    <w:rsid w:val="00FB5BD8"/>
    <w:rsid w:val="00FB63CB"/>
    <w:rsid w:val="00FB76CD"/>
    <w:rsid w:val="00FC0222"/>
    <w:rsid w:val="00FC1D1B"/>
    <w:rsid w:val="00FC75F7"/>
    <w:rsid w:val="00FD3CE7"/>
    <w:rsid w:val="00FD6759"/>
    <w:rsid w:val="00FD6A6B"/>
    <w:rsid w:val="00FD7248"/>
    <w:rsid w:val="00FD760F"/>
    <w:rsid w:val="00FD7679"/>
    <w:rsid w:val="00FD78E0"/>
    <w:rsid w:val="00FE0B4B"/>
    <w:rsid w:val="00FE1B11"/>
    <w:rsid w:val="00FE23C1"/>
    <w:rsid w:val="00FE518E"/>
    <w:rsid w:val="00FE57A6"/>
    <w:rsid w:val="00FE71F1"/>
    <w:rsid w:val="00FF0955"/>
    <w:rsid w:val="00FF114A"/>
    <w:rsid w:val="00FF2914"/>
    <w:rsid w:val="00FF5265"/>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he-I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C8B"/>
    <w:pPr>
      <w:widowControl w:val="0"/>
      <w:autoSpaceDE w:val="0"/>
      <w:autoSpaceDN w:val="0"/>
      <w:bidi/>
      <w:adjustRightInd w:val="0"/>
      <w:spacing w:before="102" w:line="204" w:lineRule="atLeast"/>
      <w:ind w:firstLine="340"/>
      <w:jc w:val="both"/>
      <w:textAlignment w:val="center"/>
    </w:pPr>
    <w:rPr>
      <w:rFonts w:ascii="Hadasa Roso SL" w:hAnsi="Hadasa Roso SL" w:cs="Hadasa Roso SL"/>
      <w:color w:val="000000"/>
      <w:spacing w:val="1"/>
      <w:sz w:val="17"/>
      <w:szCs w:val="17"/>
      <w:lang w:eastAsia="ja-JP"/>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MitparsemetBaze">
    <w:name w:val="Head MitparsemetBaze"/>
    <w:basedOn w:val="a"/>
    <w:rsid w:val="00294C8B"/>
    <w:pPr>
      <w:keepNext/>
      <w:keepLines/>
      <w:pageBreakBefore/>
      <w:snapToGrid w:val="0"/>
      <w:spacing w:before="480" w:line="360" w:lineRule="auto"/>
      <w:ind w:firstLine="0"/>
    </w:pPr>
    <w:rPr>
      <w:rFonts w:ascii="Arial" w:eastAsia="Arial Unicode MS" w:hAnsi="Arial" w:cs="David"/>
      <w:b/>
      <w:bCs/>
      <w:snapToGrid w:val="0"/>
      <w:spacing w:val="0"/>
      <w:sz w:val="20"/>
      <w:szCs w:val="26"/>
    </w:rPr>
  </w:style>
  <w:style w:type="paragraph" w:customStyle="1" w:styleId="HeadHatzaotHok">
    <w:name w:val="Head HatzaotHok"/>
    <w:basedOn w:val="a"/>
    <w:rsid w:val="00294C8B"/>
    <w:pPr>
      <w:keepNext/>
      <w:keepLines/>
      <w:snapToGrid w:val="0"/>
      <w:spacing w:before="240" w:line="360" w:lineRule="auto"/>
      <w:ind w:firstLine="0"/>
      <w:jc w:val="center"/>
    </w:pPr>
    <w:rPr>
      <w:rFonts w:ascii="Arial" w:eastAsia="Arial Unicode MS" w:hAnsi="Arial" w:cs="David"/>
      <w:b/>
      <w:bCs/>
      <w:snapToGrid w:val="0"/>
      <w:spacing w:val="0"/>
      <w:sz w:val="20"/>
      <w:szCs w:val="26"/>
    </w:rPr>
  </w:style>
  <w:style w:type="paragraph" w:customStyle="1" w:styleId="HeadHatzaotHok4Futer">
    <w:name w:val="Head HatzaotHok4Futer"/>
    <w:basedOn w:val="HeadHatzaotHok"/>
    <w:rsid w:val="00294C8B"/>
    <w:pPr>
      <w:spacing w:before="120" w:after="120"/>
    </w:pPr>
    <w:rPr>
      <w:color w:val="FF0000"/>
      <w:w w:val="80"/>
    </w:rPr>
  </w:style>
  <w:style w:type="paragraph" w:styleId="a3">
    <w:name w:val="endnote text"/>
    <w:basedOn w:val="a"/>
    <w:semiHidden/>
    <w:rsid w:val="00294C8B"/>
    <w:pPr>
      <w:ind w:left="227" w:hanging="227"/>
    </w:pPr>
    <w:rPr>
      <w:sz w:val="14"/>
      <w:szCs w:val="22"/>
    </w:rPr>
  </w:style>
  <w:style w:type="paragraph" w:customStyle="1" w:styleId="TableText">
    <w:name w:val="Table Text"/>
    <w:basedOn w:val="a"/>
    <w:rsid w:val="00294C8B"/>
    <w:pPr>
      <w:keepLines/>
      <w:tabs>
        <w:tab w:val="left" w:pos="624"/>
        <w:tab w:val="left" w:pos="1247"/>
      </w:tabs>
      <w:snapToGrid w:val="0"/>
      <w:spacing w:before="0" w:line="360" w:lineRule="auto"/>
      <w:ind w:right="57" w:firstLine="0"/>
      <w:jc w:val="left"/>
    </w:pPr>
    <w:rPr>
      <w:rFonts w:ascii="Arial" w:eastAsia="Arial Unicode MS" w:hAnsi="Arial" w:cs="David"/>
      <w:snapToGrid w:val="0"/>
      <w:spacing w:val="0"/>
      <w:sz w:val="20"/>
      <w:szCs w:val="26"/>
    </w:rPr>
  </w:style>
  <w:style w:type="paragraph" w:customStyle="1" w:styleId="TableSideHeading">
    <w:name w:val="Table SideHeading"/>
    <w:basedOn w:val="TableText"/>
    <w:rsid w:val="00294C8B"/>
  </w:style>
  <w:style w:type="paragraph" w:customStyle="1" w:styleId="TableBlock">
    <w:name w:val="Table Block"/>
    <w:basedOn w:val="TableText"/>
    <w:rsid w:val="00294C8B"/>
    <w:pPr>
      <w:ind w:right="0"/>
      <w:jc w:val="both"/>
    </w:pPr>
  </w:style>
  <w:style w:type="paragraph" w:customStyle="1" w:styleId="TableHead">
    <w:name w:val="Table Head"/>
    <w:basedOn w:val="TableText"/>
    <w:rsid w:val="00294C8B"/>
    <w:pPr>
      <w:ind w:right="0"/>
      <w:jc w:val="center"/>
    </w:pPr>
    <w:rPr>
      <w:b/>
      <w:bCs/>
    </w:rPr>
  </w:style>
  <w:style w:type="paragraph" w:customStyle="1" w:styleId="TableInnerSideHeading">
    <w:name w:val="Table InnerSideHeading"/>
    <w:basedOn w:val="TableSideHeading"/>
    <w:rsid w:val="00294C8B"/>
  </w:style>
  <w:style w:type="paragraph" w:customStyle="1" w:styleId="Hesber">
    <w:name w:val="Hesber"/>
    <w:basedOn w:val="a"/>
    <w:rsid w:val="00294C8B"/>
    <w:pPr>
      <w:snapToGrid w:val="0"/>
      <w:spacing w:before="0" w:line="360" w:lineRule="auto"/>
    </w:pPr>
    <w:rPr>
      <w:rFonts w:ascii="Arial" w:eastAsia="Arial Unicode MS" w:hAnsi="Arial" w:cs="David"/>
      <w:snapToGrid w:val="0"/>
      <w:spacing w:val="0"/>
      <w:sz w:val="20"/>
      <w:szCs w:val="26"/>
    </w:rPr>
  </w:style>
  <w:style w:type="paragraph" w:styleId="a4">
    <w:name w:val="footnote text"/>
    <w:basedOn w:val="a"/>
    <w:link w:val="a5"/>
    <w:autoRedefine/>
    <w:semiHidden/>
    <w:rsid w:val="00294C8B"/>
    <w:pPr>
      <w:snapToGrid w:val="0"/>
      <w:spacing w:before="0" w:line="240" w:lineRule="auto"/>
      <w:ind w:left="227" w:hanging="227"/>
      <w:jc w:val="left"/>
    </w:pPr>
    <w:rPr>
      <w:rFonts w:ascii="Arial" w:eastAsia="Arial Unicode MS" w:hAnsi="Arial" w:cs="David"/>
      <w:snapToGrid w:val="0"/>
      <w:spacing w:val="0"/>
      <w:sz w:val="14"/>
      <w:szCs w:val="20"/>
    </w:rPr>
  </w:style>
  <w:style w:type="character" w:styleId="a6">
    <w:name w:val="footnote reference"/>
    <w:aliases w:val="Footnote Reference"/>
    <w:basedOn w:val="a0"/>
    <w:semiHidden/>
    <w:rsid w:val="00294C8B"/>
    <w:rPr>
      <w:vertAlign w:val="superscript"/>
    </w:rPr>
  </w:style>
  <w:style w:type="paragraph" w:customStyle="1" w:styleId="HesberHeading">
    <w:name w:val="Hesber Heading"/>
    <w:basedOn w:val="Hesber"/>
    <w:rsid w:val="00294C8B"/>
    <w:pPr>
      <w:tabs>
        <w:tab w:val="left" w:pos="624"/>
        <w:tab w:val="left" w:pos="1247"/>
      </w:tabs>
      <w:ind w:firstLine="0"/>
    </w:pPr>
    <w:rPr>
      <w:b/>
      <w:bCs/>
    </w:rPr>
  </w:style>
  <w:style w:type="paragraph" w:customStyle="1" w:styleId="HesberWriters">
    <w:name w:val="Hesber Writers"/>
    <w:basedOn w:val="Hesber"/>
    <w:rsid w:val="00294C8B"/>
    <w:pPr>
      <w:spacing w:before="120" w:after="6000"/>
      <w:ind w:left="1418" w:firstLine="0"/>
      <w:jc w:val="right"/>
    </w:pPr>
    <w:rPr>
      <w:b/>
      <w:bCs/>
    </w:rPr>
  </w:style>
  <w:style w:type="paragraph" w:customStyle="1" w:styleId="Hesber1st">
    <w:name w:val="Hesber 1st"/>
    <w:basedOn w:val="Hesber"/>
    <w:rsid w:val="00294C8B"/>
    <w:pPr>
      <w:tabs>
        <w:tab w:val="left" w:pos="680"/>
        <w:tab w:val="left" w:pos="1020"/>
      </w:tabs>
      <w:ind w:firstLine="0"/>
    </w:pPr>
  </w:style>
  <w:style w:type="character" w:styleId="a7">
    <w:name w:val="endnote reference"/>
    <w:basedOn w:val="a0"/>
    <w:semiHidden/>
    <w:rsid w:val="00294C8B"/>
    <w:rPr>
      <w:vertAlign w:val="superscript"/>
    </w:rPr>
  </w:style>
  <w:style w:type="paragraph" w:customStyle="1" w:styleId="TableBlockOutdent">
    <w:name w:val="Table BlockOutdent"/>
    <w:basedOn w:val="TableBlock"/>
    <w:rsid w:val="00294C8B"/>
    <w:pPr>
      <w:ind w:left="624" w:hanging="624"/>
    </w:pPr>
  </w:style>
  <w:style w:type="paragraph" w:styleId="a8">
    <w:name w:val="header"/>
    <w:basedOn w:val="a"/>
    <w:rsid w:val="00294C8B"/>
    <w:pPr>
      <w:tabs>
        <w:tab w:val="center" w:pos="4153"/>
        <w:tab w:val="right" w:pos="8306"/>
      </w:tabs>
    </w:pPr>
  </w:style>
  <w:style w:type="paragraph" w:styleId="a9">
    <w:name w:val="footer"/>
    <w:basedOn w:val="a"/>
    <w:rsid w:val="00294C8B"/>
    <w:pPr>
      <w:tabs>
        <w:tab w:val="center" w:pos="4153"/>
        <w:tab w:val="right" w:pos="8306"/>
      </w:tabs>
    </w:pPr>
  </w:style>
  <w:style w:type="paragraph" w:customStyle="1" w:styleId="HeadDivreiHesber">
    <w:name w:val="Head DivreiHesber"/>
    <w:basedOn w:val="a"/>
    <w:rsid w:val="00294C8B"/>
    <w:pPr>
      <w:snapToGrid w:val="0"/>
      <w:spacing w:before="360" w:after="120" w:line="360" w:lineRule="auto"/>
      <w:ind w:firstLine="0"/>
      <w:jc w:val="center"/>
    </w:pPr>
    <w:rPr>
      <w:rFonts w:ascii="Arial" w:eastAsia="Arial Unicode MS" w:hAnsi="Arial" w:cs="David"/>
      <w:b/>
      <w:snapToGrid w:val="0"/>
      <w:spacing w:val="40"/>
      <w:sz w:val="20"/>
      <w:szCs w:val="26"/>
    </w:rPr>
  </w:style>
  <w:style w:type="character" w:styleId="aa">
    <w:name w:val="page number"/>
    <w:basedOn w:val="a0"/>
    <w:rsid w:val="00294C8B"/>
  </w:style>
  <w:style w:type="paragraph" w:customStyle="1" w:styleId="Cover1-Reshumot">
    <w:name w:val="Cover 1-Reshumot"/>
    <w:basedOn w:val="a"/>
    <w:rsid w:val="00F87C8F"/>
    <w:pPr>
      <w:tabs>
        <w:tab w:val="left" w:pos="1191"/>
        <w:tab w:val="left" w:pos="1587"/>
      </w:tabs>
      <w:snapToGrid w:val="0"/>
      <w:spacing w:before="240" w:after="240" w:line="480" w:lineRule="auto"/>
      <w:ind w:firstLine="0"/>
      <w:jc w:val="center"/>
    </w:pPr>
    <w:rPr>
      <w:rFonts w:ascii="Arial" w:eastAsia="Arial Unicode MS" w:hAnsi="Arial" w:cs="David"/>
      <w:snapToGrid w:val="0"/>
      <w:spacing w:val="0"/>
      <w:sz w:val="20"/>
      <w:szCs w:val="26"/>
    </w:rPr>
  </w:style>
  <w:style w:type="paragraph" w:customStyle="1" w:styleId="Cover2-HatzaotHok">
    <w:name w:val="Cover 2-HatzaotHok"/>
    <w:basedOn w:val="Cover1-Reshumot"/>
    <w:rsid w:val="00F87C8F"/>
    <w:rPr>
      <w:sz w:val="36"/>
      <w:szCs w:val="52"/>
    </w:rPr>
  </w:style>
  <w:style w:type="paragraph" w:customStyle="1" w:styleId="Cover3-Haknesset">
    <w:name w:val="Cover 3-Haknesset"/>
    <w:basedOn w:val="Cover1-Reshumot"/>
    <w:rsid w:val="00F87C8F"/>
    <w:rPr>
      <w:b/>
      <w:bCs/>
      <w:spacing w:val="60"/>
    </w:rPr>
  </w:style>
  <w:style w:type="paragraph" w:customStyle="1" w:styleId="Cover4-Date">
    <w:name w:val="Cover 4-Date"/>
    <w:basedOn w:val="a"/>
    <w:rsid w:val="00F87C8F"/>
    <w:pPr>
      <w:pBdr>
        <w:bottom w:val="single" w:sz="4" w:space="0" w:color="auto"/>
      </w:pBdr>
      <w:tabs>
        <w:tab w:val="center" w:pos="4820"/>
        <w:tab w:val="right" w:pos="9639"/>
      </w:tabs>
      <w:snapToGrid w:val="0"/>
      <w:spacing w:before="240" w:after="240" w:line="360" w:lineRule="auto"/>
      <w:ind w:firstLine="0"/>
      <w:jc w:val="left"/>
    </w:pPr>
    <w:rPr>
      <w:rFonts w:ascii="Arial" w:eastAsia="Arial Unicode MS" w:hAnsi="Arial" w:cs="David"/>
      <w:snapToGrid w:val="0"/>
      <w:spacing w:val="0"/>
      <w:sz w:val="20"/>
      <w:szCs w:val="26"/>
    </w:rPr>
  </w:style>
  <w:style w:type="paragraph" w:customStyle="1" w:styleId="Ragil">
    <w:name w:val="Ragil"/>
    <w:basedOn w:val="a"/>
    <w:rsid w:val="00F87C8F"/>
    <w:pPr>
      <w:snapToGrid w:val="0"/>
      <w:spacing w:before="0" w:line="360" w:lineRule="auto"/>
      <w:jc w:val="left"/>
    </w:pPr>
    <w:rPr>
      <w:rFonts w:ascii="Arial" w:eastAsia="Arial Unicode MS" w:hAnsi="Arial" w:cs="David"/>
      <w:snapToGrid w:val="0"/>
      <w:spacing w:val="0"/>
      <w:sz w:val="20"/>
      <w:szCs w:val="26"/>
    </w:rPr>
  </w:style>
  <w:style w:type="character" w:customStyle="1" w:styleId="a5">
    <w:name w:val="טקסט הערת שוליים תו"/>
    <w:link w:val="a4"/>
    <w:semiHidden/>
    <w:rsid w:val="00013281"/>
    <w:rPr>
      <w:rFonts w:ascii="Arial" w:eastAsia="Arial Unicode MS" w:hAnsi="Arial" w:cs="David"/>
      <w:snapToGrid w:val="0"/>
      <w:color w:val="000000"/>
      <w:sz w:val="14"/>
      <w:lang w:eastAsia="ja-JP"/>
    </w:rPr>
  </w:style>
  <w:style w:type="paragraph" w:customStyle="1" w:styleId="1">
    <w:name w:val="טקסט1"/>
    <w:basedOn w:val="a"/>
    <w:rsid w:val="0026356E"/>
    <w:pPr>
      <w:widowControl/>
      <w:autoSpaceDE/>
      <w:autoSpaceDN/>
      <w:adjustRightInd/>
      <w:spacing w:before="0" w:line="360" w:lineRule="auto"/>
      <w:ind w:firstLine="0"/>
      <w:textAlignment w:val="auto"/>
    </w:pPr>
    <w:rPr>
      <w:rFonts w:ascii="Times New Roman" w:eastAsia="Times New Roman" w:hAnsi="Times New Roman" w:cs="David"/>
      <w:color w:val="auto"/>
      <w:spacing w:val="0"/>
      <w:kern w:val="28"/>
      <w:sz w:val="24"/>
      <w:szCs w:val="24"/>
      <w:lang w:eastAsia="he-IL"/>
    </w:rPr>
  </w:style>
  <w:style w:type="character" w:styleId="ab">
    <w:name w:val="annotation reference"/>
    <w:basedOn w:val="a0"/>
    <w:uiPriority w:val="99"/>
    <w:rsid w:val="0026356E"/>
    <w:rPr>
      <w:sz w:val="16"/>
      <w:szCs w:val="16"/>
    </w:rPr>
  </w:style>
  <w:style w:type="paragraph" w:styleId="ac">
    <w:name w:val="annotation text"/>
    <w:basedOn w:val="a"/>
    <w:link w:val="ad"/>
    <w:rsid w:val="0026356E"/>
    <w:pPr>
      <w:spacing w:line="240" w:lineRule="auto"/>
    </w:pPr>
    <w:rPr>
      <w:sz w:val="20"/>
      <w:szCs w:val="20"/>
    </w:rPr>
  </w:style>
  <w:style w:type="character" w:customStyle="1" w:styleId="ad">
    <w:name w:val="טקסט הערה תו"/>
    <w:basedOn w:val="a0"/>
    <w:link w:val="ac"/>
    <w:rsid w:val="0026356E"/>
    <w:rPr>
      <w:rFonts w:ascii="Hadasa Roso SL" w:hAnsi="Hadasa Roso SL" w:cs="Hadasa Roso SL"/>
      <w:color w:val="000000"/>
      <w:spacing w:val="1"/>
      <w:lang w:eastAsia="ja-JP"/>
    </w:rPr>
  </w:style>
  <w:style w:type="paragraph" w:styleId="ae">
    <w:name w:val="annotation subject"/>
    <w:basedOn w:val="ac"/>
    <w:next w:val="ac"/>
    <w:link w:val="af"/>
    <w:rsid w:val="0026356E"/>
    <w:rPr>
      <w:b/>
      <w:bCs/>
    </w:rPr>
  </w:style>
  <w:style w:type="character" w:customStyle="1" w:styleId="af">
    <w:name w:val="נושא הערה תו"/>
    <w:basedOn w:val="ad"/>
    <w:link w:val="ae"/>
    <w:rsid w:val="0026356E"/>
    <w:rPr>
      <w:rFonts w:ascii="Hadasa Roso SL" w:hAnsi="Hadasa Roso SL" w:cs="Hadasa Roso SL"/>
      <w:b/>
      <w:bCs/>
      <w:color w:val="000000"/>
      <w:spacing w:val="1"/>
      <w:lang w:eastAsia="ja-JP"/>
    </w:rPr>
  </w:style>
  <w:style w:type="paragraph" w:styleId="af0">
    <w:name w:val="Balloon Text"/>
    <w:basedOn w:val="a"/>
    <w:link w:val="af1"/>
    <w:rsid w:val="0026356E"/>
    <w:pPr>
      <w:spacing w:before="0" w:line="240" w:lineRule="auto"/>
    </w:pPr>
    <w:rPr>
      <w:rFonts w:ascii="Tahoma" w:hAnsi="Tahoma" w:cs="Tahoma"/>
      <w:sz w:val="16"/>
      <w:szCs w:val="16"/>
    </w:rPr>
  </w:style>
  <w:style w:type="character" w:customStyle="1" w:styleId="af1">
    <w:name w:val="טקסט בלונים תו"/>
    <w:basedOn w:val="a0"/>
    <w:link w:val="af0"/>
    <w:rsid w:val="0026356E"/>
    <w:rPr>
      <w:rFonts w:ascii="Tahoma" w:hAnsi="Tahoma" w:cs="Tahoma"/>
      <w:color w:val="000000"/>
      <w:spacing w:val="1"/>
      <w:sz w:val="16"/>
      <w:szCs w:val="16"/>
      <w:lang w:eastAsia="ja-JP"/>
    </w:rPr>
  </w:style>
  <w:style w:type="character" w:customStyle="1" w:styleId="default">
    <w:name w:val="default"/>
    <w:rsid w:val="0047143C"/>
    <w:rPr>
      <w:rFonts w:ascii="Times New Roman" w:hAnsi="Times New Roman" w:cs="Times New Roman"/>
      <w:sz w:val="26"/>
      <w:szCs w:val="26"/>
    </w:rPr>
  </w:style>
  <w:style w:type="paragraph" w:customStyle="1" w:styleId="P00">
    <w:name w:val="P00"/>
    <w:rsid w:val="0047143C"/>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rFonts w:eastAsia="Times New Roman"/>
      <w:noProof/>
      <w:szCs w:val="26"/>
      <w:lang w:eastAsia="he-IL"/>
    </w:rPr>
  </w:style>
  <w:style w:type="paragraph" w:styleId="af2">
    <w:name w:val="List Paragraph"/>
    <w:basedOn w:val="a"/>
    <w:uiPriority w:val="34"/>
    <w:qFormat/>
    <w:rsid w:val="00DE6477"/>
    <w:pPr>
      <w:widowControl/>
      <w:autoSpaceDE/>
      <w:autoSpaceDN/>
      <w:adjustRightInd/>
      <w:spacing w:before="0" w:after="200" w:line="276" w:lineRule="auto"/>
      <w:ind w:left="720" w:firstLine="0"/>
      <w:contextualSpacing/>
      <w:jc w:val="left"/>
      <w:textAlignment w:val="auto"/>
    </w:pPr>
    <w:rPr>
      <w:rFonts w:asciiTheme="minorHAnsi" w:eastAsiaTheme="minorHAnsi" w:hAnsiTheme="minorHAnsi" w:cstheme="minorBidi"/>
      <w:color w:val="auto"/>
      <w:spacing w:val="0"/>
      <w:sz w:val="22"/>
      <w:szCs w:val="22"/>
      <w:lang w:eastAsia="en-US"/>
    </w:rPr>
  </w:style>
  <w:style w:type="paragraph" w:customStyle="1" w:styleId="p000">
    <w:name w:val="p00"/>
    <w:basedOn w:val="a"/>
    <w:rsid w:val="00AD73C6"/>
    <w:pPr>
      <w:widowControl/>
      <w:autoSpaceDE/>
      <w:autoSpaceDN/>
      <w:bidi w:val="0"/>
      <w:adjustRightInd/>
      <w:spacing w:before="100" w:beforeAutospacing="1" w:after="100" w:afterAutospacing="1" w:line="240" w:lineRule="auto"/>
      <w:ind w:firstLine="0"/>
      <w:jc w:val="left"/>
      <w:textAlignment w:val="auto"/>
    </w:pPr>
    <w:rPr>
      <w:rFonts w:ascii="Times New Roman" w:eastAsia="Times New Roman" w:hAnsi="Times New Roman" w:cs="Times New Roman"/>
      <w:color w:val="auto"/>
      <w:spacing w:val="0"/>
      <w:sz w:val="24"/>
      <w:szCs w:val="24"/>
      <w:lang w:eastAsia="en-US"/>
    </w:rPr>
  </w:style>
  <w:style w:type="character" w:customStyle="1" w:styleId="big-number">
    <w:name w:val="big-number"/>
    <w:basedOn w:val="a0"/>
    <w:rsid w:val="00AD73C6"/>
  </w:style>
  <w:style w:type="paragraph" w:styleId="af3">
    <w:name w:val="Revision"/>
    <w:hidden/>
    <w:uiPriority w:val="99"/>
    <w:semiHidden/>
    <w:rsid w:val="007631E0"/>
    <w:rPr>
      <w:rFonts w:ascii="Hadasa Roso SL" w:hAnsi="Hadasa Roso SL" w:cs="Hadasa Roso SL"/>
      <w:color w:val="000000"/>
      <w:spacing w:val="1"/>
      <w:sz w:val="17"/>
      <w:szCs w:val="17"/>
      <w:lang w:eastAsia="ja-JP"/>
    </w:rPr>
  </w:style>
  <w:style w:type="paragraph" w:customStyle="1" w:styleId="medium-header">
    <w:name w:val="medium-header"/>
    <w:basedOn w:val="a"/>
    <w:rsid w:val="00822AEB"/>
    <w:pPr>
      <w:widowControl/>
      <w:autoSpaceDE/>
      <w:autoSpaceDN/>
      <w:bidi w:val="0"/>
      <w:adjustRightInd/>
      <w:spacing w:before="100" w:beforeAutospacing="1" w:after="100" w:afterAutospacing="1" w:line="240" w:lineRule="auto"/>
      <w:ind w:firstLine="0"/>
      <w:jc w:val="left"/>
      <w:textAlignment w:val="auto"/>
    </w:pPr>
    <w:rPr>
      <w:rFonts w:ascii="Times New Roman" w:eastAsia="Times New Roman" w:hAnsi="Times New Roman" w:cs="Times New Roman"/>
      <w:color w:val="auto"/>
      <w:spacing w:val="0"/>
      <w:sz w:val="24"/>
      <w:szCs w:val="24"/>
      <w:lang w:eastAsia="en-US"/>
    </w:rPr>
  </w:style>
  <w:style w:type="character" w:customStyle="1" w:styleId="apple-converted-space">
    <w:name w:val="apple-converted-space"/>
    <w:basedOn w:val="a0"/>
    <w:rsid w:val="00304B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he-I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C8B"/>
    <w:pPr>
      <w:widowControl w:val="0"/>
      <w:autoSpaceDE w:val="0"/>
      <w:autoSpaceDN w:val="0"/>
      <w:bidi/>
      <w:adjustRightInd w:val="0"/>
      <w:spacing w:before="102" w:line="204" w:lineRule="atLeast"/>
      <w:ind w:firstLine="340"/>
      <w:jc w:val="both"/>
      <w:textAlignment w:val="center"/>
    </w:pPr>
    <w:rPr>
      <w:rFonts w:ascii="Hadasa Roso SL" w:hAnsi="Hadasa Roso SL" w:cs="Hadasa Roso SL"/>
      <w:color w:val="000000"/>
      <w:spacing w:val="1"/>
      <w:sz w:val="17"/>
      <w:szCs w:val="17"/>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MitparsemetBaze">
    <w:name w:val="Head MitparsemetBaze"/>
    <w:basedOn w:val="a"/>
    <w:rsid w:val="00294C8B"/>
    <w:pPr>
      <w:keepNext/>
      <w:keepLines/>
      <w:pageBreakBefore/>
      <w:snapToGrid w:val="0"/>
      <w:spacing w:before="480" w:line="360" w:lineRule="auto"/>
      <w:ind w:firstLine="0"/>
    </w:pPr>
    <w:rPr>
      <w:rFonts w:ascii="Arial" w:eastAsia="Arial Unicode MS" w:hAnsi="Arial" w:cs="David"/>
      <w:b/>
      <w:bCs/>
      <w:snapToGrid w:val="0"/>
      <w:spacing w:val="0"/>
      <w:sz w:val="20"/>
      <w:szCs w:val="26"/>
    </w:rPr>
  </w:style>
  <w:style w:type="paragraph" w:customStyle="1" w:styleId="HeadHatzaotHok">
    <w:name w:val="Head HatzaotHok"/>
    <w:basedOn w:val="a"/>
    <w:rsid w:val="00294C8B"/>
    <w:pPr>
      <w:keepNext/>
      <w:keepLines/>
      <w:snapToGrid w:val="0"/>
      <w:spacing w:before="240" w:line="360" w:lineRule="auto"/>
      <w:ind w:firstLine="0"/>
      <w:jc w:val="center"/>
    </w:pPr>
    <w:rPr>
      <w:rFonts w:ascii="Arial" w:eastAsia="Arial Unicode MS" w:hAnsi="Arial" w:cs="David"/>
      <w:b/>
      <w:bCs/>
      <w:snapToGrid w:val="0"/>
      <w:spacing w:val="0"/>
      <w:sz w:val="20"/>
      <w:szCs w:val="26"/>
    </w:rPr>
  </w:style>
  <w:style w:type="paragraph" w:customStyle="1" w:styleId="HeadHatzaotHok4Futer">
    <w:name w:val="Head HatzaotHok4Futer"/>
    <w:basedOn w:val="HeadHatzaotHok"/>
    <w:rsid w:val="00294C8B"/>
    <w:pPr>
      <w:spacing w:before="120" w:after="120"/>
    </w:pPr>
    <w:rPr>
      <w:color w:val="FF0000"/>
      <w:w w:val="80"/>
    </w:rPr>
  </w:style>
  <w:style w:type="paragraph" w:styleId="a3">
    <w:name w:val="endnote text"/>
    <w:basedOn w:val="a"/>
    <w:semiHidden/>
    <w:rsid w:val="00294C8B"/>
    <w:pPr>
      <w:ind w:left="227" w:hanging="227"/>
    </w:pPr>
    <w:rPr>
      <w:sz w:val="14"/>
      <w:szCs w:val="22"/>
    </w:rPr>
  </w:style>
  <w:style w:type="paragraph" w:customStyle="1" w:styleId="TableText">
    <w:name w:val="Table Text"/>
    <w:basedOn w:val="a"/>
    <w:rsid w:val="00294C8B"/>
    <w:pPr>
      <w:keepLines/>
      <w:tabs>
        <w:tab w:val="left" w:pos="624"/>
        <w:tab w:val="left" w:pos="1247"/>
      </w:tabs>
      <w:snapToGrid w:val="0"/>
      <w:spacing w:before="0" w:line="360" w:lineRule="auto"/>
      <w:ind w:right="57" w:firstLine="0"/>
      <w:jc w:val="left"/>
    </w:pPr>
    <w:rPr>
      <w:rFonts w:ascii="Arial" w:eastAsia="Arial Unicode MS" w:hAnsi="Arial" w:cs="David"/>
      <w:snapToGrid w:val="0"/>
      <w:spacing w:val="0"/>
      <w:sz w:val="20"/>
      <w:szCs w:val="26"/>
    </w:rPr>
  </w:style>
  <w:style w:type="paragraph" w:customStyle="1" w:styleId="TableSideHeading">
    <w:name w:val="Table SideHeading"/>
    <w:basedOn w:val="TableText"/>
    <w:rsid w:val="00294C8B"/>
  </w:style>
  <w:style w:type="paragraph" w:customStyle="1" w:styleId="TableBlock">
    <w:name w:val="Table Block"/>
    <w:basedOn w:val="TableText"/>
    <w:rsid w:val="00294C8B"/>
    <w:pPr>
      <w:ind w:right="0"/>
      <w:jc w:val="both"/>
    </w:pPr>
  </w:style>
  <w:style w:type="paragraph" w:customStyle="1" w:styleId="TableHead">
    <w:name w:val="Table Head"/>
    <w:basedOn w:val="TableText"/>
    <w:rsid w:val="00294C8B"/>
    <w:pPr>
      <w:ind w:right="0"/>
      <w:jc w:val="center"/>
    </w:pPr>
    <w:rPr>
      <w:b/>
      <w:bCs/>
    </w:rPr>
  </w:style>
  <w:style w:type="paragraph" w:customStyle="1" w:styleId="TableInnerSideHeading">
    <w:name w:val="Table InnerSideHeading"/>
    <w:basedOn w:val="TableSideHeading"/>
    <w:rsid w:val="00294C8B"/>
  </w:style>
  <w:style w:type="paragraph" w:customStyle="1" w:styleId="Hesber">
    <w:name w:val="Hesber"/>
    <w:basedOn w:val="a"/>
    <w:rsid w:val="00294C8B"/>
    <w:pPr>
      <w:snapToGrid w:val="0"/>
      <w:spacing w:before="0" w:line="360" w:lineRule="auto"/>
    </w:pPr>
    <w:rPr>
      <w:rFonts w:ascii="Arial" w:eastAsia="Arial Unicode MS" w:hAnsi="Arial" w:cs="David"/>
      <w:snapToGrid w:val="0"/>
      <w:spacing w:val="0"/>
      <w:sz w:val="20"/>
      <w:szCs w:val="26"/>
    </w:rPr>
  </w:style>
  <w:style w:type="paragraph" w:styleId="a4">
    <w:name w:val="footnote text"/>
    <w:basedOn w:val="a"/>
    <w:link w:val="a5"/>
    <w:autoRedefine/>
    <w:semiHidden/>
    <w:rsid w:val="00294C8B"/>
    <w:pPr>
      <w:snapToGrid w:val="0"/>
      <w:spacing w:before="0" w:line="240" w:lineRule="auto"/>
      <w:ind w:left="227" w:hanging="227"/>
      <w:jc w:val="left"/>
    </w:pPr>
    <w:rPr>
      <w:rFonts w:ascii="Arial" w:eastAsia="Arial Unicode MS" w:hAnsi="Arial" w:cs="David"/>
      <w:snapToGrid w:val="0"/>
      <w:spacing w:val="0"/>
      <w:sz w:val="14"/>
      <w:szCs w:val="20"/>
    </w:rPr>
  </w:style>
  <w:style w:type="character" w:styleId="a6">
    <w:name w:val="footnote reference"/>
    <w:aliases w:val="Footnote Reference"/>
    <w:basedOn w:val="a0"/>
    <w:semiHidden/>
    <w:rsid w:val="00294C8B"/>
    <w:rPr>
      <w:vertAlign w:val="superscript"/>
    </w:rPr>
  </w:style>
  <w:style w:type="paragraph" w:customStyle="1" w:styleId="HesberHeading">
    <w:name w:val="Hesber Heading"/>
    <w:basedOn w:val="Hesber"/>
    <w:rsid w:val="00294C8B"/>
    <w:pPr>
      <w:tabs>
        <w:tab w:val="left" w:pos="624"/>
        <w:tab w:val="left" w:pos="1247"/>
      </w:tabs>
      <w:ind w:firstLine="0"/>
    </w:pPr>
    <w:rPr>
      <w:b/>
      <w:bCs/>
    </w:rPr>
  </w:style>
  <w:style w:type="paragraph" w:customStyle="1" w:styleId="HesberWriters">
    <w:name w:val="Hesber Writers"/>
    <w:basedOn w:val="Hesber"/>
    <w:rsid w:val="00294C8B"/>
    <w:pPr>
      <w:spacing w:before="120" w:after="6000"/>
      <w:ind w:left="1418" w:firstLine="0"/>
      <w:jc w:val="right"/>
    </w:pPr>
    <w:rPr>
      <w:b/>
      <w:bCs/>
    </w:rPr>
  </w:style>
  <w:style w:type="paragraph" w:customStyle="1" w:styleId="Hesber1st">
    <w:name w:val="Hesber 1st"/>
    <w:basedOn w:val="Hesber"/>
    <w:rsid w:val="00294C8B"/>
    <w:pPr>
      <w:tabs>
        <w:tab w:val="left" w:pos="680"/>
        <w:tab w:val="left" w:pos="1020"/>
      </w:tabs>
      <w:ind w:firstLine="0"/>
    </w:pPr>
  </w:style>
  <w:style w:type="character" w:styleId="a7">
    <w:name w:val="endnote reference"/>
    <w:basedOn w:val="a0"/>
    <w:semiHidden/>
    <w:rsid w:val="00294C8B"/>
    <w:rPr>
      <w:vertAlign w:val="superscript"/>
    </w:rPr>
  </w:style>
  <w:style w:type="paragraph" w:customStyle="1" w:styleId="TableBlockOutdent">
    <w:name w:val="Table BlockOutdent"/>
    <w:basedOn w:val="TableBlock"/>
    <w:rsid w:val="00294C8B"/>
    <w:pPr>
      <w:ind w:left="624" w:hanging="624"/>
    </w:pPr>
  </w:style>
  <w:style w:type="paragraph" w:styleId="a8">
    <w:name w:val="header"/>
    <w:basedOn w:val="a"/>
    <w:rsid w:val="00294C8B"/>
    <w:pPr>
      <w:tabs>
        <w:tab w:val="center" w:pos="4153"/>
        <w:tab w:val="right" w:pos="8306"/>
      </w:tabs>
    </w:pPr>
  </w:style>
  <w:style w:type="paragraph" w:styleId="a9">
    <w:name w:val="footer"/>
    <w:basedOn w:val="a"/>
    <w:rsid w:val="00294C8B"/>
    <w:pPr>
      <w:tabs>
        <w:tab w:val="center" w:pos="4153"/>
        <w:tab w:val="right" w:pos="8306"/>
      </w:tabs>
    </w:pPr>
  </w:style>
  <w:style w:type="paragraph" w:customStyle="1" w:styleId="HeadDivreiHesber">
    <w:name w:val="Head DivreiHesber"/>
    <w:basedOn w:val="a"/>
    <w:rsid w:val="00294C8B"/>
    <w:pPr>
      <w:snapToGrid w:val="0"/>
      <w:spacing w:before="360" w:after="120" w:line="360" w:lineRule="auto"/>
      <w:ind w:firstLine="0"/>
      <w:jc w:val="center"/>
    </w:pPr>
    <w:rPr>
      <w:rFonts w:ascii="Arial" w:eastAsia="Arial Unicode MS" w:hAnsi="Arial" w:cs="David"/>
      <w:b/>
      <w:snapToGrid w:val="0"/>
      <w:spacing w:val="40"/>
      <w:sz w:val="20"/>
      <w:szCs w:val="26"/>
    </w:rPr>
  </w:style>
  <w:style w:type="character" w:styleId="aa">
    <w:name w:val="page number"/>
    <w:basedOn w:val="a0"/>
    <w:rsid w:val="00294C8B"/>
  </w:style>
  <w:style w:type="paragraph" w:customStyle="1" w:styleId="Cover1-Reshumot">
    <w:name w:val="Cover 1-Reshumot"/>
    <w:basedOn w:val="a"/>
    <w:rsid w:val="00F87C8F"/>
    <w:pPr>
      <w:tabs>
        <w:tab w:val="left" w:pos="1191"/>
        <w:tab w:val="left" w:pos="1587"/>
      </w:tabs>
      <w:snapToGrid w:val="0"/>
      <w:spacing w:before="240" w:after="240" w:line="480" w:lineRule="auto"/>
      <w:ind w:firstLine="0"/>
      <w:jc w:val="center"/>
    </w:pPr>
    <w:rPr>
      <w:rFonts w:ascii="Arial" w:eastAsia="Arial Unicode MS" w:hAnsi="Arial" w:cs="David"/>
      <w:snapToGrid w:val="0"/>
      <w:spacing w:val="0"/>
      <w:sz w:val="20"/>
      <w:szCs w:val="26"/>
    </w:rPr>
  </w:style>
  <w:style w:type="paragraph" w:customStyle="1" w:styleId="Cover2-HatzaotHok">
    <w:name w:val="Cover 2-HatzaotHok"/>
    <w:basedOn w:val="Cover1-Reshumot"/>
    <w:rsid w:val="00F87C8F"/>
    <w:rPr>
      <w:sz w:val="36"/>
      <w:szCs w:val="52"/>
    </w:rPr>
  </w:style>
  <w:style w:type="paragraph" w:customStyle="1" w:styleId="Cover3-Haknesset">
    <w:name w:val="Cover 3-Haknesset"/>
    <w:basedOn w:val="Cover1-Reshumot"/>
    <w:rsid w:val="00F87C8F"/>
    <w:rPr>
      <w:b/>
      <w:bCs/>
      <w:spacing w:val="60"/>
    </w:rPr>
  </w:style>
  <w:style w:type="paragraph" w:customStyle="1" w:styleId="Cover4-Date">
    <w:name w:val="Cover 4-Date"/>
    <w:basedOn w:val="a"/>
    <w:rsid w:val="00F87C8F"/>
    <w:pPr>
      <w:pBdr>
        <w:bottom w:val="single" w:sz="4" w:space="0" w:color="auto"/>
      </w:pBdr>
      <w:tabs>
        <w:tab w:val="center" w:pos="4820"/>
        <w:tab w:val="right" w:pos="9639"/>
      </w:tabs>
      <w:snapToGrid w:val="0"/>
      <w:spacing w:before="240" w:after="240" w:line="360" w:lineRule="auto"/>
      <w:ind w:firstLine="0"/>
      <w:jc w:val="left"/>
    </w:pPr>
    <w:rPr>
      <w:rFonts w:ascii="Arial" w:eastAsia="Arial Unicode MS" w:hAnsi="Arial" w:cs="David"/>
      <w:snapToGrid w:val="0"/>
      <w:spacing w:val="0"/>
      <w:sz w:val="20"/>
      <w:szCs w:val="26"/>
    </w:rPr>
  </w:style>
  <w:style w:type="paragraph" w:customStyle="1" w:styleId="Ragil">
    <w:name w:val="Ragil"/>
    <w:basedOn w:val="a"/>
    <w:rsid w:val="00F87C8F"/>
    <w:pPr>
      <w:snapToGrid w:val="0"/>
      <w:spacing w:before="0" w:line="360" w:lineRule="auto"/>
      <w:jc w:val="left"/>
    </w:pPr>
    <w:rPr>
      <w:rFonts w:ascii="Arial" w:eastAsia="Arial Unicode MS" w:hAnsi="Arial" w:cs="David"/>
      <w:snapToGrid w:val="0"/>
      <w:spacing w:val="0"/>
      <w:sz w:val="20"/>
      <w:szCs w:val="26"/>
    </w:rPr>
  </w:style>
  <w:style w:type="character" w:customStyle="1" w:styleId="a5">
    <w:name w:val="טקסט הערת שוליים תו"/>
    <w:link w:val="a4"/>
    <w:semiHidden/>
    <w:rsid w:val="00013281"/>
    <w:rPr>
      <w:rFonts w:ascii="Arial" w:eastAsia="Arial Unicode MS" w:hAnsi="Arial" w:cs="David"/>
      <w:snapToGrid w:val="0"/>
      <w:color w:val="000000"/>
      <w:sz w:val="14"/>
      <w:lang w:eastAsia="ja-JP"/>
    </w:rPr>
  </w:style>
  <w:style w:type="paragraph" w:customStyle="1" w:styleId="1">
    <w:name w:val="טקסט1"/>
    <w:basedOn w:val="a"/>
    <w:rsid w:val="0026356E"/>
    <w:pPr>
      <w:widowControl/>
      <w:autoSpaceDE/>
      <w:autoSpaceDN/>
      <w:adjustRightInd/>
      <w:spacing w:before="0" w:line="360" w:lineRule="auto"/>
      <w:ind w:firstLine="0"/>
      <w:textAlignment w:val="auto"/>
    </w:pPr>
    <w:rPr>
      <w:rFonts w:ascii="Times New Roman" w:eastAsia="Times New Roman" w:hAnsi="Times New Roman" w:cs="David"/>
      <w:color w:val="auto"/>
      <w:spacing w:val="0"/>
      <w:kern w:val="28"/>
      <w:sz w:val="24"/>
      <w:szCs w:val="24"/>
      <w:lang w:eastAsia="he-IL"/>
    </w:rPr>
  </w:style>
  <w:style w:type="character" w:styleId="ab">
    <w:name w:val="annotation reference"/>
    <w:basedOn w:val="a0"/>
    <w:uiPriority w:val="99"/>
    <w:rsid w:val="0026356E"/>
    <w:rPr>
      <w:sz w:val="16"/>
      <w:szCs w:val="16"/>
    </w:rPr>
  </w:style>
  <w:style w:type="paragraph" w:styleId="ac">
    <w:name w:val="annotation text"/>
    <w:basedOn w:val="a"/>
    <w:link w:val="ad"/>
    <w:rsid w:val="0026356E"/>
    <w:pPr>
      <w:spacing w:line="240" w:lineRule="auto"/>
    </w:pPr>
    <w:rPr>
      <w:sz w:val="20"/>
      <w:szCs w:val="20"/>
    </w:rPr>
  </w:style>
  <w:style w:type="character" w:customStyle="1" w:styleId="ad">
    <w:name w:val="טקסט הערה תו"/>
    <w:basedOn w:val="a0"/>
    <w:link w:val="ac"/>
    <w:rsid w:val="0026356E"/>
    <w:rPr>
      <w:rFonts w:ascii="Hadasa Roso SL" w:hAnsi="Hadasa Roso SL" w:cs="Hadasa Roso SL"/>
      <w:color w:val="000000"/>
      <w:spacing w:val="1"/>
      <w:lang w:eastAsia="ja-JP"/>
    </w:rPr>
  </w:style>
  <w:style w:type="paragraph" w:styleId="ae">
    <w:name w:val="annotation subject"/>
    <w:basedOn w:val="ac"/>
    <w:next w:val="ac"/>
    <w:link w:val="af"/>
    <w:rsid w:val="0026356E"/>
    <w:rPr>
      <w:b/>
      <w:bCs/>
    </w:rPr>
  </w:style>
  <w:style w:type="character" w:customStyle="1" w:styleId="af">
    <w:name w:val="נושא הערה תו"/>
    <w:basedOn w:val="ad"/>
    <w:link w:val="ae"/>
    <w:rsid w:val="0026356E"/>
    <w:rPr>
      <w:rFonts w:ascii="Hadasa Roso SL" w:hAnsi="Hadasa Roso SL" w:cs="Hadasa Roso SL"/>
      <w:b/>
      <w:bCs/>
      <w:color w:val="000000"/>
      <w:spacing w:val="1"/>
      <w:lang w:eastAsia="ja-JP"/>
    </w:rPr>
  </w:style>
  <w:style w:type="paragraph" w:styleId="af0">
    <w:name w:val="Balloon Text"/>
    <w:basedOn w:val="a"/>
    <w:link w:val="af1"/>
    <w:rsid w:val="0026356E"/>
    <w:pPr>
      <w:spacing w:before="0" w:line="240" w:lineRule="auto"/>
    </w:pPr>
    <w:rPr>
      <w:rFonts w:ascii="Tahoma" w:hAnsi="Tahoma" w:cs="Tahoma"/>
      <w:sz w:val="16"/>
      <w:szCs w:val="16"/>
    </w:rPr>
  </w:style>
  <w:style w:type="character" w:customStyle="1" w:styleId="af1">
    <w:name w:val="טקסט בלונים תו"/>
    <w:basedOn w:val="a0"/>
    <w:link w:val="af0"/>
    <w:rsid w:val="0026356E"/>
    <w:rPr>
      <w:rFonts w:ascii="Tahoma" w:hAnsi="Tahoma" w:cs="Tahoma"/>
      <w:color w:val="000000"/>
      <w:spacing w:val="1"/>
      <w:sz w:val="16"/>
      <w:szCs w:val="16"/>
      <w:lang w:eastAsia="ja-JP"/>
    </w:rPr>
  </w:style>
  <w:style w:type="character" w:customStyle="1" w:styleId="default">
    <w:name w:val="default"/>
    <w:rsid w:val="0047143C"/>
    <w:rPr>
      <w:rFonts w:ascii="Times New Roman" w:hAnsi="Times New Roman" w:cs="Times New Roman"/>
      <w:sz w:val="26"/>
      <w:szCs w:val="26"/>
    </w:rPr>
  </w:style>
  <w:style w:type="paragraph" w:customStyle="1" w:styleId="P00">
    <w:name w:val="P00"/>
    <w:rsid w:val="0047143C"/>
    <w:pPr>
      <w:widowControl w:val="0"/>
      <w:tabs>
        <w:tab w:val="left" w:pos="624"/>
        <w:tab w:val="left" w:pos="1021"/>
        <w:tab w:val="left" w:pos="1474"/>
        <w:tab w:val="left" w:pos="1928"/>
        <w:tab w:val="left" w:pos="2381"/>
        <w:tab w:val="left" w:pos="2835"/>
        <w:tab w:val="right" w:leader="dot" w:pos="6259"/>
      </w:tabs>
      <w:suppressAutoHyphens/>
      <w:autoSpaceDE w:val="0"/>
      <w:autoSpaceDN w:val="0"/>
      <w:bidi/>
      <w:spacing w:before="60"/>
      <w:ind w:left="2835"/>
      <w:jc w:val="both"/>
    </w:pPr>
    <w:rPr>
      <w:rFonts w:eastAsia="Times New Roman"/>
      <w:noProof/>
      <w:szCs w:val="26"/>
      <w:lang w:eastAsia="he-IL"/>
    </w:rPr>
  </w:style>
  <w:style w:type="paragraph" w:styleId="af2">
    <w:name w:val="List Paragraph"/>
    <w:basedOn w:val="a"/>
    <w:uiPriority w:val="34"/>
    <w:qFormat/>
    <w:rsid w:val="00DE6477"/>
    <w:pPr>
      <w:widowControl/>
      <w:autoSpaceDE/>
      <w:autoSpaceDN/>
      <w:adjustRightInd/>
      <w:spacing w:before="0" w:after="200" w:line="276" w:lineRule="auto"/>
      <w:ind w:left="720" w:firstLine="0"/>
      <w:contextualSpacing/>
      <w:jc w:val="left"/>
      <w:textAlignment w:val="auto"/>
    </w:pPr>
    <w:rPr>
      <w:rFonts w:asciiTheme="minorHAnsi" w:eastAsiaTheme="minorHAnsi" w:hAnsiTheme="minorHAnsi" w:cstheme="minorBidi"/>
      <w:color w:val="auto"/>
      <w:spacing w:val="0"/>
      <w:sz w:val="22"/>
      <w:szCs w:val="22"/>
      <w:lang w:eastAsia="en-US"/>
    </w:rPr>
  </w:style>
  <w:style w:type="paragraph" w:customStyle="1" w:styleId="p000">
    <w:name w:val="p00"/>
    <w:basedOn w:val="a"/>
    <w:rsid w:val="00AD73C6"/>
    <w:pPr>
      <w:widowControl/>
      <w:autoSpaceDE/>
      <w:autoSpaceDN/>
      <w:bidi w:val="0"/>
      <w:adjustRightInd/>
      <w:spacing w:before="100" w:beforeAutospacing="1" w:after="100" w:afterAutospacing="1" w:line="240" w:lineRule="auto"/>
      <w:ind w:firstLine="0"/>
      <w:jc w:val="left"/>
      <w:textAlignment w:val="auto"/>
    </w:pPr>
    <w:rPr>
      <w:rFonts w:ascii="Times New Roman" w:eastAsia="Times New Roman" w:hAnsi="Times New Roman" w:cs="Times New Roman"/>
      <w:color w:val="auto"/>
      <w:spacing w:val="0"/>
      <w:sz w:val="24"/>
      <w:szCs w:val="24"/>
      <w:lang w:eastAsia="en-US"/>
    </w:rPr>
  </w:style>
  <w:style w:type="character" w:customStyle="1" w:styleId="big-number">
    <w:name w:val="big-number"/>
    <w:basedOn w:val="a0"/>
    <w:rsid w:val="00AD73C6"/>
  </w:style>
  <w:style w:type="paragraph" w:styleId="af3">
    <w:name w:val="Revision"/>
    <w:hidden/>
    <w:uiPriority w:val="99"/>
    <w:semiHidden/>
    <w:rsid w:val="007631E0"/>
    <w:rPr>
      <w:rFonts w:ascii="Hadasa Roso SL" w:hAnsi="Hadasa Roso SL" w:cs="Hadasa Roso SL"/>
      <w:color w:val="000000"/>
      <w:spacing w:val="1"/>
      <w:sz w:val="17"/>
      <w:szCs w:val="17"/>
      <w:lang w:eastAsia="ja-JP"/>
    </w:rPr>
  </w:style>
  <w:style w:type="paragraph" w:customStyle="1" w:styleId="medium-header">
    <w:name w:val="medium-header"/>
    <w:basedOn w:val="a"/>
    <w:rsid w:val="00822AEB"/>
    <w:pPr>
      <w:widowControl/>
      <w:autoSpaceDE/>
      <w:autoSpaceDN/>
      <w:bidi w:val="0"/>
      <w:adjustRightInd/>
      <w:spacing w:before="100" w:beforeAutospacing="1" w:after="100" w:afterAutospacing="1" w:line="240" w:lineRule="auto"/>
      <w:ind w:firstLine="0"/>
      <w:jc w:val="left"/>
      <w:textAlignment w:val="auto"/>
    </w:pPr>
    <w:rPr>
      <w:rFonts w:ascii="Times New Roman" w:eastAsia="Times New Roman" w:hAnsi="Times New Roman" w:cs="Times New Roman"/>
      <w:color w:val="auto"/>
      <w:spacing w:val="0"/>
      <w:sz w:val="24"/>
      <w:szCs w:val="24"/>
      <w:lang w:eastAsia="en-US"/>
    </w:rPr>
  </w:style>
  <w:style w:type="character" w:customStyle="1" w:styleId="apple-converted-space">
    <w:name w:val="apple-converted-space"/>
    <w:basedOn w:val="a0"/>
    <w:rsid w:val="00304B99"/>
  </w:style>
</w:styles>
</file>

<file path=word/webSettings.xml><?xml version="1.0" encoding="utf-8"?>
<w:webSettings xmlns:r="http://schemas.openxmlformats.org/officeDocument/2006/relationships" xmlns:w="http://schemas.openxmlformats.org/wordprocessingml/2006/main">
  <w:divs>
    <w:div w:id="438376201">
      <w:bodyDiv w:val="1"/>
      <w:marLeft w:val="0"/>
      <w:marRight w:val="0"/>
      <w:marTop w:val="0"/>
      <w:marBottom w:val="0"/>
      <w:divBdr>
        <w:top w:val="none" w:sz="0" w:space="0" w:color="auto"/>
        <w:left w:val="none" w:sz="0" w:space="0" w:color="auto"/>
        <w:bottom w:val="none" w:sz="0" w:space="0" w:color="auto"/>
        <w:right w:val="none" w:sz="0" w:space="0" w:color="auto"/>
      </w:divBdr>
    </w:div>
    <w:div w:id="1120342315">
      <w:bodyDiv w:val="1"/>
      <w:marLeft w:val="0"/>
      <w:marRight w:val="0"/>
      <w:marTop w:val="0"/>
      <w:marBottom w:val="0"/>
      <w:divBdr>
        <w:top w:val="none" w:sz="0" w:space="0" w:color="auto"/>
        <w:left w:val="none" w:sz="0" w:space="0" w:color="auto"/>
        <w:bottom w:val="none" w:sz="0" w:space="0" w:color="auto"/>
        <w:right w:val="none" w:sz="0" w:space="0" w:color="auto"/>
      </w:divBdr>
    </w:div>
    <w:div w:id="1303190019">
      <w:bodyDiv w:val="1"/>
      <w:marLeft w:val="0"/>
      <w:marRight w:val="0"/>
      <w:marTop w:val="0"/>
      <w:marBottom w:val="0"/>
      <w:divBdr>
        <w:top w:val="none" w:sz="0" w:space="0" w:color="auto"/>
        <w:left w:val="none" w:sz="0" w:space="0" w:color="auto"/>
        <w:bottom w:val="none" w:sz="0" w:space="0" w:color="auto"/>
        <w:right w:val="none" w:sz="0" w:space="0" w:color="auto"/>
      </w:divBdr>
    </w:div>
    <w:div w:id="1661276104">
      <w:bodyDiv w:val="1"/>
      <w:marLeft w:val="0"/>
      <w:marRight w:val="0"/>
      <w:marTop w:val="0"/>
      <w:marBottom w:val="0"/>
      <w:divBdr>
        <w:top w:val="none" w:sz="0" w:space="0" w:color="auto"/>
        <w:left w:val="none" w:sz="0" w:space="0" w:color="auto"/>
        <w:bottom w:val="none" w:sz="0" w:space="0" w:color="auto"/>
        <w:right w:val="none" w:sz="0" w:space="0" w:color="auto"/>
      </w:divBdr>
    </w:div>
    <w:div w:id="1778939792">
      <w:bodyDiv w:val="1"/>
      <w:marLeft w:val="0"/>
      <w:marRight w:val="0"/>
      <w:marTop w:val="0"/>
      <w:marBottom w:val="0"/>
      <w:divBdr>
        <w:top w:val="none" w:sz="0" w:space="0" w:color="auto"/>
        <w:left w:val="none" w:sz="0" w:space="0" w:color="auto"/>
        <w:bottom w:val="none" w:sz="0" w:space="0" w:color="auto"/>
        <w:right w:val="none" w:sz="0" w:space="0" w:color="auto"/>
      </w:divBdr>
    </w:div>
    <w:div w:id="1950158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customXml" Target="../customXml/item2.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riSh\AppData\Local\Microsoft\Windows\Temporary%20Internet%20Files\Content.MSO\DAF8E6A6.dot"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RefNumber xmlns="d2589617-2f74-4077-aee7-f516ed639388">44811</RefNumb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מסמך" ma:contentTypeID="0x010100161B5BAE19C0A94ABF7F052772C71F14" ma:contentTypeVersion="1" ma:contentTypeDescription="צור מסמך חדש." ma:contentTypeScope="" ma:versionID="4c4e7c02a57e54f45d23c2b2cc14d8d5">
  <xsd:schema xmlns:xsd="http://www.w3.org/2001/XMLSchema" xmlns:p="http://schemas.microsoft.com/office/2006/metadata/properties" xmlns:ns2="d2589617-2f74-4077-aee7-f516ed639388" targetNamespace="http://schemas.microsoft.com/office/2006/metadata/properties" ma:root="true" ma:fieldsID="07cad186b484ecc037a0bd5112bdf38e" ns2:_="">
    <xsd:import namespace="d2589617-2f74-4077-aee7-f516ed639388"/>
    <xsd:element name="properties">
      <xsd:complexType>
        <xsd:sequence>
          <xsd:element name="documentManagement">
            <xsd:complexType>
              <xsd:all>
                <xsd:element ref="ns2:RefNumber" minOccurs="0"/>
              </xsd:all>
            </xsd:complexType>
          </xsd:element>
        </xsd:sequence>
      </xsd:complexType>
    </xsd:element>
  </xsd:schema>
  <xsd:schema xmlns:xsd="http://www.w3.org/2001/XMLSchema" xmlns:dms="http://schemas.microsoft.com/office/2006/documentManagement/types" targetNamespace="d2589617-2f74-4077-aee7-f516ed639388" elementFormDefault="qualified">
    <xsd:import namespace="http://schemas.microsoft.com/office/2006/documentManagement/types"/>
    <xsd:element name="RefNumber" ma:index="8" nillable="true" ma:displayName="RefNumber" ma:description="מס' טופס" ma:internalName="Ref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ma:readOnly="true"/>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FC2FC2-A2D6-4C85-8A0E-3E4EB7DC9FB8}">
  <ds:schemaRefs>
    <ds:schemaRef ds:uri="http://schemas.microsoft.com/office/2006/metadata/properties"/>
    <ds:schemaRef ds:uri="d2589617-2f74-4077-aee7-f516ed639388"/>
  </ds:schemaRefs>
</ds:datastoreItem>
</file>

<file path=customXml/itemProps2.xml><?xml version="1.0" encoding="utf-8"?>
<ds:datastoreItem xmlns:ds="http://schemas.openxmlformats.org/officeDocument/2006/customXml" ds:itemID="{4B0007BC-39D9-440B-A4BA-5A024F5D8433}">
  <ds:schemaRefs>
    <ds:schemaRef ds:uri="http://schemas.microsoft.com/sharepoint/v3/contenttype/forms"/>
  </ds:schemaRefs>
</ds:datastoreItem>
</file>

<file path=customXml/itemProps3.xml><?xml version="1.0" encoding="utf-8"?>
<ds:datastoreItem xmlns:ds="http://schemas.openxmlformats.org/officeDocument/2006/customXml" ds:itemID="{FB8B2BF3-4771-4CE1-B984-731D73AAA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589617-2f74-4077-aee7-f516ed63938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72FE246-38C6-486F-8D55-50444FF2E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DAF8E6A6.dot</Template>
  <TotalTime>7</TotalTime>
  <Pages>13</Pages>
  <Words>4585</Words>
  <Characters>22930</Characters>
  <Application>Microsoft Office Word</Application>
  <DocSecurity>0</DocSecurity>
  <Lines>191</Lines>
  <Paragraphs>54</Paragraphs>
  <ScaleCrop>false</ScaleCrop>
  <HeadingPairs>
    <vt:vector size="2" baseType="variant">
      <vt:variant>
        <vt:lpstr>שם</vt:lpstr>
      </vt:variant>
      <vt:variant>
        <vt:i4>1</vt:i4>
      </vt:variant>
    </vt:vector>
  </HeadingPairs>
  <TitlesOfParts>
    <vt:vector size="1" baseType="lpstr">
      <vt:lpstr>טיוטת תזכיר חוק הכשרות- נוסח סופי.docx</vt:lpstr>
    </vt:vector>
  </TitlesOfParts>
  <Company>MOJ</Company>
  <LinksUpToDate>false</LinksUpToDate>
  <CharactersWithSpaces>27461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טיוטת תזכיר חוק הכשרות- נוסח סופי.docx</dc:title>
  <dc:creator>Shir Mizrahi</dc:creator>
  <cp:lastModifiedBy>Windows User</cp:lastModifiedBy>
  <cp:revision>3</cp:revision>
  <cp:lastPrinted>2018-08-06T06:04:00Z</cp:lastPrinted>
  <dcterms:created xsi:type="dcterms:W3CDTF">2018-12-05T14:56:00Z</dcterms:created>
  <dcterms:modified xsi:type="dcterms:W3CDTF">2019-11-26T10:32:00Z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0x010100161B5BAE19C0A94ABF7F052772C71F14</vt:lpwstr>
  </property>
</Properties>
</file>