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6961A1" w14:textId="77777777" w:rsidR="002C2E29" w:rsidRPr="00E635A2" w:rsidRDefault="004033D8" w:rsidP="00E635A2">
      <w:pPr>
        <w:jc w:val="right"/>
        <w:rPr>
          <w:rFonts w:cs="David"/>
          <w:b/>
          <w:bCs/>
          <w:sz w:val="20"/>
          <w:szCs w:val="20"/>
        </w:rPr>
      </w:pPr>
      <w:r w:rsidRPr="00E635A2">
        <w:rPr>
          <w:rFonts w:cs="David" w:hint="cs"/>
          <w:sz w:val="20"/>
          <w:szCs w:val="20"/>
          <w:rtl/>
        </w:rPr>
        <w:t xml:space="preserve">מספר פנימי: </w:t>
      </w:r>
      <w:bookmarkStart w:id="0" w:name="LGS_Internal_ID"/>
      <w:r>
        <w:rPr>
          <w:rFonts w:cs="David" w:hint="cs"/>
          <w:sz w:val="20"/>
          <w:szCs w:val="20"/>
          <w:rtl/>
        </w:rPr>
        <w:t>2077388</w:t>
      </w:r>
      <w:bookmarkEnd w:id="0"/>
    </w:p>
    <w:p w14:paraId="7F6961A2" w14:textId="53D639AE" w:rsidR="00E13C27" w:rsidRPr="00DB7060" w:rsidRDefault="00E13C27" w:rsidP="00A443CF">
      <w:pPr>
        <w:pStyle w:val="HeadHatzaotHok"/>
        <w:rPr>
          <w:sz w:val="28"/>
          <w:szCs w:val="28"/>
          <w:rtl/>
        </w:rPr>
      </w:pPr>
      <w:r w:rsidRPr="00DB7060">
        <w:rPr>
          <w:rFonts w:hint="cs"/>
          <w:sz w:val="28"/>
          <w:szCs w:val="28"/>
          <w:rtl/>
        </w:rPr>
        <w:t xml:space="preserve">הכנסת </w:t>
      </w:r>
      <w:bookmarkStart w:id="1" w:name="LGS_Knesset_Num"/>
      <w:r>
        <w:rPr>
          <w:rFonts w:hint="cs"/>
          <w:sz w:val="28"/>
          <w:szCs w:val="28"/>
          <w:rtl/>
        </w:rPr>
        <w:t>העשרים</w:t>
      </w:r>
      <w:bookmarkEnd w:id="1"/>
    </w:p>
    <w:p w14:paraId="7F6961A3" w14:textId="77777777" w:rsidR="00E13C27" w:rsidRPr="00F67051" w:rsidRDefault="00E13C27" w:rsidP="00E13C27">
      <w:pPr>
        <w:rPr>
          <w:rFonts w:cs="David"/>
          <w:b/>
          <w:bCs/>
          <w:sz w:val="26"/>
          <w:szCs w:val="26"/>
          <w:rtl/>
        </w:rPr>
      </w:pPr>
    </w:p>
    <w:p w14:paraId="7F6961A6" w14:textId="77777777" w:rsidR="00E13C27" w:rsidRDefault="008F6665" w:rsidP="00930EFE">
      <w:pPr>
        <w:pStyle w:val="David"/>
        <w:spacing w:line="360" w:lineRule="auto"/>
        <w:ind w:left="3544"/>
        <w:rPr>
          <w:b/>
          <w:bCs/>
          <w:rtl/>
        </w:rPr>
      </w:pPr>
      <w:bookmarkStart w:id="2" w:name="LGS_Initiators_List"/>
      <w:r>
        <w:rPr>
          <w:b/>
          <w:bCs/>
          <w:rtl/>
        </w:rPr>
        <w:t>יוזמים:      חברי הכנסת</w:t>
      </w:r>
      <w:bookmarkEnd w:id="2"/>
      <w:r w:rsidR="00B35784" w:rsidRPr="00F67051">
        <w:rPr>
          <w:b/>
          <w:bCs/>
        </w:rPr>
        <w:tab/>
      </w:r>
      <w:bookmarkStart w:id="3" w:name="LGS_PM_Names"/>
      <w:r>
        <w:rPr>
          <w:rFonts w:hint="cs"/>
          <w:b/>
          <w:bCs/>
          <w:rtl/>
        </w:rPr>
        <w:t>קארין אלהרר</w:t>
      </w:r>
      <w:r>
        <w:br/>
      </w:r>
      <w:r>
        <w:rPr>
          <w:rFonts w:hint="cs"/>
          <w:b/>
          <w:bCs/>
          <w:rtl/>
        </w:rPr>
        <w:t xml:space="preserve"> </w:t>
      </w:r>
      <w:r>
        <w:tab/>
      </w:r>
      <w:r>
        <w:tab/>
      </w:r>
      <w:r>
        <w:tab/>
      </w:r>
      <w:r>
        <w:tab/>
      </w:r>
      <w:r>
        <w:rPr>
          <w:rFonts w:hint="cs"/>
          <w:b/>
          <w:bCs/>
          <w:rtl/>
        </w:rPr>
        <w:t>יאיר לפיד</w:t>
      </w:r>
      <w:r>
        <w:br/>
      </w:r>
      <w:r>
        <w:rPr>
          <w:rFonts w:hint="cs"/>
          <w:b/>
          <w:bCs/>
          <w:rtl/>
        </w:rPr>
        <w:t xml:space="preserve"> </w:t>
      </w:r>
      <w:r>
        <w:tab/>
      </w:r>
      <w:r>
        <w:tab/>
      </w:r>
      <w:r>
        <w:tab/>
      </w:r>
      <w:r>
        <w:tab/>
      </w:r>
      <w:r>
        <w:rPr>
          <w:rFonts w:hint="cs"/>
          <w:b/>
          <w:bCs/>
          <w:rtl/>
        </w:rPr>
        <w:t>פנינה תמנו</w:t>
      </w:r>
      <w:r>
        <w:br/>
      </w:r>
      <w:r>
        <w:rPr>
          <w:rFonts w:hint="cs"/>
          <w:b/>
          <w:bCs/>
          <w:rtl/>
        </w:rPr>
        <w:t xml:space="preserve"> </w:t>
      </w:r>
      <w:r>
        <w:tab/>
      </w:r>
      <w:r>
        <w:tab/>
      </w:r>
      <w:r>
        <w:tab/>
      </w:r>
      <w:r>
        <w:tab/>
      </w:r>
      <w:r>
        <w:rPr>
          <w:rFonts w:hint="cs"/>
          <w:b/>
          <w:bCs/>
          <w:rtl/>
        </w:rPr>
        <w:t>אלעזר שטרן</w:t>
      </w:r>
      <w:r>
        <w:br/>
      </w:r>
      <w:r>
        <w:rPr>
          <w:rFonts w:hint="cs"/>
          <w:b/>
          <w:bCs/>
          <w:rtl/>
        </w:rPr>
        <w:t xml:space="preserve"> </w:t>
      </w:r>
      <w:r>
        <w:tab/>
      </w:r>
      <w:r>
        <w:tab/>
      </w:r>
      <w:r>
        <w:tab/>
      </w:r>
      <w:r>
        <w:tab/>
      </w:r>
      <w:r>
        <w:rPr>
          <w:rFonts w:hint="cs"/>
          <w:b/>
          <w:bCs/>
          <w:rtl/>
        </w:rPr>
        <w:t>חיים ילין</w:t>
      </w:r>
      <w:r>
        <w:br/>
      </w:r>
      <w:r>
        <w:rPr>
          <w:rFonts w:hint="cs"/>
          <w:b/>
          <w:bCs/>
          <w:rtl/>
        </w:rPr>
        <w:t xml:space="preserve"> </w:t>
      </w:r>
      <w:r>
        <w:tab/>
      </w:r>
      <w:r>
        <w:tab/>
      </w:r>
      <w:r>
        <w:tab/>
      </w:r>
      <w:r>
        <w:tab/>
      </w:r>
      <w:r>
        <w:rPr>
          <w:rFonts w:hint="cs"/>
          <w:b/>
          <w:bCs/>
          <w:rtl/>
        </w:rPr>
        <w:t>מאיר כהן</w:t>
      </w:r>
      <w:r>
        <w:br/>
      </w:r>
      <w:r>
        <w:rPr>
          <w:rFonts w:hint="cs"/>
          <w:b/>
          <w:bCs/>
          <w:rtl/>
        </w:rPr>
        <w:t xml:space="preserve"> </w:t>
      </w:r>
      <w:r>
        <w:tab/>
      </w:r>
      <w:r>
        <w:tab/>
      </w:r>
      <w:r>
        <w:tab/>
      </w:r>
      <w:r>
        <w:tab/>
      </w:r>
      <w:r>
        <w:rPr>
          <w:rFonts w:hint="cs"/>
          <w:b/>
          <w:bCs/>
          <w:rtl/>
        </w:rPr>
        <w:t>עפר שלח</w:t>
      </w:r>
      <w:r>
        <w:br/>
      </w:r>
      <w:r>
        <w:rPr>
          <w:rFonts w:hint="cs"/>
          <w:b/>
          <w:bCs/>
          <w:rtl/>
        </w:rPr>
        <w:t xml:space="preserve"> </w:t>
      </w:r>
      <w:r>
        <w:tab/>
      </w:r>
      <w:r>
        <w:tab/>
      </w:r>
      <w:r>
        <w:tab/>
      </w:r>
      <w:r>
        <w:tab/>
      </w:r>
      <w:r>
        <w:rPr>
          <w:rFonts w:hint="cs"/>
          <w:b/>
          <w:bCs/>
          <w:rtl/>
        </w:rPr>
        <w:t>מיקי לוי</w:t>
      </w:r>
      <w:r>
        <w:br/>
      </w:r>
      <w:r>
        <w:rPr>
          <w:rFonts w:hint="cs"/>
          <w:b/>
          <w:bCs/>
          <w:rtl/>
        </w:rPr>
        <w:t xml:space="preserve"> </w:t>
      </w:r>
      <w:r>
        <w:tab/>
      </w:r>
      <w:r>
        <w:tab/>
      </w:r>
      <w:r>
        <w:tab/>
      </w:r>
      <w:r>
        <w:tab/>
      </w:r>
      <w:r>
        <w:rPr>
          <w:rFonts w:hint="cs"/>
          <w:b/>
          <w:bCs/>
          <w:rtl/>
        </w:rPr>
        <w:t>יעל גרמן</w:t>
      </w:r>
      <w:r>
        <w:br/>
      </w:r>
      <w:r>
        <w:rPr>
          <w:rFonts w:hint="cs"/>
          <w:b/>
          <w:bCs/>
          <w:rtl/>
        </w:rPr>
        <w:t xml:space="preserve"> </w:t>
      </w:r>
      <w:r>
        <w:tab/>
      </w:r>
      <w:r>
        <w:tab/>
      </w:r>
      <w:r>
        <w:tab/>
      </w:r>
      <w:r>
        <w:tab/>
      </w:r>
      <w:r>
        <w:rPr>
          <w:rFonts w:hint="cs"/>
          <w:b/>
          <w:bCs/>
          <w:rtl/>
        </w:rPr>
        <w:t>יואל רזבוזוב</w:t>
      </w:r>
      <w:r>
        <w:br/>
      </w:r>
      <w:r>
        <w:rPr>
          <w:rFonts w:hint="cs"/>
          <w:b/>
          <w:bCs/>
          <w:rtl/>
        </w:rPr>
        <w:t xml:space="preserve"> </w:t>
      </w:r>
      <w:r>
        <w:tab/>
      </w:r>
      <w:r>
        <w:tab/>
      </w:r>
      <w:r>
        <w:tab/>
      </w:r>
      <w:r>
        <w:tab/>
      </w:r>
      <w:r>
        <w:rPr>
          <w:rFonts w:hint="cs"/>
          <w:b/>
          <w:bCs/>
          <w:rtl/>
        </w:rPr>
        <w:t>מיכל רוזין</w:t>
      </w:r>
      <w:r>
        <w:br/>
      </w:r>
      <w:r>
        <w:rPr>
          <w:rFonts w:hint="cs"/>
          <w:b/>
          <w:bCs/>
          <w:rtl/>
        </w:rPr>
        <w:t xml:space="preserve"> </w:t>
      </w:r>
      <w:r>
        <w:tab/>
      </w:r>
      <w:r>
        <w:tab/>
      </w:r>
      <w:r>
        <w:tab/>
      </w:r>
      <w:r>
        <w:tab/>
      </w:r>
      <w:r>
        <w:rPr>
          <w:rFonts w:hint="cs"/>
          <w:b/>
          <w:bCs/>
          <w:rtl/>
        </w:rPr>
        <w:t>דב חנין</w:t>
      </w:r>
      <w:r>
        <w:br/>
      </w:r>
      <w:r>
        <w:rPr>
          <w:rFonts w:hint="cs"/>
          <w:b/>
          <w:bCs/>
          <w:rtl/>
        </w:rPr>
        <w:t xml:space="preserve"> </w:t>
      </w:r>
      <w:r>
        <w:tab/>
      </w:r>
      <w:r>
        <w:tab/>
      </w:r>
      <w:r>
        <w:tab/>
      </w:r>
      <w:r>
        <w:tab/>
      </w:r>
      <w:r>
        <w:rPr>
          <w:rFonts w:hint="cs"/>
          <w:b/>
          <w:bCs/>
          <w:rtl/>
        </w:rPr>
        <w:t>נחמן שי</w:t>
      </w:r>
      <w:r>
        <w:br/>
      </w:r>
      <w:r>
        <w:rPr>
          <w:rFonts w:hint="cs"/>
          <w:b/>
          <w:bCs/>
          <w:rtl/>
        </w:rPr>
        <w:t xml:space="preserve"> </w:t>
      </w:r>
      <w:r>
        <w:tab/>
      </w:r>
      <w:r>
        <w:tab/>
      </w:r>
      <w:r>
        <w:tab/>
      </w:r>
      <w:r>
        <w:tab/>
      </w:r>
      <w:r>
        <w:rPr>
          <w:rFonts w:hint="cs"/>
          <w:b/>
          <w:bCs/>
          <w:rtl/>
        </w:rPr>
        <w:t>עמר בר-לב</w:t>
      </w:r>
      <w:r>
        <w:br/>
      </w:r>
      <w:r>
        <w:rPr>
          <w:rFonts w:hint="cs"/>
          <w:b/>
          <w:bCs/>
          <w:rtl/>
        </w:rPr>
        <w:t xml:space="preserve"> </w:t>
      </w:r>
      <w:r>
        <w:tab/>
      </w:r>
      <w:r>
        <w:tab/>
      </w:r>
      <w:r>
        <w:tab/>
      </w:r>
      <w:r>
        <w:tab/>
      </w:r>
      <w:r>
        <w:rPr>
          <w:rFonts w:hint="cs"/>
          <w:b/>
          <w:bCs/>
          <w:rtl/>
        </w:rPr>
        <w:t>מרב מיכאלי</w:t>
      </w:r>
      <w:r>
        <w:br/>
      </w:r>
      <w:r>
        <w:rPr>
          <w:rFonts w:hint="cs"/>
          <w:b/>
          <w:bCs/>
          <w:rtl/>
        </w:rPr>
        <w:t xml:space="preserve"> </w:t>
      </w:r>
      <w:r>
        <w:tab/>
      </w:r>
      <w:r>
        <w:tab/>
      </w:r>
      <w:r>
        <w:tab/>
      </w:r>
      <w:r>
        <w:tab/>
      </w:r>
      <w:r>
        <w:rPr>
          <w:rFonts w:hint="cs"/>
          <w:b/>
          <w:bCs/>
          <w:rtl/>
        </w:rPr>
        <w:t>לאה פדידה</w:t>
      </w:r>
      <w:bookmarkEnd w:id="3"/>
    </w:p>
    <w:p w14:paraId="7F6961AA" w14:textId="39F9D96B" w:rsidR="00E13C27" w:rsidRPr="00CF1AA2" w:rsidRDefault="007D585A" w:rsidP="0036422C">
      <w:pPr>
        <w:pStyle w:val="David"/>
        <w:spacing w:before="0" w:line="360" w:lineRule="auto"/>
        <w:ind w:left="3544"/>
        <w:rPr>
          <w:b/>
          <w:bCs/>
          <w:sz w:val="16"/>
          <w:szCs w:val="16"/>
          <w:rtl/>
        </w:rPr>
      </w:pPr>
      <w:bookmarkStart w:id="4" w:name="LGS_Join_List"/>
      <w:r>
        <w:rPr>
          <w:rtl/>
        </w:rPr>
        <w:t xml:space="preserve"> </w:t>
      </w:r>
      <w:bookmarkEnd w:id="4"/>
      <w:r w:rsidR="002200A1" w:rsidRPr="00CF1AA2">
        <w:rPr>
          <w:rFonts w:hint="cs"/>
          <w:rtl/>
        </w:rPr>
        <w:tab/>
      </w:r>
      <w:bookmarkStart w:id="5" w:name="LGS_PM_NamesJoin"/>
      <w:r>
        <w:rPr>
          <w:rFonts w:hint="cs"/>
          <w:rtl/>
        </w:rPr>
        <w:t xml:space="preserve"> </w:t>
      </w:r>
      <w:bookmarkEnd w:id="5"/>
    </w:p>
    <w:p w14:paraId="34DB4103" w14:textId="77777777" w:rsidR="00904591" w:rsidRPr="00904591" w:rsidRDefault="00266D86" w:rsidP="0036422C">
      <w:pPr>
        <w:pStyle w:val="David"/>
        <w:spacing w:before="0" w:line="360" w:lineRule="auto"/>
        <w:ind w:left="3544"/>
        <w:rPr>
          <w:sz w:val="4"/>
          <w:szCs w:val="4"/>
          <w:rtl/>
        </w:rPr>
      </w:pPr>
      <w:r>
        <w:t>____</w:t>
      </w:r>
      <w:r w:rsidR="00E374F2">
        <w:t>__</w:t>
      </w:r>
      <w:r>
        <w:t>________________________________________</w:t>
      </w:r>
      <w:r w:rsidR="00E06736" w:rsidRPr="00E06736">
        <w:tab/>
      </w:r>
      <w:r w:rsidR="00E13C27" w:rsidRPr="00E06736">
        <w:rPr>
          <w:rFonts w:hint="cs"/>
          <w:rtl/>
        </w:rPr>
        <w:tab/>
      </w:r>
      <w:r w:rsidR="00E13C27" w:rsidRPr="00E06736">
        <w:rPr>
          <w:rFonts w:hint="cs"/>
          <w:rtl/>
        </w:rPr>
        <w:tab/>
      </w:r>
      <w:r w:rsidR="00E13C27" w:rsidRPr="00E06736">
        <w:rPr>
          <w:rFonts w:hint="cs"/>
          <w:rtl/>
        </w:rPr>
        <w:tab/>
      </w:r>
      <w:r w:rsidR="00904591">
        <w:t xml:space="preserve">           </w:t>
      </w:r>
    </w:p>
    <w:p w14:paraId="7F6961AB" w14:textId="256138AA" w:rsidR="00E13C27" w:rsidRPr="00E06736" w:rsidRDefault="00904591" w:rsidP="00904591">
      <w:pPr>
        <w:pStyle w:val="David"/>
        <w:spacing w:before="0" w:line="240" w:lineRule="auto"/>
        <w:ind w:left="3544"/>
        <w:rPr>
          <w:rtl/>
        </w:rPr>
      </w:pPr>
      <w:r>
        <w:t xml:space="preserve">                                            </w:t>
      </w:r>
      <w:r w:rsidR="008F1308">
        <w:t xml:space="preserve"> </w:t>
      </w:r>
      <w:bookmarkStart w:id="6" w:name="Private_Number"/>
      <w:r>
        <w:rPr>
          <w:rFonts w:hint="cs"/>
          <w:rtl/>
        </w:rPr>
        <w:t>פ/5993/20</w:t>
      </w:r>
      <w:bookmarkEnd w:id="6"/>
    </w:p>
    <w:p w14:paraId="7F6961AC" w14:textId="77777777" w:rsidR="00E13C27" w:rsidRDefault="00E13C27" w:rsidP="00E13C27">
      <w:pPr>
        <w:spacing w:before="0" w:line="360" w:lineRule="auto"/>
        <w:ind w:left="2880" w:firstLine="720"/>
        <w:rPr>
          <w:rFonts w:cs="David"/>
          <w:sz w:val="26"/>
          <w:szCs w:val="26"/>
          <w:rtl/>
        </w:rPr>
      </w:pPr>
    </w:p>
    <w:p w14:paraId="7F6961AD" w14:textId="2E898F80" w:rsidR="00E13C27" w:rsidRPr="00F67051" w:rsidRDefault="00A443CF" w:rsidP="00573436">
      <w:pPr>
        <w:pStyle w:val="HeadHatzaotHok"/>
        <w:rPr>
          <w:rtl/>
        </w:rPr>
      </w:pPr>
      <w:bookmarkStart w:id="7" w:name="LGS_Subject"/>
      <w:r>
        <w:rPr>
          <w:rFonts w:hint="cs"/>
          <w:rtl/>
        </w:rPr>
        <w:t xml:space="preserve">הצעת חוק יחסי ממון בין בני זוג (תיקון </w:t>
      </w:r>
      <w:r w:rsidR="00573436">
        <w:rPr>
          <w:rFonts w:hint="eastAsia"/>
          <w:rtl/>
        </w:rPr>
        <w:t>–</w:t>
      </w:r>
      <w:r>
        <w:rPr>
          <w:rFonts w:hint="cs"/>
          <w:rtl/>
        </w:rPr>
        <w:t xml:space="preserve"> איסור פגיעה בזכות לאיזון בעת פקיעת נישואין בנסיבות של חוסר נאמנות מינית), התשע"ט</w:t>
      </w:r>
      <w:r w:rsidR="00573436">
        <w:rPr>
          <w:rFonts w:hint="eastAsia"/>
          <w:rtl/>
        </w:rPr>
        <w:t>–</w:t>
      </w:r>
      <w:bookmarkStart w:id="8" w:name="_GoBack"/>
      <w:bookmarkEnd w:id="8"/>
      <w:r>
        <w:rPr>
          <w:rFonts w:hint="cs"/>
          <w:rtl/>
        </w:rPr>
        <w:t xml:space="preserve">2018 </w:t>
      </w:r>
      <w:bookmarkEnd w:id="7"/>
    </w:p>
    <w:p w14:paraId="7F6961AE" w14:textId="77777777" w:rsidR="00E13C27" w:rsidRDefault="00E13C27" w:rsidP="0021633A">
      <w:pPr>
        <w:pStyle w:val="HeadDivreiHesber"/>
        <w:spacing w:before="0" w:after="0"/>
        <w:rPr>
          <w:rtl/>
        </w:rPr>
      </w:pPr>
    </w:p>
    <w:tbl>
      <w:tblPr>
        <w:bidiVisual/>
        <w:tblW w:w="9641" w:type="dxa"/>
        <w:tblLayout w:type="fixed"/>
        <w:tblCellMar>
          <w:top w:w="57" w:type="dxa"/>
          <w:left w:w="0" w:type="dxa"/>
          <w:bottom w:w="57" w:type="dxa"/>
          <w:right w:w="0" w:type="dxa"/>
        </w:tblCellMar>
        <w:tblLook w:val="01E0" w:firstRow="1" w:lastRow="1" w:firstColumn="1" w:lastColumn="1" w:noHBand="0" w:noVBand="0"/>
      </w:tblPr>
      <w:tblGrid>
        <w:gridCol w:w="1871"/>
        <w:gridCol w:w="624"/>
        <w:gridCol w:w="624"/>
        <w:gridCol w:w="6522"/>
      </w:tblGrid>
      <w:tr w:rsidR="00A127A1" w14:paraId="551284D6" w14:textId="77777777" w:rsidTr="00F342C0">
        <w:trPr>
          <w:cantSplit/>
          <w:trHeight w:val="60"/>
        </w:trPr>
        <w:tc>
          <w:tcPr>
            <w:tcW w:w="1871" w:type="dxa"/>
            <w:hideMark/>
          </w:tcPr>
          <w:p w14:paraId="55B94A1C" w14:textId="1A06EE65" w:rsidR="00A127A1" w:rsidRDefault="00A127A1" w:rsidP="0050713B">
            <w:pPr>
              <w:pStyle w:val="TableSideHeading"/>
            </w:pPr>
            <w:r>
              <w:rPr>
                <w:rFonts w:hint="cs"/>
                <w:rtl/>
              </w:rPr>
              <w:t>תיקון סעיף 8</w:t>
            </w:r>
          </w:p>
        </w:tc>
        <w:tc>
          <w:tcPr>
            <w:tcW w:w="624" w:type="dxa"/>
            <w:hideMark/>
          </w:tcPr>
          <w:p w14:paraId="405CE6BE" w14:textId="77777777" w:rsidR="00A127A1" w:rsidRDefault="00A127A1" w:rsidP="00F342C0">
            <w:pPr>
              <w:pStyle w:val="TableText"/>
              <w:rPr>
                <w:rtl/>
              </w:rPr>
            </w:pPr>
            <w:r>
              <w:rPr>
                <w:rFonts w:hint="cs"/>
                <w:rtl/>
              </w:rPr>
              <w:t>1.</w:t>
            </w:r>
          </w:p>
        </w:tc>
        <w:tc>
          <w:tcPr>
            <w:tcW w:w="7146" w:type="dxa"/>
            <w:gridSpan w:val="2"/>
            <w:hideMark/>
          </w:tcPr>
          <w:p w14:paraId="470CE74E" w14:textId="1600CCA7" w:rsidR="00A127A1" w:rsidRDefault="00A127A1" w:rsidP="0016058F">
            <w:pPr>
              <w:pStyle w:val="TableBlock"/>
              <w:rPr>
                <w:rtl/>
              </w:rPr>
            </w:pPr>
            <w:r>
              <w:rPr>
                <w:rFonts w:hint="cs"/>
                <w:rtl/>
              </w:rPr>
              <w:t>בחוק יחסי ממון בין בני זוג, התשל"ג</w:t>
            </w:r>
            <w:r w:rsidR="0016058F">
              <w:rPr>
                <w:rFonts w:hint="eastAsia"/>
                <w:rtl/>
              </w:rPr>
              <w:t>–</w:t>
            </w:r>
            <w:r>
              <w:rPr>
                <w:rFonts w:hint="cs"/>
                <w:rtl/>
              </w:rPr>
              <w:t>1973</w:t>
            </w:r>
            <w:r>
              <w:rPr>
                <w:rStyle w:val="a6"/>
                <w:rtl/>
              </w:rPr>
              <w:footnoteReference w:id="2"/>
            </w:r>
            <w:r w:rsidR="009E1B2E">
              <w:rPr>
                <w:rFonts w:hint="cs"/>
                <w:rtl/>
              </w:rPr>
              <w:t xml:space="preserve">, </w:t>
            </w:r>
            <w:r w:rsidR="0050713B">
              <w:rPr>
                <w:rFonts w:hint="cs"/>
                <w:rtl/>
              </w:rPr>
              <w:t>בסעיף 8</w:t>
            </w:r>
            <w:r w:rsidR="006B5200">
              <w:rPr>
                <w:rFonts w:hint="cs"/>
                <w:rtl/>
              </w:rPr>
              <w:t xml:space="preserve"> </w:t>
            </w:r>
            <w:r w:rsidR="006B5200">
              <w:rPr>
                <w:rtl/>
              </w:rPr>
              <w:t>–</w:t>
            </w:r>
            <w:r w:rsidR="0050713B">
              <w:rPr>
                <w:rFonts w:hint="cs"/>
                <w:rtl/>
              </w:rPr>
              <w:t xml:space="preserve"> </w:t>
            </w:r>
          </w:p>
        </w:tc>
      </w:tr>
      <w:tr w:rsidR="006B5200" w14:paraId="600C328C" w14:textId="77777777" w:rsidTr="00F342C0">
        <w:trPr>
          <w:cantSplit/>
          <w:trHeight w:val="60"/>
        </w:trPr>
        <w:tc>
          <w:tcPr>
            <w:tcW w:w="1871" w:type="dxa"/>
          </w:tcPr>
          <w:p w14:paraId="7E670A2B" w14:textId="77777777" w:rsidR="006B5200" w:rsidRDefault="006B5200" w:rsidP="0050713B">
            <w:pPr>
              <w:pStyle w:val="TableSideHeading"/>
              <w:rPr>
                <w:rtl/>
              </w:rPr>
            </w:pPr>
          </w:p>
        </w:tc>
        <w:tc>
          <w:tcPr>
            <w:tcW w:w="624" w:type="dxa"/>
          </w:tcPr>
          <w:p w14:paraId="51FE061C" w14:textId="77777777" w:rsidR="006B5200" w:rsidRDefault="006B5200" w:rsidP="006B5200">
            <w:pPr>
              <w:pStyle w:val="TableText"/>
              <w:rPr>
                <w:rtl/>
              </w:rPr>
            </w:pPr>
          </w:p>
        </w:tc>
        <w:tc>
          <w:tcPr>
            <w:tcW w:w="7146" w:type="dxa"/>
            <w:gridSpan w:val="2"/>
          </w:tcPr>
          <w:p w14:paraId="193D4EFE" w14:textId="7007BA28" w:rsidR="006B5200" w:rsidRDefault="006B5200" w:rsidP="0016058F">
            <w:pPr>
              <w:pStyle w:val="TableBlock"/>
              <w:rPr>
                <w:rtl/>
              </w:rPr>
            </w:pPr>
            <w:r>
              <w:rPr>
                <w:rFonts w:hint="cs"/>
                <w:rtl/>
              </w:rPr>
              <w:t>(1)</w:t>
            </w:r>
            <w:r>
              <w:rPr>
                <w:rtl/>
              </w:rPr>
              <w:tab/>
            </w:r>
            <w:r>
              <w:rPr>
                <w:rFonts w:hint="cs"/>
                <w:rtl/>
              </w:rPr>
              <w:t>האמור בו י</w:t>
            </w:r>
            <w:r w:rsidR="00F03BB5">
              <w:rPr>
                <w:rFonts w:hint="cs"/>
                <w:rtl/>
              </w:rPr>
              <w:t>סומן "(א)</w:t>
            </w:r>
            <w:r w:rsidR="0016058F">
              <w:rPr>
                <w:rFonts w:hint="cs"/>
                <w:rtl/>
              </w:rPr>
              <w:t>"</w:t>
            </w:r>
            <w:r w:rsidR="00F03BB5">
              <w:rPr>
                <w:rFonts w:hint="cs"/>
                <w:rtl/>
              </w:rPr>
              <w:t>, ו</w:t>
            </w:r>
            <w:r w:rsidR="0016058F">
              <w:rPr>
                <w:rFonts w:hint="cs"/>
                <w:rtl/>
              </w:rPr>
              <w:t xml:space="preserve">בו, </w:t>
            </w:r>
            <w:r w:rsidR="00F03BB5">
              <w:rPr>
                <w:rFonts w:hint="cs"/>
                <w:rtl/>
              </w:rPr>
              <w:t>אחרי פסקה (4) יבוא:</w:t>
            </w:r>
          </w:p>
        </w:tc>
      </w:tr>
      <w:tr w:rsidR="006B5200" w14:paraId="3295781C" w14:textId="77777777">
        <w:trPr>
          <w:cantSplit/>
          <w:trHeight w:val="60"/>
        </w:trPr>
        <w:tc>
          <w:tcPr>
            <w:tcW w:w="1871" w:type="dxa"/>
          </w:tcPr>
          <w:p w14:paraId="6EB46A3C" w14:textId="77777777" w:rsidR="006B5200" w:rsidRDefault="006B5200">
            <w:pPr>
              <w:pStyle w:val="TableSideHeading"/>
            </w:pPr>
          </w:p>
        </w:tc>
        <w:tc>
          <w:tcPr>
            <w:tcW w:w="624" w:type="dxa"/>
          </w:tcPr>
          <w:p w14:paraId="1A5C7B0E" w14:textId="77777777" w:rsidR="006B5200" w:rsidRDefault="006B5200">
            <w:pPr>
              <w:pStyle w:val="TableText"/>
            </w:pPr>
          </w:p>
        </w:tc>
        <w:tc>
          <w:tcPr>
            <w:tcW w:w="624" w:type="dxa"/>
          </w:tcPr>
          <w:p w14:paraId="68E99A48" w14:textId="77777777" w:rsidR="006B5200" w:rsidRDefault="006B5200">
            <w:pPr>
              <w:pStyle w:val="TableText"/>
            </w:pPr>
          </w:p>
        </w:tc>
        <w:tc>
          <w:tcPr>
            <w:tcW w:w="6522" w:type="dxa"/>
          </w:tcPr>
          <w:p w14:paraId="64D09FF5" w14:textId="3493FA3D" w:rsidR="006B5200" w:rsidRDefault="006B5200">
            <w:pPr>
              <w:pStyle w:val="TableBlock"/>
            </w:pPr>
            <w:r>
              <w:rPr>
                <w:rFonts w:hint="cs"/>
                <w:rtl/>
              </w:rPr>
              <w:t>"(5)</w:t>
            </w:r>
            <w:r>
              <w:rPr>
                <w:rtl/>
              </w:rPr>
              <w:tab/>
            </w:r>
            <w:r>
              <w:rPr>
                <w:rFonts w:hint="cs"/>
                <w:rtl/>
              </w:rPr>
              <w:t>לקבוע כי שוויו של נכס מבין הנכסים המפורטים בסעיף 5(א)(1) שהוכחה לגביו כוונת שיתוף יאוזן בין בני הזוג</w:t>
            </w:r>
            <w:r w:rsidR="0016058F">
              <w:rPr>
                <w:rFonts w:hint="cs"/>
                <w:rtl/>
              </w:rPr>
              <w:t>;</w:t>
            </w:r>
            <w:r>
              <w:rPr>
                <w:rFonts w:hint="cs"/>
                <w:rtl/>
              </w:rPr>
              <w:t>";</w:t>
            </w:r>
            <w:r>
              <w:rPr>
                <w:rtl/>
              </w:rPr>
              <w:tab/>
            </w:r>
          </w:p>
        </w:tc>
      </w:tr>
      <w:tr w:rsidR="006B5200" w14:paraId="1AB6B7C3" w14:textId="77777777" w:rsidTr="00F342C0">
        <w:trPr>
          <w:cantSplit/>
          <w:trHeight w:val="60"/>
        </w:trPr>
        <w:tc>
          <w:tcPr>
            <w:tcW w:w="1871" w:type="dxa"/>
          </w:tcPr>
          <w:p w14:paraId="357634C9" w14:textId="77777777" w:rsidR="006B5200" w:rsidRDefault="006B5200" w:rsidP="0050713B">
            <w:pPr>
              <w:pStyle w:val="TableSideHeading"/>
              <w:rPr>
                <w:rtl/>
              </w:rPr>
            </w:pPr>
          </w:p>
        </w:tc>
        <w:tc>
          <w:tcPr>
            <w:tcW w:w="624" w:type="dxa"/>
          </w:tcPr>
          <w:p w14:paraId="12D3D06C" w14:textId="77777777" w:rsidR="006B5200" w:rsidRDefault="006B5200" w:rsidP="006B5200">
            <w:pPr>
              <w:pStyle w:val="TableText"/>
              <w:rPr>
                <w:rtl/>
              </w:rPr>
            </w:pPr>
          </w:p>
        </w:tc>
        <w:tc>
          <w:tcPr>
            <w:tcW w:w="7146" w:type="dxa"/>
            <w:gridSpan w:val="2"/>
          </w:tcPr>
          <w:p w14:paraId="62EF8B0F" w14:textId="06EAA01A" w:rsidR="006B5200" w:rsidRDefault="006B5200" w:rsidP="00F03BB5">
            <w:pPr>
              <w:pStyle w:val="TableBlock"/>
              <w:rPr>
                <w:rtl/>
              </w:rPr>
            </w:pPr>
            <w:r>
              <w:rPr>
                <w:rFonts w:hint="cs"/>
                <w:rtl/>
              </w:rPr>
              <w:t>(</w:t>
            </w:r>
            <w:r w:rsidR="00F03BB5">
              <w:rPr>
                <w:rFonts w:hint="cs"/>
                <w:rtl/>
              </w:rPr>
              <w:t>2</w:t>
            </w:r>
            <w:r>
              <w:rPr>
                <w:rFonts w:hint="cs"/>
                <w:rtl/>
              </w:rPr>
              <w:t>)</w:t>
            </w:r>
            <w:r>
              <w:rPr>
                <w:rtl/>
              </w:rPr>
              <w:tab/>
            </w:r>
            <w:r>
              <w:rPr>
                <w:rFonts w:hint="cs"/>
                <w:rtl/>
              </w:rPr>
              <w:t>אחרי סעיף קטן (א) יבוא:</w:t>
            </w:r>
          </w:p>
        </w:tc>
      </w:tr>
      <w:tr w:rsidR="006B5200" w14:paraId="0723D756" w14:textId="77777777">
        <w:trPr>
          <w:cantSplit/>
          <w:trHeight w:val="60"/>
        </w:trPr>
        <w:tc>
          <w:tcPr>
            <w:tcW w:w="1871" w:type="dxa"/>
          </w:tcPr>
          <w:p w14:paraId="63F7ECD3" w14:textId="77777777" w:rsidR="006B5200" w:rsidRDefault="006B5200">
            <w:pPr>
              <w:pStyle w:val="TableSideHeading"/>
            </w:pPr>
          </w:p>
        </w:tc>
        <w:tc>
          <w:tcPr>
            <w:tcW w:w="624" w:type="dxa"/>
          </w:tcPr>
          <w:p w14:paraId="39453671" w14:textId="77777777" w:rsidR="006B5200" w:rsidRDefault="006B5200">
            <w:pPr>
              <w:pStyle w:val="TableText"/>
            </w:pPr>
          </w:p>
        </w:tc>
        <w:tc>
          <w:tcPr>
            <w:tcW w:w="624" w:type="dxa"/>
          </w:tcPr>
          <w:p w14:paraId="2F465416" w14:textId="77777777" w:rsidR="006B5200" w:rsidRDefault="006B5200">
            <w:pPr>
              <w:pStyle w:val="TableText"/>
            </w:pPr>
          </w:p>
        </w:tc>
        <w:tc>
          <w:tcPr>
            <w:tcW w:w="6522" w:type="dxa"/>
          </w:tcPr>
          <w:p w14:paraId="38148AF6" w14:textId="36C16645" w:rsidR="006B5200" w:rsidRDefault="006B5200" w:rsidP="006B5200">
            <w:pPr>
              <w:pStyle w:val="TableBlock"/>
            </w:pPr>
            <w:r>
              <w:rPr>
                <w:rFonts w:hint="cs"/>
                <w:rtl/>
              </w:rPr>
              <w:t>"(ב)</w:t>
            </w:r>
            <w:r>
              <w:rPr>
                <w:rtl/>
              </w:rPr>
              <w:tab/>
            </w:r>
            <w:r>
              <w:rPr>
                <w:rFonts w:hint="cs"/>
                <w:rtl/>
              </w:rPr>
              <w:t>לא יראו בחוסר נאמנות מינית בין בני זוג נסיבה המצדיקה שינוי באיזון המשאבים כאמור בסעיף קטן (א)</w:t>
            </w:r>
            <w:r w:rsidR="0016058F">
              <w:rPr>
                <w:rFonts w:hint="cs"/>
                <w:rtl/>
              </w:rPr>
              <w:t>.</w:t>
            </w:r>
            <w:r>
              <w:rPr>
                <w:rFonts w:hint="cs"/>
                <w:rtl/>
              </w:rPr>
              <w:t>".</w:t>
            </w:r>
          </w:p>
        </w:tc>
      </w:tr>
    </w:tbl>
    <w:p w14:paraId="7F6961CA" w14:textId="77777777" w:rsidR="002D1EE3" w:rsidRDefault="002D1EE3" w:rsidP="002D1EE3">
      <w:pPr>
        <w:pStyle w:val="HeadDivreiHesber"/>
        <w:rPr>
          <w:rtl/>
        </w:rPr>
      </w:pPr>
      <w:r w:rsidRPr="0027450A">
        <w:rPr>
          <w:rFonts w:hint="cs"/>
          <w:rtl/>
        </w:rPr>
        <w:t>דברי הסבר</w:t>
      </w:r>
    </w:p>
    <w:p w14:paraId="35AEA8C7" w14:textId="44490A66" w:rsidR="00A127A1" w:rsidRDefault="00A127A1" w:rsidP="00F03BB5">
      <w:pPr>
        <w:pStyle w:val="Hesber"/>
        <w:rPr>
          <w:rtl/>
        </w:rPr>
      </w:pPr>
      <w:r>
        <w:rPr>
          <w:rFonts w:hint="cs"/>
          <w:rtl/>
        </w:rPr>
        <w:t>בשנת 1994 נפסקה בבג"ץ הלכת בבל</w:t>
      </w:r>
      <w:r w:rsidR="006E7794">
        <w:rPr>
          <w:rFonts w:hint="cs"/>
          <w:rtl/>
        </w:rPr>
        <w:t xml:space="preserve">י (בג"ץ 1000/92, </w:t>
      </w:r>
      <w:r w:rsidR="006E7794" w:rsidRPr="00F03BB5">
        <w:rPr>
          <w:rFonts w:hint="cs"/>
          <w:b/>
          <w:bCs/>
          <w:rtl/>
        </w:rPr>
        <w:t>בבלי נ</w:t>
      </w:r>
      <w:r w:rsidR="00F03BB5" w:rsidRPr="00F03BB5">
        <w:rPr>
          <w:rFonts w:hint="cs"/>
          <w:b/>
          <w:bCs/>
          <w:rtl/>
        </w:rPr>
        <w:t>'</w:t>
      </w:r>
      <w:r w:rsidR="006E7794" w:rsidRPr="00F03BB5">
        <w:rPr>
          <w:rFonts w:hint="cs"/>
          <w:b/>
          <w:bCs/>
          <w:rtl/>
        </w:rPr>
        <w:t xml:space="preserve"> בית הדין הרבני הגדול</w:t>
      </w:r>
      <w:r w:rsidR="006E7794">
        <w:rPr>
          <w:rFonts w:hint="cs"/>
          <w:rtl/>
        </w:rPr>
        <w:t xml:space="preserve">) </w:t>
      </w:r>
      <w:r w:rsidR="006B5200">
        <w:rPr>
          <w:rFonts w:hint="cs"/>
          <w:rtl/>
        </w:rPr>
        <w:t xml:space="preserve">שלפיה בתי הדין </w:t>
      </w:r>
      <w:r w:rsidR="00F03BB5">
        <w:rPr>
          <w:rFonts w:hint="cs"/>
          <w:rtl/>
        </w:rPr>
        <w:t xml:space="preserve">הרבניים </w:t>
      </w:r>
      <w:r w:rsidR="006B5200">
        <w:rPr>
          <w:rFonts w:hint="cs"/>
          <w:rtl/>
        </w:rPr>
        <w:t>חייבים לפסוק לפי הדין האזרחי לעניין חלוקת רכוש בין בני זוג.</w:t>
      </w:r>
    </w:p>
    <w:p w14:paraId="088DA0A8" w14:textId="645E36FE" w:rsidR="00A127A1" w:rsidRDefault="006E7794" w:rsidP="00F03BB5">
      <w:pPr>
        <w:pStyle w:val="Hesber"/>
        <w:rPr>
          <w:rtl/>
        </w:rPr>
      </w:pPr>
      <w:r>
        <w:rPr>
          <w:rFonts w:hint="cs"/>
          <w:rtl/>
        </w:rPr>
        <w:t xml:space="preserve">במרוצת </w:t>
      </w:r>
      <w:r w:rsidR="00A909B2">
        <w:rPr>
          <w:rFonts w:hint="cs"/>
          <w:rtl/>
        </w:rPr>
        <w:t xml:space="preserve">השנים, במקרים שונים, </w:t>
      </w:r>
      <w:r w:rsidR="00F03BB5">
        <w:rPr>
          <w:rFonts w:hint="cs"/>
          <w:rtl/>
        </w:rPr>
        <w:t>בית המשפט העליון</w:t>
      </w:r>
      <w:r w:rsidR="00A909B2">
        <w:rPr>
          <w:rFonts w:hint="cs"/>
          <w:rtl/>
        </w:rPr>
        <w:t xml:space="preserve"> עמד על יישומה של הלכה זו.</w:t>
      </w:r>
      <w:r w:rsidR="00B477A9">
        <w:rPr>
          <w:rFonts w:hint="cs"/>
          <w:rtl/>
        </w:rPr>
        <w:t xml:space="preserve"> לדוגמה, בשנת 2008 התקבלה עתירה של</w:t>
      </w:r>
      <w:r w:rsidR="00A127A1" w:rsidRPr="00A9040E">
        <w:rPr>
          <w:rtl/>
        </w:rPr>
        <w:t xml:space="preserve"> א</w:t>
      </w:r>
      <w:r w:rsidR="00A127A1">
        <w:rPr>
          <w:rFonts w:hint="cs"/>
          <w:rtl/>
        </w:rPr>
        <w:t>י</w:t>
      </w:r>
      <w:r w:rsidR="00A127A1">
        <w:rPr>
          <w:rtl/>
        </w:rPr>
        <w:t>שה</w:t>
      </w:r>
      <w:r w:rsidR="00A127A1" w:rsidRPr="00A9040E">
        <w:rPr>
          <w:rtl/>
        </w:rPr>
        <w:t xml:space="preserve"> לביטול החלטת בית הדין הרבני הגדול שקבע שזכויותיו הסוציאליות של הבעל לא יהו</w:t>
      </w:r>
      <w:r w:rsidR="00A127A1">
        <w:rPr>
          <w:rtl/>
        </w:rPr>
        <w:t>ו חלק מהרכוש המשותף בשל בגידתה</w:t>
      </w:r>
      <w:r w:rsidR="00A127A1" w:rsidRPr="00A9040E">
        <w:rPr>
          <w:rtl/>
        </w:rPr>
        <w:t xml:space="preserve">. </w:t>
      </w:r>
      <w:r w:rsidR="00A127A1">
        <w:rPr>
          <w:rFonts w:hint="cs"/>
          <w:rtl/>
        </w:rPr>
        <w:t xml:space="preserve">בפסק הדין ביטל </w:t>
      </w:r>
      <w:r w:rsidR="00F03BB5">
        <w:rPr>
          <w:rFonts w:hint="cs"/>
          <w:rtl/>
        </w:rPr>
        <w:t>בית המשפט העליון</w:t>
      </w:r>
      <w:r w:rsidR="00A127A1" w:rsidRPr="00A9040E">
        <w:rPr>
          <w:rtl/>
        </w:rPr>
        <w:t xml:space="preserve"> את החלטת בית הדין הרבני הגדול וקבע שהזכויות הסוציאליות יהו</w:t>
      </w:r>
      <w:r w:rsidR="00F03BB5">
        <w:rPr>
          <w:rtl/>
        </w:rPr>
        <w:t>ו חלק מהרכוש המשותף של בני הזוג</w:t>
      </w:r>
      <w:r w:rsidR="00A127A1" w:rsidRPr="00A9040E">
        <w:rPr>
          <w:rtl/>
        </w:rPr>
        <w:t xml:space="preserve"> ללא קשר לבגידת הא</w:t>
      </w:r>
      <w:r w:rsidR="00A127A1">
        <w:rPr>
          <w:rFonts w:hint="cs"/>
          <w:rtl/>
        </w:rPr>
        <w:t>י</w:t>
      </w:r>
      <w:r w:rsidR="00A127A1" w:rsidRPr="00A9040E">
        <w:rPr>
          <w:rtl/>
        </w:rPr>
        <w:t>שה</w:t>
      </w:r>
      <w:r w:rsidR="00A127A1">
        <w:rPr>
          <w:rFonts w:hint="cs"/>
          <w:rtl/>
        </w:rPr>
        <w:t>. ב</w:t>
      </w:r>
      <w:r w:rsidR="00F03BB5">
        <w:rPr>
          <w:rFonts w:hint="cs"/>
          <w:rtl/>
        </w:rPr>
        <w:t>ית המשפט</w:t>
      </w:r>
      <w:r w:rsidR="00A127A1">
        <w:rPr>
          <w:rFonts w:hint="cs"/>
          <w:rtl/>
        </w:rPr>
        <w:t xml:space="preserve"> הדגיש בפסיקתו כי:</w:t>
      </w:r>
      <w:r w:rsidR="00A127A1">
        <w:rPr>
          <w:rFonts w:hint="cs"/>
          <w:b/>
          <w:bCs/>
          <w:rtl/>
        </w:rPr>
        <w:t xml:space="preserve"> </w:t>
      </w:r>
      <w:r w:rsidR="00A127A1" w:rsidRPr="00B477A9">
        <w:rPr>
          <w:rFonts w:hint="cs"/>
          <w:rtl/>
        </w:rPr>
        <w:t>"</w:t>
      </w:r>
      <w:r w:rsidR="00A127A1" w:rsidRPr="00B477A9">
        <w:rPr>
          <w:rtl/>
        </w:rPr>
        <w:t xml:space="preserve">הקביעה לפיה אין נענשים על בגידה למפרע </w:t>
      </w:r>
      <w:r w:rsidR="00A909B2" w:rsidRPr="00B477A9">
        <w:rPr>
          <w:rFonts w:hint="cs"/>
          <w:rtl/>
        </w:rPr>
        <w:t>על ידי</w:t>
      </w:r>
      <w:r w:rsidR="00A127A1" w:rsidRPr="00B477A9">
        <w:rPr>
          <w:rtl/>
        </w:rPr>
        <w:t xml:space="preserve"> נטילת הזכויות ברכוש המשותף, כוחה יפה בין אם הרכוש משותף מכוח הלכת השיתוף ובין אם חל עליו הסדר האיזון הקבוע בחוק. לפיכך, נסיבות המקרה אינן מצדיקות סטייה מכלל השוויון באיזון המשאבים</w:t>
      </w:r>
      <w:r w:rsidR="00A127A1" w:rsidRPr="00B477A9">
        <w:rPr>
          <w:rFonts w:hint="cs"/>
          <w:rtl/>
        </w:rPr>
        <w:t>"</w:t>
      </w:r>
      <w:r w:rsidR="00B477A9">
        <w:rPr>
          <w:rFonts w:hint="cs"/>
          <w:b/>
          <w:bCs/>
          <w:rtl/>
        </w:rPr>
        <w:t xml:space="preserve"> </w:t>
      </w:r>
      <w:r w:rsidR="00B477A9">
        <w:rPr>
          <w:rFonts w:hint="cs"/>
          <w:rtl/>
        </w:rPr>
        <w:t>(</w:t>
      </w:r>
      <w:r w:rsidR="00B477A9">
        <w:rPr>
          <w:rtl/>
        </w:rPr>
        <w:t>בג"</w:t>
      </w:r>
      <w:r w:rsidR="00B477A9">
        <w:rPr>
          <w:rFonts w:hint="cs"/>
          <w:rtl/>
        </w:rPr>
        <w:t>ץ</w:t>
      </w:r>
      <w:r w:rsidR="00B477A9" w:rsidRPr="00A9040E">
        <w:rPr>
          <w:rtl/>
        </w:rPr>
        <w:t xml:space="preserve"> 8928/06</w:t>
      </w:r>
      <w:r w:rsidR="00B477A9">
        <w:rPr>
          <w:rFonts w:hint="cs"/>
          <w:rtl/>
        </w:rPr>
        <w:t xml:space="preserve"> </w:t>
      </w:r>
      <w:r w:rsidR="00B477A9" w:rsidRPr="00A477B4">
        <w:rPr>
          <w:b/>
          <w:bCs/>
          <w:rtl/>
        </w:rPr>
        <w:t xml:space="preserve">פלונית </w:t>
      </w:r>
      <w:r w:rsidR="00B477A9" w:rsidRPr="00A477B4">
        <w:rPr>
          <w:rFonts w:hint="cs"/>
          <w:b/>
          <w:bCs/>
          <w:rtl/>
        </w:rPr>
        <w:t>נ'</w:t>
      </w:r>
      <w:r w:rsidR="00B477A9" w:rsidRPr="00A477B4">
        <w:rPr>
          <w:b/>
          <w:bCs/>
          <w:rtl/>
        </w:rPr>
        <w:t xml:space="preserve"> בית הדין הרבני</w:t>
      </w:r>
      <w:r w:rsidR="00B477A9">
        <w:rPr>
          <w:rFonts w:hint="cs"/>
          <w:rtl/>
        </w:rPr>
        <w:t>, עמ' 286</w:t>
      </w:r>
      <w:r w:rsidR="00F03BB5">
        <w:rPr>
          <w:rFonts w:hint="cs"/>
          <w:rtl/>
        </w:rPr>
        <w:t xml:space="preserve"> לפסק הדין</w:t>
      </w:r>
      <w:r w:rsidR="00B477A9">
        <w:rPr>
          <w:rFonts w:hint="cs"/>
          <w:rtl/>
        </w:rPr>
        <w:t>).</w:t>
      </w:r>
    </w:p>
    <w:p w14:paraId="3C58EFA6" w14:textId="26A399A5" w:rsidR="00A127A1" w:rsidRPr="00B477A9" w:rsidRDefault="00A127A1" w:rsidP="00F03BB5">
      <w:pPr>
        <w:pStyle w:val="Hesber"/>
        <w:rPr>
          <w:rtl/>
        </w:rPr>
      </w:pPr>
      <w:r>
        <w:rPr>
          <w:rtl/>
        </w:rPr>
        <w:t xml:space="preserve">כבוד השופט ריבלין </w:t>
      </w:r>
      <w:r w:rsidR="00F03BB5">
        <w:rPr>
          <w:rFonts w:hint="cs"/>
          <w:rtl/>
        </w:rPr>
        <w:t>הבהיר בפסק הדין כי</w:t>
      </w:r>
      <w:r>
        <w:rPr>
          <w:rFonts w:hint="cs"/>
          <w:rtl/>
        </w:rPr>
        <w:t xml:space="preserve"> טענות</w:t>
      </w:r>
      <w:r w:rsidR="00F03BB5">
        <w:rPr>
          <w:rFonts w:hint="cs"/>
          <w:rtl/>
        </w:rPr>
        <w:t xml:space="preserve"> לעניין</w:t>
      </w:r>
      <w:r>
        <w:rPr>
          <w:rFonts w:hint="cs"/>
          <w:rtl/>
        </w:rPr>
        <w:t xml:space="preserve"> לחוסר נאמנות בין בני </w:t>
      </w:r>
      <w:r w:rsidR="006B5200">
        <w:rPr>
          <w:rFonts w:hint="cs"/>
          <w:rtl/>
        </w:rPr>
        <w:t>ז</w:t>
      </w:r>
      <w:r>
        <w:rPr>
          <w:rFonts w:hint="cs"/>
          <w:rtl/>
        </w:rPr>
        <w:t xml:space="preserve">וג </w:t>
      </w:r>
      <w:r w:rsidR="00F03BB5">
        <w:rPr>
          <w:rFonts w:hint="cs"/>
          <w:rtl/>
        </w:rPr>
        <w:t xml:space="preserve">אינן יכולות להקרין על </w:t>
      </w:r>
      <w:r>
        <w:rPr>
          <w:rFonts w:hint="cs"/>
          <w:rtl/>
        </w:rPr>
        <w:t>זכוי</w:t>
      </w:r>
      <w:r w:rsidR="00F03BB5">
        <w:rPr>
          <w:rFonts w:hint="cs"/>
          <w:rtl/>
        </w:rPr>
        <w:t xml:space="preserve">ות </w:t>
      </w:r>
      <w:r>
        <w:rPr>
          <w:rFonts w:hint="cs"/>
          <w:rtl/>
        </w:rPr>
        <w:t>רכושיות הנובעות מפירוק הנישואין</w:t>
      </w:r>
      <w:r w:rsidR="00F03BB5">
        <w:rPr>
          <w:rFonts w:hint="cs"/>
          <w:rtl/>
        </w:rPr>
        <w:t xml:space="preserve"> והסביר כי</w:t>
      </w:r>
      <w:r>
        <w:rPr>
          <w:rFonts w:hint="cs"/>
          <w:rtl/>
        </w:rPr>
        <w:t>:</w:t>
      </w:r>
      <w:r>
        <w:rPr>
          <w:rFonts w:hint="cs"/>
          <w:b/>
          <w:bCs/>
          <w:rtl/>
        </w:rPr>
        <w:t xml:space="preserve"> </w:t>
      </w:r>
      <w:r w:rsidRPr="00B477A9">
        <w:rPr>
          <w:rFonts w:hint="cs"/>
          <w:rtl/>
        </w:rPr>
        <w:t xml:space="preserve">"אין להעניש אדם על חלקו בפירוק היחסים על ידי סנקציות כלכליות במסגרת חלוקת הרכוש בין בני הזוג. </w:t>
      </w:r>
      <w:r w:rsidRPr="00B477A9">
        <w:rPr>
          <w:rtl/>
        </w:rPr>
        <w:t>פירוק התא המשפחתי הוא אירוע קשה וכאוב עד מאד. במקרים מסוימים ניתן לראות באחד מבני הזוג כנושא באחריות גדולה יותר לפירוק היחסים מזו שנושא בה בן הזוג השני. אולם, אין להתמודד עם הקושי שבפירוק, ועם אשמתו של מי מהצדדים, בדרך של פגיעה כלכלית במסגרת חלוקת הרכוש של בני הזוג. יתרה מכך, תכופות יש קושי לדבר בהקשר זה במונחים של "אשמה". פירוק הנישואין הוא תוצאה של נסיבות מורכבות ובגידה כשלעצמה אינה הופכת את אחד מבני הזוג לאשם הבלעדי</w:t>
      </w:r>
      <w:r w:rsidRPr="00B477A9">
        <w:rPr>
          <w:rFonts w:hint="cs"/>
          <w:rtl/>
        </w:rPr>
        <w:t>"</w:t>
      </w:r>
      <w:r w:rsidR="00F03BB5">
        <w:rPr>
          <w:rFonts w:hint="cs"/>
          <w:rtl/>
        </w:rPr>
        <w:t xml:space="preserve"> </w:t>
      </w:r>
      <w:r w:rsidR="00F03BB5" w:rsidRPr="00CA54CC">
        <w:rPr>
          <w:rFonts w:hint="cs"/>
          <w:rtl/>
        </w:rPr>
        <w:t xml:space="preserve">(עמ' </w:t>
      </w:r>
      <w:r w:rsidR="00CA54CC" w:rsidRPr="00CA54CC">
        <w:rPr>
          <w:rFonts w:hint="cs"/>
          <w:rtl/>
        </w:rPr>
        <w:t xml:space="preserve">291 </w:t>
      </w:r>
      <w:r w:rsidR="00F03BB5" w:rsidRPr="00CA54CC">
        <w:rPr>
          <w:rFonts w:hint="cs"/>
          <w:rtl/>
        </w:rPr>
        <w:t>לפסק הדין)</w:t>
      </w:r>
      <w:r w:rsidRPr="00CA54CC">
        <w:rPr>
          <w:rFonts w:hint="cs"/>
          <w:rtl/>
        </w:rPr>
        <w:t>.</w:t>
      </w:r>
    </w:p>
    <w:p w14:paraId="3AEE89FF" w14:textId="7512B5D1" w:rsidR="00A127A1" w:rsidRDefault="00B477A9" w:rsidP="00F03BB5">
      <w:pPr>
        <w:pStyle w:val="Hesber"/>
        <w:rPr>
          <w:rtl/>
        </w:rPr>
      </w:pPr>
      <w:r>
        <w:rPr>
          <w:rFonts w:hint="cs"/>
          <w:rtl/>
        </w:rPr>
        <w:t xml:space="preserve">עם זאת, </w:t>
      </w:r>
      <w:r w:rsidR="00A127A1">
        <w:rPr>
          <w:rFonts w:hint="cs"/>
          <w:rtl/>
        </w:rPr>
        <w:t>לאחרונה, שבה ועלתה סוגיה זו לסדר היום הציבורי, נוכח פסיקת בג"ץ (</w:t>
      </w:r>
      <w:r w:rsidR="005F1CB2">
        <w:rPr>
          <w:rFonts w:hint="cs"/>
          <w:rtl/>
        </w:rPr>
        <w:t xml:space="preserve">בג"ץ 4602/13 </w:t>
      </w:r>
      <w:r w:rsidR="00A127A1" w:rsidRPr="00A477B4">
        <w:rPr>
          <w:rFonts w:hint="cs"/>
          <w:b/>
          <w:bCs/>
          <w:rtl/>
        </w:rPr>
        <w:t>פלונית נ' בית הדין הרבני הגדול</w:t>
      </w:r>
      <w:r w:rsidR="00A127A1">
        <w:rPr>
          <w:rFonts w:hint="cs"/>
          <w:rtl/>
        </w:rPr>
        <w:t xml:space="preserve">) </w:t>
      </w:r>
      <w:r w:rsidR="00671CA1">
        <w:rPr>
          <w:rFonts w:hint="cs"/>
          <w:rtl/>
        </w:rPr>
        <w:t xml:space="preserve">שדחתה </w:t>
      </w:r>
      <w:r w:rsidR="00F03BB5">
        <w:rPr>
          <w:rFonts w:hint="cs"/>
          <w:rtl/>
        </w:rPr>
        <w:t>עתירה</w:t>
      </w:r>
      <w:r w:rsidR="00671CA1">
        <w:rPr>
          <w:rFonts w:hint="cs"/>
          <w:rtl/>
        </w:rPr>
        <w:t xml:space="preserve"> כנגד</w:t>
      </w:r>
      <w:r w:rsidR="00A127A1">
        <w:rPr>
          <w:rFonts w:hint="cs"/>
          <w:rtl/>
        </w:rPr>
        <w:t xml:space="preserve"> </w:t>
      </w:r>
      <w:r w:rsidR="00A127A1" w:rsidRPr="004D6A63">
        <w:rPr>
          <w:rtl/>
        </w:rPr>
        <w:t xml:space="preserve">פסק </w:t>
      </w:r>
      <w:r w:rsidR="00A127A1">
        <w:rPr>
          <w:rFonts w:hint="cs"/>
          <w:rtl/>
        </w:rPr>
        <w:t>ה</w:t>
      </w:r>
      <w:r w:rsidR="00A127A1">
        <w:rPr>
          <w:rtl/>
        </w:rPr>
        <w:t xml:space="preserve">דין של בית הדין הרבני הגדול, </w:t>
      </w:r>
      <w:r w:rsidR="00F03BB5">
        <w:rPr>
          <w:rFonts w:hint="cs"/>
          <w:rtl/>
        </w:rPr>
        <w:t>שקבע ש</w:t>
      </w:r>
      <w:r w:rsidR="006B5200">
        <w:rPr>
          <w:rFonts w:hint="cs"/>
          <w:rtl/>
        </w:rPr>
        <w:t>בגידה של אישה בבעלה היא שיקול רלוונטי השולל כוונת שיתוף בדירת מגורים שבני הזוג גרו ב</w:t>
      </w:r>
      <w:r w:rsidR="00F03BB5">
        <w:rPr>
          <w:rFonts w:hint="cs"/>
          <w:rtl/>
        </w:rPr>
        <w:t>ה</w:t>
      </w:r>
      <w:r w:rsidR="006B5200">
        <w:rPr>
          <w:rFonts w:hint="cs"/>
          <w:rtl/>
        </w:rPr>
        <w:t xml:space="preserve"> שנים רבות. בהתאם לכך נקבע שהאישה אינה בעלת זכויות בנכס ולא תקבל שווי כספי תמורתו.</w:t>
      </w:r>
      <w:r w:rsidR="00A127A1">
        <w:rPr>
          <w:rFonts w:hint="cs"/>
          <w:rtl/>
        </w:rPr>
        <w:t xml:space="preserve"> בפסיקה זו, סבר כבוד השופט עמית בדעת מיעוט, כי יש לקבל את עתירת האישה וכי בית הדין הרבני הגדול נתן משקל יתר לבגידת האישה</w:t>
      </w:r>
      <w:r>
        <w:rPr>
          <w:rFonts w:hint="cs"/>
          <w:rtl/>
        </w:rPr>
        <w:t xml:space="preserve"> ובכך התבסס על עקרונות של המשפט הדתי, ולא על עקרונות של </w:t>
      </w:r>
      <w:r w:rsidRPr="00A477B4">
        <w:rPr>
          <w:rFonts w:hint="cs"/>
          <w:rtl/>
        </w:rPr>
        <w:t xml:space="preserve">המשפט האזרחי </w:t>
      </w:r>
      <w:r w:rsidR="00F03BB5">
        <w:rPr>
          <w:rFonts w:hint="cs"/>
          <w:rtl/>
        </w:rPr>
        <w:t>כמתחייב מפסק הדין בעניין</w:t>
      </w:r>
      <w:r w:rsidRPr="00A477B4">
        <w:rPr>
          <w:rFonts w:hint="cs"/>
          <w:rtl/>
        </w:rPr>
        <w:t xml:space="preserve"> בבלי</w:t>
      </w:r>
      <w:r w:rsidR="00A127A1" w:rsidRPr="00A477B4">
        <w:rPr>
          <w:rFonts w:hint="cs"/>
          <w:rtl/>
        </w:rPr>
        <w:t>. בנימוקיו ציין השופט עמית כי: "</w:t>
      </w:r>
      <w:r w:rsidR="00A127A1" w:rsidRPr="00A477B4">
        <w:rPr>
          <w:rtl/>
        </w:rPr>
        <w:t xml:space="preserve">קריאה של פסק הדין בשלמותו מביאה למסקנה כי מעשה הבגידה של העותרת הוא שהטה את הכף לחובתה. בכך התיימר בית הדין להחיל את הדין הדתי על ענייני רכוש, בניגוד להלכה הפסוקה, ובכך חרג </w:t>
      </w:r>
      <w:r w:rsidR="00A127A1" w:rsidRPr="00CA54CC">
        <w:rPr>
          <w:rtl/>
        </w:rPr>
        <w:t>מסמכותו</w:t>
      </w:r>
      <w:r w:rsidR="00A127A1" w:rsidRPr="00CA54CC">
        <w:rPr>
          <w:rFonts w:hint="cs"/>
          <w:rtl/>
        </w:rPr>
        <w:t>"</w:t>
      </w:r>
      <w:r w:rsidR="00F03BB5" w:rsidRPr="00CA54CC">
        <w:rPr>
          <w:rFonts w:hint="cs"/>
          <w:rtl/>
        </w:rPr>
        <w:t xml:space="preserve"> (פסקה</w:t>
      </w:r>
      <w:r w:rsidR="00CA54CC" w:rsidRPr="00CA54CC">
        <w:rPr>
          <w:rFonts w:hint="cs"/>
          <w:rtl/>
        </w:rPr>
        <w:t xml:space="preserve"> 7</w:t>
      </w:r>
      <w:r w:rsidR="00F03BB5" w:rsidRPr="00CA54CC">
        <w:rPr>
          <w:rFonts w:hint="cs"/>
          <w:rtl/>
        </w:rPr>
        <w:t xml:space="preserve"> לפסק הדין</w:t>
      </w:r>
      <w:r w:rsidR="00CA54CC" w:rsidRPr="00CA54CC">
        <w:rPr>
          <w:rFonts w:hint="cs"/>
          <w:rtl/>
        </w:rPr>
        <w:t xml:space="preserve"> של השופט עמית</w:t>
      </w:r>
      <w:r w:rsidR="00F03BB5" w:rsidRPr="00CA54CC">
        <w:rPr>
          <w:rFonts w:hint="cs"/>
          <w:rtl/>
        </w:rPr>
        <w:t>)</w:t>
      </w:r>
      <w:r w:rsidR="00A127A1" w:rsidRPr="00CA54CC">
        <w:rPr>
          <w:rFonts w:hint="cs"/>
          <w:rtl/>
        </w:rPr>
        <w:t>. השופט עמית הוסיף וציין: "</w:t>
      </w:r>
      <w:r w:rsidR="00A127A1" w:rsidRPr="00CA54CC">
        <w:rPr>
          <w:rtl/>
        </w:rPr>
        <w:t>חברי, השופט שטיין, מבקש לשמור על ניטרליות ביחסו של בית המשפט לנושא זה, ברם, המשמעות המעשית של פסק דינו היא שבכל פעם שבית הדין הרבני ידון בסוגיה של שיתוף ספציפי בנכס, ניתן יהיה להביא את אלמנט הבגידה כראיה להיעדר כוונת שיתוף. מכאן קצרה הדרך לתופעה, שגם חברי מסתייג ממנה, של הבאת ראיות על מעשי בגידה וניאוף של מי מבני הזוג במסגרת סכסוך בענייני רכוש, ואנה אנו באים</w:t>
      </w:r>
      <w:r w:rsidR="00A127A1" w:rsidRPr="00CA54CC">
        <w:rPr>
          <w:rFonts w:hint="cs"/>
          <w:rtl/>
        </w:rPr>
        <w:t>"</w:t>
      </w:r>
      <w:r w:rsidR="00F03BB5" w:rsidRPr="00CA54CC">
        <w:rPr>
          <w:rFonts w:hint="cs"/>
          <w:rtl/>
        </w:rPr>
        <w:t xml:space="preserve"> (פסקה </w:t>
      </w:r>
      <w:r w:rsidR="00CA54CC" w:rsidRPr="00CA54CC">
        <w:rPr>
          <w:rFonts w:hint="cs"/>
          <w:rtl/>
        </w:rPr>
        <w:t xml:space="preserve">18 </w:t>
      </w:r>
      <w:r w:rsidR="00F03BB5" w:rsidRPr="00CA54CC">
        <w:rPr>
          <w:rFonts w:hint="cs"/>
          <w:rtl/>
        </w:rPr>
        <w:t>לפסק הדין</w:t>
      </w:r>
      <w:r w:rsidR="00CA54CC" w:rsidRPr="00CA54CC">
        <w:rPr>
          <w:rFonts w:hint="cs"/>
          <w:rtl/>
        </w:rPr>
        <w:t xml:space="preserve"> של השופט עמית</w:t>
      </w:r>
      <w:r w:rsidR="00F03BB5" w:rsidRPr="00CA54CC">
        <w:rPr>
          <w:rFonts w:hint="cs"/>
          <w:rtl/>
        </w:rPr>
        <w:t>)</w:t>
      </w:r>
      <w:r w:rsidR="00A127A1" w:rsidRPr="00CA54CC">
        <w:rPr>
          <w:rFonts w:hint="cs"/>
          <w:rtl/>
        </w:rPr>
        <w:t>.</w:t>
      </w:r>
    </w:p>
    <w:p w14:paraId="7DBBA0E1" w14:textId="77777777" w:rsidR="006B5200" w:rsidRDefault="00B477A9" w:rsidP="006B5200">
      <w:pPr>
        <w:pStyle w:val="Hesber"/>
        <w:rPr>
          <w:rtl/>
        </w:rPr>
      </w:pPr>
      <w:r>
        <w:rPr>
          <w:rFonts w:hint="cs"/>
          <w:rtl/>
        </w:rPr>
        <w:t>דעת הרוב בפסיקה זו,</w:t>
      </w:r>
      <w:r w:rsidR="00A127A1">
        <w:rPr>
          <w:rFonts w:hint="cs"/>
          <w:rtl/>
        </w:rPr>
        <w:t xml:space="preserve"> מעלה אפו</w:t>
      </w:r>
      <w:r w:rsidR="00E53450">
        <w:rPr>
          <w:rFonts w:hint="cs"/>
          <w:rtl/>
        </w:rPr>
        <w:t>א חשש ממשי לשינוי משפטי מ</w:t>
      </w:r>
      <w:r w:rsidR="006B5200">
        <w:rPr>
          <w:rFonts w:hint="cs"/>
          <w:rtl/>
        </w:rPr>
        <w:t>הותי</w:t>
      </w:r>
      <w:r w:rsidR="00A477B4">
        <w:rPr>
          <w:rFonts w:hint="cs"/>
          <w:rtl/>
        </w:rPr>
        <w:t xml:space="preserve"> שיעגן </w:t>
      </w:r>
      <w:r w:rsidR="00E53450">
        <w:rPr>
          <w:rFonts w:hint="cs"/>
          <w:rtl/>
        </w:rPr>
        <w:t xml:space="preserve">תפיסה </w:t>
      </w:r>
      <w:r w:rsidR="006B5200">
        <w:rPr>
          <w:rFonts w:hint="cs"/>
          <w:rtl/>
        </w:rPr>
        <w:t xml:space="preserve">משפטית </w:t>
      </w:r>
      <w:r w:rsidR="00A127A1">
        <w:rPr>
          <w:rFonts w:hint="cs"/>
          <w:rtl/>
        </w:rPr>
        <w:lastRenderedPageBreak/>
        <w:t>שמרנית-דתית שתאפשר לבתי הד</w:t>
      </w:r>
      <w:r w:rsidR="006B5200">
        <w:rPr>
          <w:rFonts w:hint="cs"/>
          <w:rtl/>
        </w:rPr>
        <w:t>ין הרבניים להמשיך ולהתערב בחלוק</w:t>
      </w:r>
      <w:r w:rsidR="00A127A1">
        <w:rPr>
          <w:rFonts w:hint="cs"/>
          <w:rtl/>
        </w:rPr>
        <w:t>ת רכוש על בסיס הלכות דתיות</w:t>
      </w:r>
      <w:r w:rsidR="009E1B2E">
        <w:rPr>
          <w:rFonts w:hint="cs"/>
          <w:rtl/>
        </w:rPr>
        <w:t xml:space="preserve"> </w:t>
      </w:r>
      <w:r w:rsidR="006B5200">
        <w:rPr>
          <w:rFonts w:hint="cs"/>
          <w:rtl/>
        </w:rPr>
        <w:t>שאין להן</w:t>
      </w:r>
      <w:r w:rsidR="00A127A1">
        <w:rPr>
          <w:rFonts w:hint="cs"/>
          <w:rtl/>
        </w:rPr>
        <w:t xml:space="preserve"> מקום בזירת המשפט המודרנית. לפסיקה זו השפעה מכרעת על יכולתן של נשים להגיש תביעות לגירושין ולקבל את חלקן </w:t>
      </w:r>
      <w:r w:rsidR="006B5200">
        <w:rPr>
          <w:rFonts w:hint="cs"/>
          <w:rtl/>
        </w:rPr>
        <w:t>ברכוש</w:t>
      </w:r>
      <w:r w:rsidR="00A127A1">
        <w:rPr>
          <w:rFonts w:hint="cs"/>
          <w:rtl/>
        </w:rPr>
        <w:t xml:space="preserve"> והיא מהווה פגיעה חמורה בתא המשפחתי כולו, שכן היא עשויה לעודד תרבות של מעקבים בין בני זוג ו</w:t>
      </w:r>
      <w:r w:rsidR="006B5200">
        <w:rPr>
          <w:rFonts w:hint="cs"/>
          <w:rtl/>
        </w:rPr>
        <w:t>חיפוש הוכחות</w:t>
      </w:r>
      <w:r w:rsidR="00A127A1">
        <w:rPr>
          <w:rFonts w:hint="cs"/>
          <w:rtl/>
        </w:rPr>
        <w:t xml:space="preserve"> לבגידה</w:t>
      </w:r>
      <w:r w:rsidR="006B5200">
        <w:rPr>
          <w:rFonts w:hint="cs"/>
          <w:rtl/>
        </w:rPr>
        <w:t>.</w:t>
      </w:r>
    </w:p>
    <w:p w14:paraId="6C30DB8B" w14:textId="1E900930" w:rsidR="00A127A1" w:rsidRDefault="006B5200" w:rsidP="00F03BB5">
      <w:pPr>
        <w:pStyle w:val="Hesber"/>
        <w:rPr>
          <w:rtl/>
        </w:rPr>
      </w:pPr>
      <w:r>
        <w:rPr>
          <w:rFonts w:hint="cs"/>
          <w:rtl/>
        </w:rPr>
        <w:t xml:space="preserve">בעקבות הפסיקה האחרונה, מוצע לתקן את החוק בשני דרכים. ראשית, מוצע לעגן בחקיקה ראשית את הלכת בית המשפט העליון הקובעת כי אם יש כוונת שיתוף בנכס ספציפי שהיה בבעלות אחד בני הזוג טרם נישואיהן שווי הנכס יאוזן בין הצדדים, על אף </w:t>
      </w:r>
      <w:r w:rsidR="00F03BB5">
        <w:rPr>
          <w:rFonts w:hint="cs"/>
          <w:rtl/>
        </w:rPr>
        <w:t>האמור</w:t>
      </w:r>
      <w:r>
        <w:rPr>
          <w:rFonts w:hint="cs"/>
          <w:rtl/>
        </w:rPr>
        <w:t xml:space="preserve"> בסעיף 5(א) לחוק יחסי ממון, התשל"ג</w:t>
      </w:r>
      <w:r>
        <w:rPr>
          <w:rFonts w:hint="eastAsia"/>
          <w:rtl/>
        </w:rPr>
        <w:t>–</w:t>
      </w:r>
      <w:r>
        <w:rPr>
          <w:rFonts w:hint="cs"/>
          <w:rtl/>
        </w:rPr>
        <w:t>1973. חשוב לציין שהפסיקה פיתחה מבחנים שונים להוכחת כוונת שיתוף מעבר לקיומם של חיי נישואין משותפים, ובהם הוכחת "דבר מה נוסף"</w:t>
      </w:r>
      <w:r w:rsidR="00B60973">
        <w:rPr>
          <w:rFonts w:hint="cs"/>
          <w:rtl/>
        </w:rPr>
        <w:t xml:space="preserve"> שיעיד על כוונת שיתוף בנכס הספציפי </w:t>
      </w:r>
      <w:r w:rsidR="00B60973">
        <w:rPr>
          <w:rtl/>
        </w:rPr>
        <w:t>–</w:t>
      </w:r>
      <w:r w:rsidR="00B60973">
        <w:rPr>
          <w:rFonts w:hint="cs"/>
          <w:rtl/>
        </w:rPr>
        <w:t xml:space="preserve"> לדוגמה, השקעה כספית משותפת בנכס.</w:t>
      </w:r>
    </w:p>
    <w:p w14:paraId="29635085" w14:textId="060285D7" w:rsidR="00A127A1" w:rsidRDefault="0016058F" w:rsidP="00F03BB5">
      <w:pPr>
        <w:pStyle w:val="Hesber"/>
        <w:rPr>
          <w:rtl/>
        </w:rPr>
      </w:pPr>
      <w:r>
        <w:rPr>
          <w:rFonts w:hint="cs"/>
          <w:rtl/>
        </w:rPr>
        <w:t>עוד</w:t>
      </w:r>
      <w:r w:rsidR="000E3025">
        <w:rPr>
          <w:rFonts w:hint="cs"/>
          <w:rtl/>
        </w:rPr>
        <w:t xml:space="preserve"> </w:t>
      </w:r>
      <w:r w:rsidR="00B477A9">
        <w:rPr>
          <w:rFonts w:hint="cs"/>
          <w:rtl/>
        </w:rPr>
        <w:t>מוצע</w:t>
      </w:r>
      <w:r w:rsidR="00A127A1">
        <w:rPr>
          <w:rFonts w:hint="cs"/>
          <w:rtl/>
        </w:rPr>
        <w:t xml:space="preserve"> ל</w:t>
      </w:r>
      <w:r w:rsidR="00B477A9">
        <w:rPr>
          <w:rFonts w:hint="cs"/>
          <w:rtl/>
        </w:rPr>
        <w:t>קבוע באופן מפורש ובחקיקה ראשית</w:t>
      </w:r>
      <w:r w:rsidR="00925EA0">
        <w:rPr>
          <w:rFonts w:hint="cs"/>
          <w:rtl/>
        </w:rPr>
        <w:t xml:space="preserve"> </w:t>
      </w:r>
      <w:r w:rsidR="00B477A9">
        <w:rPr>
          <w:rFonts w:hint="cs"/>
          <w:rtl/>
        </w:rPr>
        <w:t>ש</w:t>
      </w:r>
      <w:r w:rsidR="00925EA0">
        <w:rPr>
          <w:rFonts w:hint="cs"/>
          <w:rtl/>
        </w:rPr>
        <w:t xml:space="preserve">בגידה </w:t>
      </w:r>
      <w:r w:rsidR="00F03BB5">
        <w:rPr>
          <w:rFonts w:hint="cs"/>
          <w:rtl/>
        </w:rPr>
        <w:t xml:space="preserve">של בן זוג </w:t>
      </w:r>
      <w:r w:rsidR="00925EA0">
        <w:rPr>
          <w:rFonts w:hint="cs"/>
          <w:rtl/>
        </w:rPr>
        <w:t xml:space="preserve">לא </w:t>
      </w:r>
      <w:r w:rsidR="00D8042D">
        <w:rPr>
          <w:rFonts w:hint="cs"/>
          <w:rtl/>
        </w:rPr>
        <w:t>ת</w:t>
      </w:r>
      <w:r w:rsidR="00925EA0">
        <w:rPr>
          <w:rFonts w:hint="cs"/>
          <w:rtl/>
        </w:rPr>
        <w:t>יכלל</w:t>
      </w:r>
      <w:r w:rsidR="00A127A1">
        <w:rPr>
          <w:rFonts w:hint="cs"/>
          <w:rtl/>
        </w:rPr>
        <w:t xml:space="preserve"> במניין השיקולים </w:t>
      </w:r>
      <w:r w:rsidR="00D8042D">
        <w:rPr>
          <w:rFonts w:hint="cs"/>
          <w:rtl/>
        </w:rPr>
        <w:t>של</w:t>
      </w:r>
      <w:r w:rsidR="00B477A9">
        <w:rPr>
          <w:rFonts w:hint="cs"/>
          <w:rtl/>
        </w:rPr>
        <w:t xml:space="preserve"> בית הדין הרבני או של בית המשפט</w:t>
      </w:r>
      <w:r w:rsidR="00A127A1">
        <w:rPr>
          <w:rFonts w:hint="cs"/>
          <w:rtl/>
        </w:rPr>
        <w:t xml:space="preserve"> בקביעתם חלוקת רכוש בין בני זוג במקרי גירושין</w:t>
      </w:r>
      <w:r w:rsidR="00F03BB5">
        <w:rPr>
          <w:rFonts w:hint="cs"/>
          <w:rtl/>
        </w:rPr>
        <w:t>, אף לא</w:t>
      </w:r>
      <w:r w:rsidR="00A127A1">
        <w:rPr>
          <w:rFonts w:hint="cs"/>
          <w:rtl/>
        </w:rPr>
        <w:t xml:space="preserve"> במסגרת "נסיבות מיוחדות" המאפשרות </w:t>
      </w:r>
      <w:r w:rsidR="00F03BB5">
        <w:rPr>
          <w:rFonts w:hint="cs"/>
          <w:rtl/>
        </w:rPr>
        <w:t>סטייה מהחלוקה הקבועה כברירת מחדל בין בני הזוג.</w:t>
      </w:r>
      <w:r w:rsidR="00A127A1">
        <w:rPr>
          <w:rFonts w:hint="cs"/>
          <w:rtl/>
        </w:rPr>
        <w:t xml:space="preserve"> בכך, תישמר ההפרדה הראויה בין שיקולים דתיים-מוסריים לבין סוגיות משפטיות-אזרחיות </w:t>
      </w:r>
      <w:r w:rsidR="00F03BB5">
        <w:rPr>
          <w:rFonts w:hint="cs"/>
          <w:rtl/>
        </w:rPr>
        <w:t>בנושאי רכוש הנוגעים לגירושין בין בני זוג.</w:t>
      </w:r>
    </w:p>
    <w:p w14:paraId="2FF5DBEB" w14:textId="77777777" w:rsidR="0016058F" w:rsidRDefault="0016058F" w:rsidP="00F03BB5">
      <w:pPr>
        <w:pStyle w:val="Hesber"/>
        <w:rPr>
          <w:rtl/>
        </w:rPr>
      </w:pPr>
    </w:p>
    <w:p w14:paraId="2B86B2E6" w14:textId="77777777" w:rsidR="0016058F" w:rsidRDefault="0016058F" w:rsidP="00F03BB5">
      <w:pPr>
        <w:pStyle w:val="Hesber"/>
        <w:rPr>
          <w:rtl/>
        </w:rPr>
      </w:pPr>
    </w:p>
    <w:p w14:paraId="0EC82876" w14:textId="77777777" w:rsidR="0016058F" w:rsidRPr="00D73212" w:rsidRDefault="0016058F" w:rsidP="0016058F">
      <w:pPr>
        <w:pStyle w:val="Hesber"/>
        <w:rPr>
          <w:color w:val="auto"/>
          <w:rtl/>
          <w:lang w:eastAsia="en-US"/>
        </w:rPr>
      </w:pPr>
      <w:r w:rsidRPr="00D73212">
        <w:rPr>
          <w:color w:val="auto"/>
          <w:rtl/>
          <w:lang w:eastAsia="en-US"/>
        </w:rPr>
        <w:t>---------------------------------</w:t>
      </w:r>
    </w:p>
    <w:p w14:paraId="2FC4EBB1" w14:textId="77777777" w:rsidR="0016058F" w:rsidRPr="00D73212" w:rsidRDefault="0016058F" w:rsidP="0016058F">
      <w:pPr>
        <w:pStyle w:val="Hesber"/>
        <w:rPr>
          <w:color w:val="auto"/>
          <w:rtl/>
          <w:lang w:eastAsia="en-US"/>
        </w:rPr>
      </w:pPr>
      <w:r w:rsidRPr="00D73212">
        <w:rPr>
          <w:rFonts w:hint="cs"/>
          <w:color w:val="auto"/>
          <w:rtl/>
          <w:lang w:eastAsia="en-US"/>
        </w:rPr>
        <w:t>הוגשה</w:t>
      </w:r>
      <w:r w:rsidRPr="00D73212">
        <w:rPr>
          <w:color w:val="auto"/>
          <w:rtl/>
          <w:lang w:eastAsia="en-US"/>
        </w:rPr>
        <w:t xml:space="preserve"> </w:t>
      </w:r>
      <w:r w:rsidRPr="00D73212">
        <w:rPr>
          <w:rFonts w:hint="cs"/>
          <w:color w:val="auto"/>
          <w:rtl/>
          <w:lang w:eastAsia="en-US"/>
        </w:rPr>
        <w:t>ליו</w:t>
      </w:r>
      <w:r w:rsidRPr="00D73212">
        <w:rPr>
          <w:color w:val="auto"/>
          <w:rtl/>
          <w:lang w:eastAsia="en-US"/>
        </w:rPr>
        <w:t>"</w:t>
      </w:r>
      <w:r w:rsidRPr="00D73212">
        <w:rPr>
          <w:rFonts w:hint="cs"/>
          <w:color w:val="auto"/>
          <w:rtl/>
          <w:lang w:eastAsia="en-US"/>
        </w:rPr>
        <w:t>ר</w:t>
      </w:r>
      <w:r w:rsidRPr="00D73212">
        <w:rPr>
          <w:color w:val="auto"/>
          <w:rtl/>
          <w:lang w:eastAsia="en-US"/>
        </w:rPr>
        <w:t xml:space="preserve"> </w:t>
      </w:r>
      <w:r w:rsidRPr="00D73212">
        <w:rPr>
          <w:rFonts w:hint="cs"/>
          <w:color w:val="auto"/>
          <w:rtl/>
          <w:lang w:eastAsia="en-US"/>
        </w:rPr>
        <w:t>הכנסת</w:t>
      </w:r>
      <w:r w:rsidRPr="00D73212">
        <w:rPr>
          <w:color w:val="auto"/>
          <w:rtl/>
          <w:lang w:eastAsia="en-US"/>
        </w:rPr>
        <w:t xml:space="preserve"> </w:t>
      </w:r>
      <w:r w:rsidRPr="00D73212">
        <w:rPr>
          <w:rFonts w:hint="cs"/>
          <w:color w:val="auto"/>
          <w:rtl/>
          <w:lang w:eastAsia="en-US"/>
        </w:rPr>
        <w:t>והסגנים</w:t>
      </w:r>
    </w:p>
    <w:p w14:paraId="3092C150" w14:textId="77777777" w:rsidR="0016058F" w:rsidRPr="00D73212" w:rsidRDefault="0016058F" w:rsidP="0016058F">
      <w:pPr>
        <w:pStyle w:val="Hesber"/>
        <w:rPr>
          <w:color w:val="auto"/>
          <w:rtl/>
          <w:lang w:eastAsia="en-US"/>
        </w:rPr>
      </w:pPr>
      <w:r w:rsidRPr="00D73212">
        <w:rPr>
          <w:rFonts w:hint="cs"/>
          <w:color w:val="auto"/>
          <w:rtl/>
          <w:lang w:eastAsia="en-US"/>
        </w:rPr>
        <w:t>והונחה</w:t>
      </w:r>
      <w:r w:rsidRPr="00D73212">
        <w:rPr>
          <w:color w:val="auto"/>
          <w:rtl/>
          <w:lang w:eastAsia="en-US"/>
        </w:rPr>
        <w:t xml:space="preserve"> </w:t>
      </w:r>
      <w:r w:rsidRPr="00D73212">
        <w:rPr>
          <w:rFonts w:hint="cs"/>
          <w:color w:val="auto"/>
          <w:rtl/>
          <w:lang w:eastAsia="en-US"/>
        </w:rPr>
        <w:t>על</w:t>
      </w:r>
      <w:r w:rsidRPr="00D73212">
        <w:rPr>
          <w:color w:val="auto"/>
          <w:rtl/>
          <w:lang w:eastAsia="en-US"/>
        </w:rPr>
        <w:t xml:space="preserve"> </w:t>
      </w:r>
      <w:r w:rsidRPr="00D73212">
        <w:rPr>
          <w:rFonts w:hint="cs"/>
          <w:color w:val="auto"/>
          <w:rtl/>
          <w:lang w:eastAsia="en-US"/>
        </w:rPr>
        <w:t>שולחן</w:t>
      </w:r>
      <w:r w:rsidRPr="00D73212">
        <w:rPr>
          <w:color w:val="auto"/>
          <w:rtl/>
          <w:lang w:eastAsia="en-US"/>
        </w:rPr>
        <w:t xml:space="preserve"> </w:t>
      </w:r>
      <w:r w:rsidRPr="00D73212">
        <w:rPr>
          <w:rFonts w:hint="cs"/>
          <w:color w:val="auto"/>
          <w:rtl/>
          <w:lang w:eastAsia="en-US"/>
        </w:rPr>
        <w:t>הכנסת</w:t>
      </w:r>
      <w:r w:rsidRPr="00D73212">
        <w:rPr>
          <w:color w:val="auto"/>
          <w:rtl/>
          <w:lang w:eastAsia="en-US"/>
        </w:rPr>
        <w:t xml:space="preserve"> </w:t>
      </w:r>
      <w:r w:rsidRPr="00D73212">
        <w:rPr>
          <w:rFonts w:hint="cs"/>
          <w:color w:val="auto"/>
          <w:rtl/>
          <w:lang w:eastAsia="en-US"/>
        </w:rPr>
        <w:t>ביום</w:t>
      </w:r>
    </w:p>
    <w:p w14:paraId="090EF601" w14:textId="77777777" w:rsidR="0016058F" w:rsidRPr="00317312" w:rsidRDefault="0016058F" w:rsidP="0016058F">
      <w:pPr>
        <w:pStyle w:val="Hesber"/>
      </w:pPr>
      <w:r>
        <w:rPr>
          <w:rFonts w:hint="cs"/>
          <w:color w:val="auto"/>
          <w:rtl/>
          <w:lang w:eastAsia="en-US"/>
        </w:rPr>
        <w:t>ט"ז בטבת</w:t>
      </w:r>
      <w:r w:rsidRPr="00D73212">
        <w:rPr>
          <w:color w:val="auto"/>
          <w:rtl/>
          <w:lang w:eastAsia="en-US"/>
        </w:rPr>
        <w:t xml:space="preserve"> </w:t>
      </w:r>
      <w:r w:rsidRPr="00D73212">
        <w:rPr>
          <w:rFonts w:hint="cs"/>
          <w:color w:val="auto"/>
          <w:rtl/>
          <w:lang w:eastAsia="en-US"/>
        </w:rPr>
        <w:t>התשע</w:t>
      </w:r>
      <w:r w:rsidRPr="00D73212">
        <w:rPr>
          <w:color w:val="auto"/>
          <w:rtl/>
          <w:lang w:eastAsia="en-US"/>
        </w:rPr>
        <w:t>"</w:t>
      </w:r>
      <w:r>
        <w:rPr>
          <w:rFonts w:hint="cs"/>
          <w:color w:val="auto"/>
          <w:rtl/>
          <w:lang w:eastAsia="en-US"/>
        </w:rPr>
        <w:t xml:space="preserve">ט </w:t>
      </w:r>
      <w:r w:rsidRPr="00D73212">
        <w:rPr>
          <w:color w:val="auto"/>
          <w:rtl/>
          <w:lang w:eastAsia="en-US"/>
        </w:rPr>
        <w:t>–</w:t>
      </w:r>
      <w:r>
        <w:rPr>
          <w:rFonts w:hint="cs"/>
          <w:color w:val="auto"/>
          <w:rtl/>
          <w:lang w:eastAsia="en-US"/>
        </w:rPr>
        <w:t xml:space="preserve"> 24.12.18   </w:t>
      </w:r>
    </w:p>
    <w:p w14:paraId="6F1F77B2" w14:textId="77777777" w:rsidR="0016058F" w:rsidRDefault="0016058F" w:rsidP="00F03BB5">
      <w:pPr>
        <w:pStyle w:val="Hesber"/>
        <w:rPr>
          <w:rtl/>
        </w:rPr>
      </w:pPr>
    </w:p>
    <w:p w14:paraId="7F6961CB" w14:textId="77777777" w:rsidR="00E13C27" w:rsidRDefault="00E13C27" w:rsidP="00E13C27">
      <w:pPr>
        <w:pStyle w:val="Hesber"/>
        <w:rPr>
          <w:rtl/>
        </w:rPr>
      </w:pPr>
    </w:p>
    <w:sectPr w:rsidR="00E13C27" w:rsidSect="001207F8">
      <w:footerReference w:type="even" r:id="rId11"/>
      <w:footerReference w:type="default" r:id="rId12"/>
      <w:pgSz w:w="11907" w:h="16840" w:code="9"/>
      <w:pgMar w:top="1134" w:right="1134" w:bottom="1134" w:left="1134" w:header="680" w:footer="680" w:gutter="0"/>
      <w:cols w:space="720"/>
      <w:noEndnote/>
      <w:titlePg/>
      <w:bidi/>
      <w:rtlGutter/>
      <w:docGrid w:linePitch="23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26B4C1" w14:textId="77777777" w:rsidR="00D142D3" w:rsidRDefault="00D142D3">
      <w:r>
        <w:separator/>
      </w:r>
    </w:p>
  </w:endnote>
  <w:endnote w:type="continuationSeparator" w:id="0">
    <w:p w14:paraId="0E546755" w14:textId="77777777" w:rsidR="00D142D3" w:rsidRDefault="00D142D3">
      <w:r>
        <w:continuationSeparator/>
      </w:r>
    </w:p>
  </w:endnote>
  <w:endnote w:type="continuationNotice" w:id="1">
    <w:p w14:paraId="24369900" w14:textId="77777777" w:rsidR="00D142D3" w:rsidRDefault="00D142D3">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Hadasa Roso SL">
    <w:altName w:val="Times New Roman"/>
    <w:charset w:val="00"/>
    <w:family w:val="roman"/>
    <w:pitch w:val="variable"/>
    <w:sig w:usb0="80001827" w:usb1="5000004A" w:usb2="00000020" w:usb3="00000000" w:csb0="00000021"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avid">
    <w:panose1 w:val="020E0502060401010101"/>
    <w:charset w:val="B1"/>
    <w:family w:val="swiss"/>
    <w:pitch w:val="variable"/>
    <w:sig w:usb0="00000801" w:usb1="0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961D5" w14:textId="77777777" w:rsidR="002C3041" w:rsidRDefault="002C3041" w:rsidP="001207F8">
    <w:pPr>
      <w:pStyle w:val="a9"/>
      <w:framePr w:wrap="around" w:vAnchor="text" w:hAnchor="text" w:xAlign="center" w:y="1"/>
      <w:rPr>
        <w:rStyle w:val="ab"/>
      </w:rPr>
    </w:pPr>
    <w:r>
      <w:rPr>
        <w:rStyle w:val="ab"/>
        <w:rtl/>
      </w:rPr>
      <w:fldChar w:fldCharType="begin"/>
    </w:r>
    <w:r>
      <w:rPr>
        <w:rStyle w:val="ab"/>
      </w:rPr>
      <w:instrText xml:space="preserve">PAGE  </w:instrText>
    </w:r>
    <w:r>
      <w:rPr>
        <w:rStyle w:val="ab"/>
        <w:rtl/>
      </w:rPr>
      <w:fldChar w:fldCharType="end"/>
    </w:r>
  </w:p>
  <w:p w14:paraId="7F6961D6" w14:textId="77777777" w:rsidR="002C3041" w:rsidRDefault="002C304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961D7" w14:textId="77777777" w:rsidR="002C3041" w:rsidRDefault="002C3041" w:rsidP="001207F8">
    <w:pPr>
      <w:pStyle w:val="a9"/>
      <w:framePr w:wrap="around" w:vAnchor="text" w:hAnchor="text" w:xAlign="center" w:y="1"/>
      <w:rPr>
        <w:rStyle w:val="ab"/>
      </w:rPr>
    </w:pPr>
    <w:r>
      <w:rPr>
        <w:rStyle w:val="ab"/>
        <w:rtl/>
      </w:rPr>
      <w:fldChar w:fldCharType="begin"/>
    </w:r>
    <w:r>
      <w:rPr>
        <w:rStyle w:val="ab"/>
      </w:rPr>
      <w:instrText xml:space="preserve">PAGE  </w:instrText>
    </w:r>
    <w:r>
      <w:rPr>
        <w:rStyle w:val="ab"/>
        <w:rtl/>
      </w:rPr>
      <w:fldChar w:fldCharType="separate"/>
    </w:r>
    <w:r w:rsidR="00573436">
      <w:rPr>
        <w:rStyle w:val="ab"/>
        <w:noProof/>
        <w:rtl/>
      </w:rPr>
      <w:t>2</w:t>
    </w:r>
    <w:r>
      <w:rPr>
        <w:rStyle w:val="ab"/>
        <w:rtl/>
      </w:rPr>
      <w:fldChar w:fldCharType="end"/>
    </w:r>
  </w:p>
  <w:p w14:paraId="7F6961D8" w14:textId="77777777" w:rsidR="002C3041" w:rsidRDefault="002C304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8674C0" w14:textId="77777777" w:rsidR="00D142D3" w:rsidRDefault="00D142D3">
      <w:r>
        <w:separator/>
      </w:r>
    </w:p>
  </w:footnote>
  <w:footnote w:type="continuationSeparator" w:id="0">
    <w:p w14:paraId="401CF485" w14:textId="77777777" w:rsidR="00D142D3" w:rsidRDefault="00D142D3">
      <w:r>
        <w:continuationSeparator/>
      </w:r>
    </w:p>
  </w:footnote>
  <w:footnote w:type="continuationNotice" w:id="1">
    <w:p w14:paraId="173A6451" w14:textId="77777777" w:rsidR="00D142D3" w:rsidRDefault="00D142D3"/>
  </w:footnote>
  <w:footnote w:id="2">
    <w:p w14:paraId="5A921B1C" w14:textId="77777777" w:rsidR="00A127A1" w:rsidRDefault="00A127A1" w:rsidP="00A127A1">
      <w:pPr>
        <w:pStyle w:val="a4"/>
      </w:pPr>
      <w:r w:rsidRPr="00BC2F54">
        <w:rPr>
          <w:rStyle w:val="a6"/>
        </w:rPr>
        <w:footnoteRef/>
      </w:r>
      <w:r w:rsidRPr="00BC2F54">
        <w:rPr>
          <w:rFonts w:hint="cs"/>
          <w:rtl/>
        </w:rPr>
        <w:t xml:space="preserve"> ס"ח התשמ"א, עמ' 128.</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6AAD9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5CAE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E88A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5DA1E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3056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22F1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06C9A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FE925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4246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4D088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DD78F3"/>
    <w:multiLevelType w:val="hybridMultilevel"/>
    <w:tmpl w:val="9E4C4E42"/>
    <w:lvl w:ilvl="0" w:tplc="861C87C0">
      <w:start w:val="1"/>
      <w:numFmt w:val="decimal"/>
      <w:lvlText w:val="(%1)"/>
      <w:lvlJc w:val="left"/>
      <w:pPr>
        <w:tabs>
          <w:tab w:val="num" w:pos="624"/>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FB0598A"/>
    <w:multiLevelType w:val="hybridMultilevel"/>
    <w:tmpl w:val="746CCEE6"/>
    <w:lvl w:ilvl="0" w:tplc="040D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53C544D"/>
    <w:multiLevelType w:val="hybridMultilevel"/>
    <w:tmpl w:val="B170A16C"/>
    <w:lvl w:ilvl="0" w:tplc="746489A4">
      <w:start w:val="1"/>
      <w:numFmt w:val="decimal"/>
      <w:lvlText w:val="%1."/>
      <w:lvlJc w:val="left"/>
      <w:pPr>
        <w:tabs>
          <w:tab w:val="num" w:pos="0"/>
        </w:tabs>
        <w:ind w:left="0" w:firstLine="0"/>
      </w:pPr>
      <w:rPr>
        <w:rFonts w:hint="default"/>
      </w:rPr>
    </w:lvl>
    <w:lvl w:ilvl="1" w:tplc="D3D4E8B2">
      <w:start w:val="1"/>
      <w:numFmt w:val="decimal"/>
      <w:lvlText w:val="(%2)"/>
      <w:lvlJc w:val="left"/>
      <w:pPr>
        <w:tabs>
          <w:tab w:val="num" w:pos="624"/>
        </w:tabs>
        <w:ind w:left="0" w:firstLine="0"/>
      </w:pPr>
      <w:rPr>
        <w:rFonts w:hint="default"/>
      </w:rPr>
    </w:lvl>
    <w:lvl w:ilvl="2" w:tplc="5D2AB1E4">
      <w:start w:val="1"/>
      <w:numFmt w:val="hebrew1"/>
      <w:lvlText w:val="(%3)"/>
      <w:lvlJc w:val="left"/>
      <w:pPr>
        <w:tabs>
          <w:tab w:val="num" w:pos="624"/>
        </w:tabs>
        <w:ind w:left="0" w:firstLine="0"/>
      </w:pPr>
      <w:rPr>
        <w:rFonts w:hint="default"/>
      </w:rPr>
    </w:lvl>
    <w:lvl w:ilvl="3" w:tplc="1F820BA4">
      <w:start w:val="1"/>
      <w:numFmt w:val="hebrew1"/>
      <w:lvlRestart w:val="0"/>
      <w:lvlText w:val="(%4)"/>
      <w:lvlJc w:val="left"/>
      <w:pPr>
        <w:tabs>
          <w:tab w:val="num" w:pos="624"/>
        </w:tabs>
        <w:ind w:left="0" w:firstLine="0"/>
      </w:pPr>
      <w:rPr>
        <w:rFonts w:hint="default"/>
      </w:rPr>
    </w:lvl>
    <w:lvl w:ilvl="4" w:tplc="62C6E096">
      <w:start w:val="1"/>
      <w:numFmt w:val="decimal"/>
      <w:lvlRestart w:val="0"/>
      <w:lvlText w:val="(%5)"/>
      <w:lvlJc w:val="left"/>
      <w:pPr>
        <w:tabs>
          <w:tab w:val="num" w:pos="3864"/>
        </w:tabs>
        <w:ind w:left="3240" w:firstLine="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5C858E4"/>
    <w:multiLevelType w:val="hybridMultilevel"/>
    <w:tmpl w:val="882C6ED4"/>
    <w:lvl w:ilvl="0" w:tplc="4112A21E">
      <w:start w:val="1"/>
      <w:numFmt w:val="hebrew1"/>
      <w:lvlRestart w:val="0"/>
      <w:lvlText w:val="(%1)"/>
      <w:lvlJc w:val="left"/>
      <w:pPr>
        <w:tabs>
          <w:tab w:val="num" w:pos="624"/>
        </w:tabs>
        <w:ind w:left="0" w:firstLine="0"/>
      </w:pPr>
      <w:rPr>
        <w:rFonts w:hint="default"/>
      </w:rPr>
    </w:lvl>
    <w:lvl w:ilvl="1" w:tplc="49082BE6">
      <w:start w:val="1"/>
      <w:numFmt w:val="decimal"/>
      <w:lvlRestart w:val="0"/>
      <w:lvlText w:val="(%2)"/>
      <w:lvlJc w:val="left"/>
      <w:pPr>
        <w:tabs>
          <w:tab w:val="num" w:pos="1704"/>
        </w:tabs>
        <w:ind w:left="1080" w:firstLine="0"/>
      </w:pPr>
      <w:rPr>
        <w:rFonts w:hint="default"/>
      </w:rPr>
    </w:lvl>
    <w:lvl w:ilvl="2" w:tplc="48C06176">
      <w:start w:val="1"/>
      <w:numFmt w:val="decimal"/>
      <w:lvlRestart w:val="0"/>
      <w:lvlText w:val="(%3)"/>
      <w:lvlJc w:val="left"/>
      <w:pPr>
        <w:tabs>
          <w:tab w:val="num" w:pos="2604"/>
        </w:tabs>
        <w:ind w:left="1980" w:firstLine="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0002" w:allStyles="0" w:customStyles="1"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OriginalName" w:val="tmp482240lsCopyOriginal.docx"/>
    <w:docVar w:name="StartMode" w:val="2"/>
  </w:docVars>
  <w:rsids>
    <w:rsidRoot w:val="00DB7060"/>
    <w:rsid w:val="0000131B"/>
    <w:rsid w:val="00015B27"/>
    <w:rsid w:val="00063140"/>
    <w:rsid w:val="00063A3E"/>
    <w:rsid w:val="00072CAC"/>
    <w:rsid w:val="0007681A"/>
    <w:rsid w:val="00086E0B"/>
    <w:rsid w:val="000A542E"/>
    <w:rsid w:val="000E3025"/>
    <w:rsid w:val="00102B6B"/>
    <w:rsid w:val="001052D4"/>
    <w:rsid w:val="0010644B"/>
    <w:rsid w:val="001207F8"/>
    <w:rsid w:val="00121924"/>
    <w:rsid w:val="001279A8"/>
    <w:rsid w:val="0014195F"/>
    <w:rsid w:val="00152609"/>
    <w:rsid w:val="00153E1B"/>
    <w:rsid w:val="0016058F"/>
    <w:rsid w:val="001A0623"/>
    <w:rsid w:val="001C23B0"/>
    <w:rsid w:val="001D7AAF"/>
    <w:rsid w:val="00203A7F"/>
    <w:rsid w:val="0021633A"/>
    <w:rsid w:val="002200A1"/>
    <w:rsid w:val="002362BF"/>
    <w:rsid w:val="00241B97"/>
    <w:rsid w:val="002425D1"/>
    <w:rsid w:val="00246756"/>
    <w:rsid w:val="00251E58"/>
    <w:rsid w:val="00254605"/>
    <w:rsid w:val="002656DF"/>
    <w:rsid w:val="00266D86"/>
    <w:rsid w:val="002728B4"/>
    <w:rsid w:val="0027600C"/>
    <w:rsid w:val="00292712"/>
    <w:rsid w:val="002A487D"/>
    <w:rsid w:val="002C2E29"/>
    <w:rsid w:val="002C3041"/>
    <w:rsid w:val="002D1EE3"/>
    <w:rsid w:val="002F1D80"/>
    <w:rsid w:val="003232A2"/>
    <w:rsid w:val="00325C14"/>
    <w:rsid w:val="0036422C"/>
    <w:rsid w:val="003710F6"/>
    <w:rsid w:val="00386E88"/>
    <w:rsid w:val="00393B0A"/>
    <w:rsid w:val="00396585"/>
    <w:rsid w:val="003A31BE"/>
    <w:rsid w:val="003D6E38"/>
    <w:rsid w:val="003D74A0"/>
    <w:rsid w:val="004033D8"/>
    <w:rsid w:val="004073F0"/>
    <w:rsid w:val="00412A7D"/>
    <w:rsid w:val="00416B4D"/>
    <w:rsid w:val="00417CFC"/>
    <w:rsid w:val="004A06DC"/>
    <w:rsid w:val="004B24ED"/>
    <w:rsid w:val="004B6625"/>
    <w:rsid w:val="004D2D82"/>
    <w:rsid w:val="004D3876"/>
    <w:rsid w:val="004E4552"/>
    <w:rsid w:val="004E6CDF"/>
    <w:rsid w:val="0050713B"/>
    <w:rsid w:val="00553C9D"/>
    <w:rsid w:val="00562A66"/>
    <w:rsid w:val="00573436"/>
    <w:rsid w:val="005B064E"/>
    <w:rsid w:val="005D51AE"/>
    <w:rsid w:val="005F1CB2"/>
    <w:rsid w:val="0062674B"/>
    <w:rsid w:val="006363B2"/>
    <w:rsid w:val="00644940"/>
    <w:rsid w:val="00671458"/>
    <w:rsid w:val="00671CA1"/>
    <w:rsid w:val="006818A9"/>
    <w:rsid w:val="006A2D81"/>
    <w:rsid w:val="006B5200"/>
    <w:rsid w:val="006C1D0D"/>
    <w:rsid w:val="006E7794"/>
    <w:rsid w:val="0070601E"/>
    <w:rsid w:val="00712C72"/>
    <w:rsid w:val="00730EB4"/>
    <w:rsid w:val="00735FE9"/>
    <w:rsid w:val="00763CAA"/>
    <w:rsid w:val="00765F66"/>
    <w:rsid w:val="00784B8C"/>
    <w:rsid w:val="0078664F"/>
    <w:rsid w:val="007A27CE"/>
    <w:rsid w:val="007C3FA6"/>
    <w:rsid w:val="007D585A"/>
    <w:rsid w:val="007D5A12"/>
    <w:rsid w:val="007E59F9"/>
    <w:rsid w:val="00810BCD"/>
    <w:rsid w:val="00812C98"/>
    <w:rsid w:val="00814D92"/>
    <w:rsid w:val="0083181D"/>
    <w:rsid w:val="00843EB2"/>
    <w:rsid w:val="00865572"/>
    <w:rsid w:val="00874BBC"/>
    <w:rsid w:val="00892135"/>
    <w:rsid w:val="00895449"/>
    <w:rsid w:val="00897879"/>
    <w:rsid w:val="008A6870"/>
    <w:rsid w:val="008C2DDC"/>
    <w:rsid w:val="008C7516"/>
    <w:rsid w:val="008E6EC7"/>
    <w:rsid w:val="008F0D63"/>
    <w:rsid w:val="008F1308"/>
    <w:rsid w:val="008F2C35"/>
    <w:rsid w:val="008F6665"/>
    <w:rsid w:val="00904591"/>
    <w:rsid w:val="00905E5F"/>
    <w:rsid w:val="0091204F"/>
    <w:rsid w:val="009203DB"/>
    <w:rsid w:val="00923CD4"/>
    <w:rsid w:val="00925EA0"/>
    <w:rsid w:val="00930EFE"/>
    <w:rsid w:val="00943386"/>
    <w:rsid w:val="009456B6"/>
    <w:rsid w:val="00957589"/>
    <w:rsid w:val="00966D06"/>
    <w:rsid w:val="00982412"/>
    <w:rsid w:val="00983A8D"/>
    <w:rsid w:val="009A0DB8"/>
    <w:rsid w:val="009A7257"/>
    <w:rsid w:val="009D6E0A"/>
    <w:rsid w:val="009E1B2E"/>
    <w:rsid w:val="009E1E33"/>
    <w:rsid w:val="00A127A1"/>
    <w:rsid w:val="00A14672"/>
    <w:rsid w:val="00A26BD6"/>
    <w:rsid w:val="00A443CF"/>
    <w:rsid w:val="00A477B4"/>
    <w:rsid w:val="00A6611D"/>
    <w:rsid w:val="00A82CB7"/>
    <w:rsid w:val="00A909B2"/>
    <w:rsid w:val="00A942C1"/>
    <w:rsid w:val="00AA2F03"/>
    <w:rsid w:val="00AC36F7"/>
    <w:rsid w:val="00AC63A4"/>
    <w:rsid w:val="00AD239E"/>
    <w:rsid w:val="00B10265"/>
    <w:rsid w:val="00B16A99"/>
    <w:rsid w:val="00B21211"/>
    <w:rsid w:val="00B35784"/>
    <w:rsid w:val="00B477A9"/>
    <w:rsid w:val="00B60973"/>
    <w:rsid w:val="00B733A7"/>
    <w:rsid w:val="00B75C91"/>
    <w:rsid w:val="00B975AD"/>
    <w:rsid w:val="00BC45FB"/>
    <w:rsid w:val="00BF148D"/>
    <w:rsid w:val="00C23B1A"/>
    <w:rsid w:val="00C310EB"/>
    <w:rsid w:val="00C9176A"/>
    <w:rsid w:val="00CA54CC"/>
    <w:rsid w:val="00CF1AA2"/>
    <w:rsid w:val="00D04DAF"/>
    <w:rsid w:val="00D142D3"/>
    <w:rsid w:val="00D17774"/>
    <w:rsid w:val="00D63620"/>
    <w:rsid w:val="00D67013"/>
    <w:rsid w:val="00D8042D"/>
    <w:rsid w:val="00D8410D"/>
    <w:rsid w:val="00D867D7"/>
    <w:rsid w:val="00DB7060"/>
    <w:rsid w:val="00DE3153"/>
    <w:rsid w:val="00E06736"/>
    <w:rsid w:val="00E13C27"/>
    <w:rsid w:val="00E33BBD"/>
    <w:rsid w:val="00E374F2"/>
    <w:rsid w:val="00E45103"/>
    <w:rsid w:val="00E53450"/>
    <w:rsid w:val="00E55A60"/>
    <w:rsid w:val="00E62778"/>
    <w:rsid w:val="00E635A2"/>
    <w:rsid w:val="00E63D38"/>
    <w:rsid w:val="00E665B9"/>
    <w:rsid w:val="00EA01E6"/>
    <w:rsid w:val="00EA3DE8"/>
    <w:rsid w:val="00EA758F"/>
    <w:rsid w:val="00ED4A6F"/>
    <w:rsid w:val="00EF3A3A"/>
    <w:rsid w:val="00F03BB5"/>
    <w:rsid w:val="00F628D6"/>
    <w:rsid w:val="00F67051"/>
    <w:rsid w:val="00F86A1E"/>
    <w:rsid w:val="00FA5E8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f" fillcolor="white">
      <v:fill color="white" on="f"/>
    </o:shapedefaults>
    <o:shapelayout v:ext="edit">
      <o:idmap v:ext="edit" data="1"/>
    </o:shapelayout>
  </w:shapeDefaults>
  <w:doNotEmbedSmartTags/>
  <w:decimalSymbol w:val="."/>
  <w:listSeparator w:val=","/>
  <w14:docId w14:val="7F6961A1"/>
  <w15:docId w15:val="{96DCB833-7804-41C0-84E6-5A6204E92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75AD"/>
    <w:pPr>
      <w:widowControl w:val="0"/>
      <w:autoSpaceDE w:val="0"/>
      <w:autoSpaceDN w:val="0"/>
      <w:bidi/>
      <w:adjustRightInd w:val="0"/>
      <w:spacing w:before="102" w:line="204" w:lineRule="atLeast"/>
      <w:ind w:firstLine="340"/>
      <w:jc w:val="both"/>
      <w:textAlignment w:val="center"/>
    </w:pPr>
    <w:rPr>
      <w:rFonts w:ascii="Hadasa Roso SL" w:hAnsi="Hadasa Roso SL" w:cs="Hadasa Roso SL"/>
      <w:color w:val="000000"/>
      <w:spacing w:val="1"/>
      <w:sz w:val="17"/>
      <w:szCs w:val="17"/>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paragraphstyle">
    <w:name w:val="[No paragraph style]"/>
    <w:rsid w:val="00943386"/>
    <w:pPr>
      <w:widowControl w:val="0"/>
      <w:autoSpaceDE w:val="0"/>
      <w:autoSpaceDN w:val="0"/>
      <w:bidi/>
      <w:adjustRightInd w:val="0"/>
      <w:snapToGrid w:val="0"/>
      <w:spacing w:line="360" w:lineRule="auto"/>
      <w:textAlignment w:val="center"/>
    </w:pPr>
    <w:rPr>
      <w:rFonts w:ascii="Arial" w:eastAsia="Arial Unicode MS" w:hAnsi="Arial" w:cs="David"/>
      <w:snapToGrid w:val="0"/>
      <w:color w:val="000000"/>
      <w:szCs w:val="26"/>
      <w:lang w:eastAsia="ja-JP"/>
    </w:rPr>
  </w:style>
  <w:style w:type="paragraph" w:customStyle="1" w:styleId="Cover1-Reshumot">
    <w:name w:val="Cover 1-Reshumot"/>
    <w:basedOn w:val="a"/>
    <w:rsid w:val="00B975AD"/>
    <w:pPr>
      <w:tabs>
        <w:tab w:val="left" w:pos="1191"/>
        <w:tab w:val="left" w:pos="1587"/>
      </w:tabs>
      <w:snapToGrid w:val="0"/>
      <w:spacing w:before="240" w:after="240" w:line="480" w:lineRule="auto"/>
      <w:ind w:firstLine="0"/>
      <w:jc w:val="center"/>
    </w:pPr>
    <w:rPr>
      <w:rFonts w:ascii="Arial" w:eastAsia="Arial Unicode MS" w:hAnsi="Arial" w:cs="David"/>
      <w:snapToGrid w:val="0"/>
      <w:spacing w:val="0"/>
      <w:sz w:val="20"/>
      <w:szCs w:val="26"/>
    </w:rPr>
  </w:style>
  <w:style w:type="paragraph" w:customStyle="1" w:styleId="Cover2-HatzaotHok">
    <w:name w:val="Cover 2-HatzaotHok"/>
    <w:basedOn w:val="Cover1-Reshumot"/>
    <w:rsid w:val="00B975AD"/>
    <w:rPr>
      <w:sz w:val="36"/>
      <w:szCs w:val="52"/>
    </w:rPr>
  </w:style>
  <w:style w:type="paragraph" w:customStyle="1" w:styleId="Cover3-Haknesset">
    <w:name w:val="Cover 3-Haknesset"/>
    <w:basedOn w:val="Cover1-Reshumot"/>
    <w:rsid w:val="00B975AD"/>
    <w:rPr>
      <w:b/>
      <w:bCs/>
      <w:spacing w:val="60"/>
    </w:rPr>
  </w:style>
  <w:style w:type="paragraph" w:customStyle="1" w:styleId="Cover4-Date">
    <w:name w:val="Cover 4-Date"/>
    <w:basedOn w:val="a"/>
    <w:rsid w:val="00B975AD"/>
    <w:pPr>
      <w:pBdr>
        <w:bottom w:val="single" w:sz="4" w:space="0" w:color="auto"/>
      </w:pBdr>
      <w:tabs>
        <w:tab w:val="center" w:pos="4820"/>
        <w:tab w:val="right" w:pos="9639"/>
      </w:tabs>
      <w:snapToGrid w:val="0"/>
      <w:spacing w:before="240" w:after="240" w:line="360" w:lineRule="auto"/>
      <w:ind w:firstLine="0"/>
      <w:jc w:val="left"/>
    </w:pPr>
    <w:rPr>
      <w:rFonts w:ascii="Arial" w:eastAsia="Arial Unicode MS" w:hAnsi="Arial" w:cs="David"/>
      <w:snapToGrid w:val="0"/>
      <w:spacing w:val="0"/>
      <w:sz w:val="20"/>
      <w:szCs w:val="26"/>
    </w:rPr>
  </w:style>
  <w:style w:type="paragraph" w:customStyle="1" w:styleId="TOC">
    <w:name w:val="TOC"/>
    <w:basedOn w:val="Noparagraphstyle"/>
    <w:rsid w:val="00943386"/>
    <w:pPr>
      <w:tabs>
        <w:tab w:val="left" w:leader="dot" w:pos="8789"/>
      </w:tabs>
      <w:spacing w:before="120"/>
      <w:ind w:left="284" w:right="284"/>
    </w:pPr>
  </w:style>
  <w:style w:type="paragraph" w:customStyle="1" w:styleId="TOCpg">
    <w:name w:val="TOC pg"/>
    <w:basedOn w:val="TOC"/>
    <w:rsid w:val="00943386"/>
    <w:pPr>
      <w:spacing w:after="120"/>
      <w:ind w:right="567"/>
      <w:jc w:val="right"/>
    </w:pPr>
  </w:style>
  <w:style w:type="paragraph" w:customStyle="1" w:styleId="HeadMitparsemetBaze">
    <w:name w:val="Head MitparsemetBaze"/>
    <w:basedOn w:val="a"/>
    <w:rsid w:val="00B975AD"/>
    <w:pPr>
      <w:keepNext/>
      <w:keepLines/>
      <w:pageBreakBefore/>
      <w:snapToGrid w:val="0"/>
      <w:spacing w:before="480" w:line="360" w:lineRule="auto"/>
      <w:ind w:firstLine="0"/>
    </w:pPr>
    <w:rPr>
      <w:rFonts w:ascii="Arial" w:eastAsia="Arial Unicode MS" w:hAnsi="Arial" w:cs="David"/>
      <w:b/>
      <w:bCs/>
      <w:snapToGrid w:val="0"/>
      <w:spacing w:val="0"/>
      <w:sz w:val="20"/>
      <w:szCs w:val="26"/>
    </w:rPr>
  </w:style>
  <w:style w:type="paragraph" w:customStyle="1" w:styleId="HeadHatzaotHok">
    <w:name w:val="Head HatzaotHok"/>
    <w:basedOn w:val="a"/>
    <w:rsid w:val="00B975AD"/>
    <w:pPr>
      <w:keepNext/>
      <w:keepLines/>
      <w:snapToGrid w:val="0"/>
      <w:spacing w:before="240" w:line="360" w:lineRule="auto"/>
      <w:ind w:firstLine="0"/>
      <w:jc w:val="center"/>
    </w:pPr>
    <w:rPr>
      <w:rFonts w:ascii="Arial" w:eastAsia="Arial Unicode MS" w:hAnsi="Arial" w:cs="David"/>
      <w:b/>
      <w:bCs/>
      <w:snapToGrid w:val="0"/>
      <w:spacing w:val="0"/>
      <w:sz w:val="20"/>
      <w:szCs w:val="26"/>
    </w:rPr>
  </w:style>
  <w:style w:type="paragraph" w:customStyle="1" w:styleId="HeadHatzaotHok4Futer">
    <w:name w:val="Head HatzaotHok4Futer"/>
    <w:basedOn w:val="HeadHatzaotHok"/>
    <w:rsid w:val="00B975AD"/>
    <w:pPr>
      <w:spacing w:before="120" w:after="120"/>
    </w:pPr>
    <w:rPr>
      <w:color w:val="FF0000"/>
      <w:w w:val="80"/>
    </w:rPr>
  </w:style>
  <w:style w:type="paragraph" w:styleId="a3">
    <w:name w:val="endnote text"/>
    <w:basedOn w:val="a"/>
    <w:semiHidden/>
    <w:rsid w:val="00B975AD"/>
    <w:pPr>
      <w:ind w:left="227" w:hanging="227"/>
    </w:pPr>
    <w:rPr>
      <w:sz w:val="14"/>
      <w:szCs w:val="22"/>
    </w:rPr>
  </w:style>
  <w:style w:type="paragraph" w:customStyle="1" w:styleId="TableText">
    <w:name w:val="Table Text"/>
    <w:basedOn w:val="a"/>
    <w:rsid w:val="00B975AD"/>
    <w:pPr>
      <w:keepLines/>
      <w:tabs>
        <w:tab w:val="left" w:pos="624"/>
        <w:tab w:val="left" w:pos="1247"/>
      </w:tabs>
      <w:snapToGrid w:val="0"/>
      <w:spacing w:before="0" w:line="360" w:lineRule="auto"/>
      <w:ind w:right="57" w:firstLine="0"/>
      <w:jc w:val="left"/>
    </w:pPr>
    <w:rPr>
      <w:rFonts w:ascii="Arial" w:eastAsia="Arial Unicode MS" w:hAnsi="Arial" w:cs="David"/>
      <w:snapToGrid w:val="0"/>
      <w:spacing w:val="0"/>
      <w:sz w:val="20"/>
      <w:szCs w:val="26"/>
    </w:rPr>
  </w:style>
  <w:style w:type="paragraph" w:customStyle="1" w:styleId="TableSideHeading">
    <w:name w:val="Table SideHeading"/>
    <w:basedOn w:val="TableText"/>
    <w:rsid w:val="00B975AD"/>
  </w:style>
  <w:style w:type="paragraph" w:customStyle="1" w:styleId="TableBlock">
    <w:name w:val="Table Block"/>
    <w:basedOn w:val="TableText"/>
    <w:rsid w:val="00B975AD"/>
    <w:pPr>
      <w:ind w:right="0"/>
      <w:jc w:val="both"/>
    </w:pPr>
  </w:style>
  <w:style w:type="paragraph" w:customStyle="1" w:styleId="TableHead">
    <w:name w:val="Table Head"/>
    <w:basedOn w:val="TableText"/>
    <w:rsid w:val="00B975AD"/>
    <w:pPr>
      <w:ind w:right="0"/>
      <w:jc w:val="center"/>
    </w:pPr>
    <w:rPr>
      <w:b/>
      <w:bCs/>
    </w:rPr>
  </w:style>
  <w:style w:type="paragraph" w:customStyle="1" w:styleId="TableText2">
    <w:name w:val="Table Text2"/>
    <w:basedOn w:val="TableText"/>
    <w:rsid w:val="00943386"/>
  </w:style>
  <w:style w:type="paragraph" w:customStyle="1" w:styleId="TableInnerSideHeading">
    <w:name w:val="Table InnerSideHeading"/>
    <w:basedOn w:val="TableSideHeading"/>
    <w:rsid w:val="00B975AD"/>
  </w:style>
  <w:style w:type="paragraph" w:customStyle="1" w:styleId="Hesber">
    <w:name w:val="Hesber"/>
    <w:basedOn w:val="a"/>
    <w:rsid w:val="00B975AD"/>
    <w:pPr>
      <w:snapToGrid w:val="0"/>
      <w:spacing w:before="0" w:line="360" w:lineRule="auto"/>
    </w:pPr>
    <w:rPr>
      <w:rFonts w:ascii="Arial" w:eastAsia="Arial Unicode MS" w:hAnsi="Arial" w:cs="David"/>
      <w:snapToGrid w:val="0"/>
      <w:spacing w:val="0"/>
      <w:sz w:val="20"/>
      <w:szCs w:val="26"/>
    </w:rPr>
  </w:style>
  <w:style w:type="paragraph" w:styleId="a4">
    <w:name w:val="footnote text"/>
    <w:basedOn w:val="a"/>
    <w:link w:val="a5"/>
    <w:autoRedefine/>
    <w:semiHidden/>
    <w:rsid w:val="00B975AD"/>
    <w:pPr>
      <w:snapToGrid w:val="0"/>
      <w:spacing w:before="0" w:line="240" w:lineRule="auto"/>
      <w:ind w:left="227" w:hanging="227"/>
      <w:jc w:val="left"/>
    </w:pPr>
    <w:rPr>
      <w:rFonts w:ascii="Arial" w:eastAsia="Arial Unicode MS" w:hAnsi="Arial" w:cs="David"/>
      <w:snapToGrid w:val="0"/>
      <w:spacing w:val="0"/>
      <w:sz w:val="14"/>
      <w:szCs w:val="20"/>
    </w:rPr>
  </w:style>
  <w:style w:type="character" w:styleId="a6">
    <w:name w:val="footnote reference"/>
    <w:basedOn w:val="a0"/>
    <w:semiHidden/>
    <w:rsid w:val="00B975AD"/>
    <w:rPr>
      <w:vertAlign w:val="superscript"/>
    </w:rPr>
  </w:style>
  <w:style w:type="paragraph" w:customStyle="1" w:styleId="HesberHeading">
    <w:name w:val="Hesber Heading"/>
    <w:basedOn w:val="Hesber"/>
    <w:rsid w:val="00B975AD"/>
    <w:pPr>
      <w:tabs>
        <w:tab w:val="left" w:pos="624"/>
        <w:tab w:val="left" w:pos="1247"/>
      </w:tabs>
      <w:ind w:firstLine="0"/>
    </w:pPr>
    <w:rPr>
      <w:b/>
      <w:bCs/>
    </w:rPr>
  </w:style>
  <w:style w:type="paragraph" w:customStyle="1" w:styleId="HesberWriters">
    <w:name w:val="Hesber Writers"/>
    <w:basedOn w:val="Hesber"/>
    <w:rsid w:val="00B975AD"/>
    <w:pPr>
      <w:spacing w:before="120" w:after="6000"/>
      <w:ind w:left="1418" w:firstLine="0"/>
      <w:jc w:val="right"/>
    </w:pPr>
    <w:rPr>
      <w:b/>
      <w:bCs/>
    </w:rPr>
  </w:style>
  <w:style w:type="paragraph" w:customStyle="1" w:styleId="Hesber1st">
    <w:name w:val="Hesber 1st"/>
    <w:basedOn w:val="Hesber"/>
    <w:rsid w:val="00B975AD"/>
    <w:pPr>
      <w:tabs>
        <w:tab w:val="left" w:pos="680"/>
        <w:tab w:val="left" w:pos="1020"/>
      </w:tabs>
      <w:ind w:firstLine="0"/>
    </w:pPr>
  </w:style>
  <w:style w:type="character" w:styleId="a7">
    <w:name w:val="endnote reference"/>
    <w:basedOn w:val="a0"/>
    <w:semiHidden/>
    <w:rsid w:val="00B975AD"/>
    <w:rPr>
      <w:vertAlign w:val="superscript"/>
    </w:rPr>
  </w:style>
  <w:style w:type="paragraph" w:customStyle="1" w:styleId="TableBlockOutdent">
    <w:name w:val="Table BlockOutdent"/>
    <w:basedOn w:val="TableBlock"/>
    <w:rsid w:val="00B975AD"/>
    <w:pPr>
      <w:ind w:left="624" w:hanging="624"/>
    </w:pPr>
  </w:style>
  <w:style w:type="paragraph" w:styleId="a8">
    <w:name w:val="header"/>
    <w:basedOn w:val="a"/>
    <w:rsid w:val="00B975AD"/>
    <w:pPr>
      <w:tabs>
        <w:tab w:val="center" w:pos="4153"/>
        <w:tab w:val="right" w:pos="8306"/>
      </w:tabs>
    </w:pPr>
  </w:style>
  <w:style w:type="paragraph" w:styleId="a9">
    <w:name w:val="footer"/>
    <w:basedOn w:val="a"/>
    <w:rsid w:val="00B975AD"/>
    <w:pPr>
      <w:tabs>
        <w:tab w:val="center" w:pos="4153"/>
        <w:tab w:val="right" w:pos="8306"/>
      </w:tabs>
    </w:pPr>
  </w:style>
  <w:style w:type="paragraph" w:customStyle="1" w:styleId="HeadDivreiHesber">
    <w:name w:val="Head DivreiHesber"/>
    <w:basedOn w:val="a"/>
    <w:rsid w:val="00B975AD"/>
    <w:pPr>
      <w:snapToGrid w:val="0"/>
      <w:spacing w:before="360" w:after="120" w:line="360" w:lineRule="auto"/>
      <w:ind w:firstLine="0"/>
      <w:jc w:val="center"/>
    </w:pPr>
    <w:rPr>
      <w:rFonts w:ascii="Arial" w:eastAsia="Arial Unicode MS" w:hAnsi="Arial" w:cs="David"/>
      <w:b/>
      <w:snapToGrid w:val="0"/>
      <w:spacing w:val="40"/>
      <w:sz w:val="20"/>
      <w:szCs w:val="26"/>
    </w:rPr>
  </w:style>
  <w:style w:type="paragraph" w:customStyle="1" w:styleId="Ragil">
    <w:name w:val="Ragil"/>
    <w:basedOn w:val="a"/>
    <w:rsid w:val="00B975AD"/>
    <w:pPr>
      <w:snapToGrid w:val="0"/>
      <w:spacing w:before="0" w:line="360" w:lineRule="auto"/>
      <w:jc w:val="left"/>
    </w:pPr>
    <w:rPr>
      <w:rFonts w:ascii="Arial" w:eastAsia="Arial Unicode MS" w:hAnsi="Arial" w:cs="David"/>
      <w:snapToGrid w:val="0"/>
      <w:spacing w:val="0"/>
      <w:sz w:val="20"/>
      <w:szCs w:val="26"/>
    </w:rPr>
  </w:style>
  <w:style w:type="paragraph" w:styleId="aa">
    <w:name w:val="Title"/>
    <w:basedOn w:val="a"/>
    <w:qFormat/>
    <w:rsid w:val="00943386"/>
    <w:pPr>
      <w:jc w:val="center"/>
    </w:pPr>
    <w:rPr>
      <w:rFonts w:cs="David"/>
      <w:b/>
      <w:bCs/>
      <w:sz w:val="28"/>
      <w:szCs w:val="28"/>
      <w:u w:val="single"/>
    </w:rPr>
  </w:style>
  <w:style w:type="character" w:styleId="ab">
    <w:name w:val="page number"/>
    <w:basedOn w:val="a0"/>
    <w:rsid w:val="00B975AD"/>
  </w:style>
  <w:style w:type="paragraph" w:customStyle="1" w:styleId="David">
    <w:name w:val="רגיל + (עברית ושפות אחרות) David"/>
    <w:aliases w:val="‏13 נק',מודגש,אחרי:  6 נק'"/>
    <w:basedOn w:val="a"/>
    <w:rsid w:val="001207F8"/>
    <w:pPr>
      <w:ind w:firstLine="0"/>
      <w:jc w:val="left"/>
    </w:pPr>
    <w:rPr>
      <w:rFonts w:cs="David"/>
      <w:sz w:val="26"/>
      <w:szCs w:val="26"/>
    </w:rPr>
  </w:style>
  <w:style w:type="paragraph" w:styleId="ac">
    <w:name w:val="Balloon Text"/>
    <w:basedOn w:val="a"/>
    <w:link w:val="ad"/>
    <w:semiHidden/>
    <w:unhideWhenUsed/>
    <w:rsid w:val="00325C14"/>
    <w:pPr>
      <w:spacing w:before="0" w:line="240" w:lineRule="auto"/>
    </w:pPr>
    <w:rPr>
      <w:rFonts w:ascii="Tahoma" w:hAnsi="Tahoma" w:cs="Tahoma"/>
      <w:sz w:val="16"/>
      <w:szCs w:val="16"/>
    </w:rPr>
  </w:style>
  <w:style w:type="character" w:customStyle="1" w:styleId="ad">
    <w:name w:val="טקסט בלונים תו"/>
    <w:basedOn w:val="a0"/>
    <w:link w:val="ac"/>
    <w:semiHidden/>
    <w:rsid w:val="00325C14"/>
    <w:rPr>
      <w:rFonts w:ascii="Tahoma" w:hAnsi="Tahoma" w:cs="Tahoma"/>
      <w:color w:val="000000"/>
      <w:spacing w:val="1"/>
      <w:sz w:val="16"/>
      <w:szCs w:val="16"/>
      <w:lang w:eastAsia="ja-JP"/>
    </w:rPr>
  </w:style>
  <w:style w:type="character" w:customStyle="1" w:styleId="a5">
    <w:name w:val="טקסט הערת שוליים תו"/>
    <w:basedOn w:val="a0"/>
    <w:link w:val="a4"/>
    <w:semiHidden/>
    <w:rsid w:val="00A127A1"/>
    <w:rPr>
      <w:rFonts w:ascii="Arial" w:eastAsia="Arial Unicode MS" w:hAnsi="Arial" w:cs="David"/>
      <w:snapToGrid w:val="0"/>
      <w:color w:val="000000"/>
      <w:sz w:val="1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0515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86EB84DF20CE4D8D9D1A5C7A92FD24" ma:contentTypeVersion="0" ma:contentTypeDescription="Create a new document." ma:contentTypeScope="" ma:versionID="99fd2faca98684dfaf8c37f6393491fa">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DC32B-DD97-493E-9196-3EF77D6F9C7D}">
  <ds:schemaRefs>
    <ds:schemaRef ds:uri="http://schemas.microsoft.com/sharepoint/v3/contenttype/forms"/>
  </ds:schemaRefs>
</ds:datastoreItem>
</file>

<file path=customXml/itemProps2.xml><?xml version="1.0" encoding="utf-8"?>
<ds:datastoreItem xmlns:ds="http://schemas.openxmlformats.org/officeDocument/2006/customXml" ds:itemID="{2EC64CE1-541D-469F-AD51-2C6C41745C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8F4AFE3-9455-419C-8851-785A55F44517}">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4.xml><?xml version="1.0" encoding="utf-8"?>
<ds:datastoreItem xmlns:ds="http://schemas.openxmlformats.org/officeDocument/2006/customXml" ds:itemID="{1B4DE64F-42CD-4345-B063-BB4955728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3</Pages>
  <Words>835</Words>
  <Characters>4177</Characters>
  <Application>Microsoft Office Word</Application>
  <DocSecurity>0</DocSecurity>
  <Lines>34</Lines>
  <Paragraphs>10</Paragraphs>
  <ScaleCrop>false</ScaleCrop>
  <HeadingPairs>
    <vt:vector size="4" baseType="variant">
      <vt:variant>
        <vt:lpstr>שם</vt:lpstr>
      </vt:variant>
      <vt:variant>
        <vt:i4>1</vt:i4>
      </vt:variant>
      <vt:variant>
        <vt:lpstr>Title</vt:lpstr>
      </vt:variant>
      <vt:variant>
        <vt:i4>1</vt:i4>
      </vt:variant>
    </vt:vector>
  </HeadingPairs>
  <TitlesOfParts>
    <vt:vector size="2" baseType="lpstr">
      <vt:lpstr>רשומות</vt:lpstr>
      <vt:lpstr>רשומות</vt:lpstr>
    </vt:vector>
  </TitlesOfParts>
  <Company>Knesset</Company>
  <LinksUpToDate>false</LinksUpToDate>
  <CharactersWithSpaces>5002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רשומות</dc:title>
  <dc:creator>מיקה צור</dc:creator>
  <cp:lastModifiedBy>טל גוטשטיין</cp:lastModifiedBy>
  <cp:revision>28</cp:revision>
  <cp:lastPrinted>2018-12-20T08:03:00Z</cp:lastPrinted>
  <dcterms:created xsi:type="dcterms:W3CDTF">2015-04-20T09:58:00Z</dcterms:created>
  <dcterms:modified xsi:type="dcterms:W3CDTF">2018-12-23T10:22:00Z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0x0101008386EB84DF20CE4D8D9D1A5C7A92FD24</vt:lpwstr>
  </property>
  <property fmtid="{D5CDD505-2E9C-101B-9397-08002B2CF9AE}" pid="3" name="_dlc_DocIdItemGuid">
    <vt:lpwstr>8badafff-95aa-4718-b074-a2d35988ffa8</vt:lpwstr>
  </property>
  <property fmtid="{D5CDD505-2E9C-101B-9397-08002B2CF9AE}" pid="4" name="SanhedrinDocumentType">
    <vt:r8>10</vt:r8>
  </property>
  <property fmtid="{D5CDD505-2E9C-101B-9397-08002B2CF9AE}" pid="5" name="SanhedrinItemID">
    <vt:r8>2077388</vt:r8>
  </property>
</Properties>
</file>