
<file path=[Content_Types].xml><?xml version="1.0" encoding="utf-8"?>
<Types xmlns="http://schemas.openxmlformats.org/package/2006/content-types">
  <Default Extension="bin" ContentType="application/vnd.ms-word.attachedToolbars"/>
  <Override PartName="/word/footnotes.xml" ContentType="application/vnd.openxmlformats-officedocument.wordprocessingml.footnotes+xml"/>
  <Override PartName="/customXml/itemProps1.xml" ContentType="application/vnd.openxmlformats-officedocument.customXmlProperties+xml"/>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customizations.xml" ContentType="application/vnd.ms-word.keyMapCustomization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7140" w:rsidRPr="003D0A52" w:rsidRDefault="006E7140" w:rsidP="001746BB">
      <w:pPr>
        <w:pStyle w:val="aff2"/>
        <w:rPr>
          <w:rtl/>
        </w:rPr>
      </w:pPr>
      <w:r w:rsidRPr="003D0A52">
        <w:rPr>
          <w:rFonts w:hint="cs"/>
          <w:rtl/>
        </w:rPr>
        <w:t xml:space="preserve">תיק </w:t>
      </w:r>
      <w:r w:rsidR="00F47BF8" w:rsidRPr="00FF1945">
        <w:rPr>
          <w:rFonts w:hint="cs"/>
          <w:rtl/>
        </w:rPr>
        <w:t>1186061</w:t>
      </w:r>
      <w:r w:rsidR="00535F7F">
        <w:rPr>
          <w:rFonts w:hint="cs"/>
          <w:rtl/>
        </w:rPr>
        <w:t>/</w:t>
      </w:r>
      <w:r w:rsidR="001746BB">
        <w:rPr>
          <w:rFonts w:hint="cs"/>
          <w:rtl/>
        </w:rPr>
        <w:t>3</w:t>
      </w:r>
    </w:p>
    <w:p w:rsidR="00C10C51" w:rsidRDefault="006E7140" w:rsidP="00C10C51">
      <w:pPr>
        <w:pStyle w:val="affc"/>
        <w:rPr>
          <w:rtl/>
        </w:rPr>
      </w:pPr>
      <w:r w:rsidRPr="003D0A52">
        <w:rPr>
          <w:rFonts w:hint="cs"/>
          <w:rtl/>
        </w:rPr>
        <w:t>בבית הדין הרבני</w:t>
      </w:r>
      <w:r w:rsidR="00A547D0" w:rsidRPr="00516CB1">
        <w:rPr>
          <w:rFonts w:eastAsia="Calibri" w:hint="cs"/>
          <w:kern w:val="28"/>
          <w:rtl/>
        </w:rPr>
        <w:t>ה</w:t>
      </w:r>
      <w:sdt>
        <w:sdtPr>
          <w:rPr>
            <w:rFonts w:eastAsia="Calibri" w:hint="cs"/>
            <w:kern w:val="28"/>
            <w:rtl/>
          </w:rPr>
          <w:alias w:val="CourtTypeDesc"/>
          <w:tag w:val="CourtTypeDesc"/>
          <w:id w:val="-472220940"/>
          <w:placeholder>
            <w:docPart w:val="AECAFA66EC524ABEBE0AC3B10121ECAB"/>
          </w:placeholder>
          <w:temporary/>
        </w:sdtPr>
        <w:sdtContent>
          <w:r w:rsidR="00A547D0" w:rsidRPr="00516CB1">
            <w:rPr>
              <w:rFonts w:eastAsia="Calibri" w:hint="cs"/>
              <w:kern w:val="28"/>
              <w:rtl/>
            </w:rPr>
            <w:t>גדול</w:t>
          </w:r>
        </w:sdtContent>
      </w:sdt>
      <w:r w:rsidR="00A547D0" w:rsidRPr="00516CB1">
        <w:rPr>
          <w:rFonts w:eastAsia="Calibri" w:hint="cs"/>
          <w:kern w:val="28"/>
          <w:rtl/>
        </w:rPr>
        <w:t xml:space="preserve"> ירושלים</w:t>
      </w:r>
    </w:p>
    <w:p w:rsidR="006E7140" w:rsidRPr="00D93CE5" w:rsidRDefault="006E7140" w:rsidP="006E7140">
      <w:pPr>
        <w:pStyle w:val="affd"/>
        <w:rPr>
          <w:rtl/>
        </w:rPr>
      </w:pPr>
      <w:r w:rsidRPr="00D93CE5">
        <w:rPr>
          <w:rFonts w:hint="cs"/>
          <w:rtl/>
        </w:rPr>
        <w:t>לפני כבוד הדיינים:</w:t>
      </w:r>
    </w:p>
    <w:p w:rsidR="00E06DE7" w:rsidRDefault="001746BB" w:rsidP="00535F7F">
      <w:pPr>
        <w:pStyle w:val="afa"/>
        <w:rPr>
          <w:rtl/>
        </w:rPr>
      </w:pPr>
      <w:r w:rsidRPr="001746BB">
        <w:rPr>
          <w:sz w:val="28"/>
          <w:rtl/>
        </w:rPr>
        <w:t>הרב אהרן דרשביץ – אב"ד, הרב עובדיה חפץ יעקב, הרב אברהם צבי גאופטמן</w:t>
      </w:r>
    </w:p>
    <w:p w:rsidR="00C82FC0" w:rsidRDefault="006E7140" w:rsidP="008F2520">
      <w:pPr>
        <w:pStyle w:val="aff6"/>
        <w:rPr>
          <w:rtl/>
        </w:rPr>
      </w:pPr>
      <w:r w:rsidRPr="003D0A52">
        <w:rPr>
          <w:rtl/>
        </w:rPr>
        <w:t>הנדון:</w:t>
      </w:r>
      <w:bookmarkStart w:id="0" w:name="_GoBack"/>
      <w:r w:rsidR="00F47BF8">
        <w:rPr>
          <w:rFonts w:hint="cs"/>
          <w:rtl/>
        </w:rPr>
        <w:t>חזרת האשה מוויתור הכתובה בעת אישור הסכם הגירושין בבית הדין</w:t>
      </w:r>
      <w:bookmarkEnd w:id="0"/>
    </w:p>
    <w:p w:rsidR="00C82FC0" w:rsidRDefault="00C82FC0" w:rsidP="00C82FC0">
      <w:pPr>
        <w:pStyle w:val="af5"/>
        <w:rPr>
          <w:rtl/>
        </w:rPr>
      </w:pPr>
      <w:r>
        <w:rPr>
          <w:rFonts w:hint="cs"/>
          <w:rtl/>
        </w:rPr>
        <w:t>פסק דין</w:t>
      </w:r>
    </w:p>
    <w:p w:rsidR="00F47BF8" w:rsidRDefault="00F47BF8" w:rsidP="00F47BF8">
      <w:pPr>
        <w:pStyle w:val="ae"/>
        <w:rPr>
          <w:rtl/>
        </w:rPr>
      </w:pPr>
      <w:r>
        <w:rPr>
          <w:rFonts w:hint="cs"/>
          <w:rtl/>
        </w:rPr>
        <w:t>בפני ביה"ד תביעת האשה לכתובה ותוספתה, וטענה מקדמית של הבעל לשעבר לפיה האשה ויתרה על הכתובה בהסכם הגירושין.</w:t>
      </w:r>
    </w:p>
    <w:p w:rsidR="00F47BF8" w:rsidRPr="00995060" w:rsidRDefault="00F47BF8" w:rsidP="00F47BF8">
      <w:pPr>
        <w:pStyle w:val="-0"/>
        <w:rPr>
          <w:rFonts w:eastAsia="Calibri"/>
          <w:rtl/>
          <w:lang w:eastAsia="he-IL"/>
        </w:rPr>
      </w:pPr>
      <w:r w:rsidRPr="00995060">
        <w:rPr>
          <w:rFonts w:eastAsia="Calibri" w:hint="cs"/>
          <w:rtl/>
          <w:lang w:eastAsia="he-IL"/>
        </w:rPr>
        <w:t>רקע עובדתי</w:t>
      </w:r>
    </w:p>
    <w:p w:rsidR="00F47BF8" w:rsidRDefault="00F47BF8" w:rsidP="00F47BF8">
      <w:pPr>
        <w:pStyle w:val="ae"/>
        <w:rPr>
          <w:rtl/>
        </w:rPr>
      </w:pPr>
      <w:r>
        <w:rPr>
          <w:rFonts w:hint="cs"/>
          <w:rtl/>
        </w:rPr>
        <w:t xml:space="preserve">הצדדים נישאו בנישואין שניים כדמו"י בטבת תשע"ה </w:t>
      </w:r>
      <w:r w:rsidRPr="00C12CF4">
        <w:rPr>
          <w:rFonts w:hint="cs"/>
          <w:sz w:val="24"/>
          <w:szCs w:val="24"/>
          <w:rtl/>
        </w:rPr>
        <w:t>(1/2015)</w:t>
      </w:r>
      <w:r>
        <w:rPr>
          <w:rFonts w:hint="cs"/>
          <w:rtl/>
        </w:rPr>
        <w:t>, לדבריהם אחר היכרות של כחמש עשרה שנה, בה גרו ביחד לסירוגין, ובקביעות כזוג כמה שנים לפני הנישואין.</w:t>
      </w:r>
    </w:p>
    <w:p w:rsidR="00F47BF8" w:rsidRDefault="00F47BF8" w:rsidP="00F47BF8">
      <w:pPr>
        <w:pStyle w:val="af"/>
        <w:rPr>
          <w:rtl/>
        </w:rPr>
      </w:pPr>
      <w:r>
        <w:rPr>
          <w:rFonts w:hint="cs"/>
          <w:rtl/>
        </w:rPr>
        <w:t>ביום 24.12.2015, כשנה לאחר הנישואין, חתמו הצדדים על הסכם ממון אשר קבע הפרדת רכוש גמורה, בין רכוש אשר היה לצדדים טרום הנישואין ובין אשר נצבר במהלך הנישואין. הסכם זה לא הובא לאישור לפני ביה"ד או ביהמ"ש.</w:t>
      </w:r>
    </w:p>
    <w:p w:rsidR="00F47BF8" w:rsidRDefault="00F47BF8" w:rsidP="00F47BF8">
      <w:pPr>
        <w:pStyle w:val="af"/>
        <w:rPr>
          <w:rtl/>
        </w:rPr>
      </w:pPr>
      <w:r>
        <w:rPr>
          <w:rFonts w:hint="cs"/>
          <w:rtl/>
        </w:rPr>
        <w:t xml:space="preserve">ביום 12.8.2018 חתמו הצדדים על הסכם גירושין, בו נכתב שהאשה מוותרת על כתובתה עם מתן הגט. במעמד אישור ההסכם בפני ביה"ד, ביום </w:t>
      </w:r>
      <w:r>
        <w:rPr>
          <w:rtl/>
        </w:rPr>
        <w:t xml:space="preserve">כ"ו בחשון </w:t>
      </w:r>
      <w:r w:rsidRPr="00B70FD7">
        <w:rPr>
          <w:rtl/>
        </w:rPr>
        <w:t xml:space="preserve">תשע"ט </w:t>
      </w:r>
      <w:r w:rsidRPr="00C12CF4">
        <w:rPr>
          <w:sz w:val="24"/>
          <w:szCs w:val="24"/>
          <w:rtl/>
        </w:rPr>
        <w:t>(04</w:t>
      </w:r>
      <w:r w:rsidRPr="00C12CF4">
        <w:rPr>
          <w:rFonts w:hint="cs"/>
          <w:sz w:val="24"/>
          <w:szCs w:val="24"/>
          <w:rtl/>
        </w:rPr>
        <w:t>.</w:t>
      </w:r>
      <w:r w:rsidRPr="00C12CF4">
        <w:rPr>
          <w:sz w:val="24"/>
          <w:szCs w:val="24"/>
          <w:rtl/>
        </w:rPr>
        <w:t>11</w:t>
      </w:r>
      <w:r w:rsidRPr="00C12CF4">
        <w:rPr>
          <w:rFonts w:hint="cs"/>
          <w:sz w:val="24"/>
          <w:szCs w:val="24"/>
          <w:rtl/>
        </w:rPr>
        <w:t>.</w:t>
      </w:r>
      <w:r w:rsidRPr="00C12CF4">
        <w:rPr>
          <w:sz w:val="24"/>
          <w:szCs w:val="24"/>
          <w:rtl/>
        </w:rPr>
        <w:t>2018</w:t>
      </w:r>
      <w:r w:rsidRPr="00C12CF4">
        <w:rPr>
          <w:rFonts w:hint="cs"/>
          <w:sz w:val="24"/>
          <w:szCs w:val="24"/>
          <w:rtl/>
        </w:rPr>
        <w:t>)</w:t>
      </w:r>
      <w:r>
        <w:rPr>
          <w:rFonts w:hint="cs"/>
          <w:rtl/>
        </w:rPr>
        <w:t>, חזרה בה האשה ממחילת הכתובה, ולא הסכימה לאשר את ההסכם. ביה"ד שוחח עם הצדדים לנסות להביאם לידי הסכמות, ולבסוף הבעל ב</w:t>
      </w:r>
      <w:r w:rsidR="00C12CF4">
        <w:rPr>
          <w:rFonts w:hint="cs"/>
          <w:rtl/>
        </w:rPr>
        <w:t>י</w:t>
      </w:r>
      <w:r>
        <w:rPr>
          <w:rFonts w:hint="cs"/>
          <w:rtl/>
        </w:rPr>
        <w:t xml:space="preserve">קש להקפיא את התיק 3 חודשים על מנת להידבר ביניהם. </w:t>
      </w:r>
    </w:p>
    <w:p w:rsidR="00594F8F" w:rsidRDefault="00F47BF8" w:rsidP="00594F8F">
      <w:pPr>
        <w:pStyle w:val="af"/>
        <w:rPr>
          <w:rtl/>
        </w:rPr>
      </w:pPr>
      <w:r>
        <w:rPr>
          <w:rFonts w:hint="cs"/>
          <w:rtl/>
        </w:rPr>
        <w:t xml:space="preserve">ביום 26.2.2019 הבעל הגיש תביעה כספית בביהמ"ש נגד האשה על הפרת הסכם גירושין, ועל כך שמסרבת להתגרש לפי ההסכם. </w:t>
      </w:r>
    </w:p>
    <w:p w:rsidR="00594F8F" w:rsidRDefault="00F47BF8" w:rsidP="00594F8F">
      <w:pPr>
        <w:pStyle w:val="af"/>
        <w:rPr>
          <w:rtl/>
        </w:rPr>
      </w:pPr>
      <w:r>
        <w:rPr>
          <w:rFonts w:hint="cs"/>
          <w:rtl/>
        </w:rPr>
        <w:t xml:space="preserve">בדיון בביהמ"ש ביום 2.6.2019 טענה האשה שלא קיימת תביעת גירושין, ולכן אי אפשר להחשיב אותה כסרבנית גט, והצהירה שמוכנה להתגרש בהתאם להסכם הגירושין למעט סוגיית הכתובה שהיא שומרת לעצמה את הזכות להגיש תביעה לכתובתה.הבעל הגיש תביעת גירושין בביה"ד באותו יום. </w:t>
      </w:r>
    </w:p>
    <w:p w:rsidR="00F47BF8" w:rsidRDefault="00F47BF8" w:rsidP="00F47BF8">
      <w:pPr>
        <w:pStyle w:val="af"/>
        <w:rPr>
          <w:rtl/>
        </w:rPr>
      </w:pPr>
      <w:r>
        <w:rPr>
          <w:rFonts w:hint="cs"/>
          <w:rtl/>
        </w:rPr>
        <w:t xml:space="preserve">בדיון בביה"ד ביום </w:t>
      </w:r>
      <w:r w:rsidRPr="00B70FD7">
        <w:rPr>
          <w:rtl/>
        </w:rPr>
        <w:t xml:space="preserve">י"ד בתמוז תשע"ט </w:t>
      </w:r>
      <w:r w:rsidRPr="00C12CF4">
        <w:rPr>
          <w:sz w:val="24"/>
          <w:szCs w:val="24"/>
          <w:rtl/>
        </w:rPr>
        <w:t>(17</w:t>
      </w:r>
      <w:r w:rsidRPr="00C12CF4">
        <w:rPr>
          <w:rFonts w:hint="cs"/>
          <w:sz w:val="24"/>
          <w:szCs w:val="24"/>
          <w:rtl/>
        </w:rPr>
        <w:t>.</w:t>
      </w:r>
      <w:r w:rsidRPr="00C12CF4">
        <w:rPr>
          <w:sz w:val="24"/>
          <w:szCs w:val="24"/>
          <w:rtl/>
        </w:rPr>
        <w:t>07</w:t>
      </w:r>
      <w:r w:rsidRPr="00C12CF4">
        <w:rPr>
          <w:rFonts w:hint="cs"/>
          <w:sz w:val="24"/>
          <w:szCs w:val="24"/>
          <w:rtl/>
        </w:rPr>
        <w:t>.</w:t>
      </w:r>
      <w:r w:rsidRPr="00C12CF4">
        <w:rPr>
          <w:sz w:val="24"/>
          <w:szCs w:val="24"/>
          <w:rtl/>
        </w:rPr>
        <w:t>2019)</w:t>
      </w:r>
      <w:r>
        <w:rPr>
          <w:rFonts w:hint="cs"/>
          <w:rtl/>
        </w:rPr>
        <w:t xml:space="preserve"> הסכימה האשה להתגרש באותו יום, כאשר נושא הכתובה יידון לאחר הגט.</w:t>
      </w:r>
    </w:p>
    <w:p w:rsidR="00F47BF8" w:rsidRDefault="00F47BF8" w:rsidP="00F47BF8">
      <w:pPr>
        <w:pStyle w:val="af"/>
        <w:rPr>
          <w:rtl/>
        </w:rPr>
      </w:pPr>
      <w:r>
        <w:rPr>
          <w:rFonts w:hint="cs"/>
          <w:rtl/>
        </w:rPr>
        <w:t xml:space="preserve">התקיים דיון הוכחות ביום </w:t>
      </w:r>
      <w:r w:rsidRPr="00B70FD7">
        <w:rPr>
          <w:rtl/>
        </w:rPr>
        <w:t xml:space="preserve">ג' בחשון תשפ"א </w:t>
      </w:r>
      <w:r w:rsidRPr="00C12CF4">
        <w:rPr>
          <w:sz w:val="24"/>
          <w:szCs w:val="24"/>
          <w:rtl/>
        </w:rPr>
        <w:t>(21</w:t>
      </w:r>
      <w:r w:rsidRPr="00C12CF4">
        <w:rPr>
          <w:rFonts w:hint="cs"/>
          <w:sz w:val="24"/>
          <w:szCs w:val="24"/>
          <w:rtl/>
        </w:rPr>
        <w:t>.</w:t>
      </w:r>
      <w:r w:rsidRPr="00C12CF4">
        <w:rPr>
          <w:sz w:val="24"/>
          <w:szCs w:val="24"/>
          <w:rtl/>
        </w:rPr>
        <w:t>10</w:t>
      </w:r>
      <w:r w:rsidRPr="00C12CF4">
        <w:rPr>
          <w:rFonts w:hint="cs"/>
          <w:sz w:val="24"/>
          <w:szCs w:val="24"/>
          <w:rtl/>
        </w:rPr>
        <w:t>.</w:t>
      </w:r>
      <w:r w:rsidRPr="00C12CF4">
        <w:rPr>
          <w:sz w:val="24"/>
          <w:szCs w:val="24"/>
          <w:rtl/>
        </w:rPr>
        <w:t>2020)</w:t>
      </w:r>
      <w:r>
        <w:rPr>
          <w:rFonts w:hint="cs"/>
          <w:rtl/>
        </w:rPr>
        <w:t>, בו נידונו הן הטענה המקדמית של הבעל לשעבר שהאשה מחלה על הכתובה במסגרת הסכם הגירושין, הן עצם טענות הצדדים לזכאות האשה בכתובה.</w:t>
      </w:r>
    </w:p>
    <w:p w:rsidR="00F47BF8" w:rsidRDefault="00F47BF8" w:rsidP="00F47BF8">
      <w:pPr>
        <w:pStyle w:val="af"/>
        <w:rPr>
          <w:rtl/>
        </w:rPr>
      </w:pPr>
      <w:r>
        <w:rPr>
          <w:rFonts w:hint="cs"/>
          <w:rtl/>
        </w:rPr>
        <w:t>ביה"ד הורה לצדדים להגיש סיכומים בעניי</w:t>
      </w:r>
      <w:r>
        <w:rPr>
          <w:rFonts w:hint="eastAsia"/>
          <w:rtl/>
        </w:rPr>
        <w:t>ן</w:t>
      </w:r>
      <w:r>
        <w:rPr>
          <w:rFonts w:hint="cs"/>
          <w:rtl/>
        </w:rPr>
        <w:t xml:space="preserve"> הטענה המקדמית של מחילת הכתובה, אליה תתייחס החלטה זו.</w:t>
      </w:r>
    </w:p>
    <w:p w:rsidR="00F47BF8" w:rsidRPr="00995060" w:rsidRDefault="00F47BF8" w:rsidP="00F47BF8">
      <w:pPr>
        <w:pStyle w:val="-0"/>
        <w:rPr>
          <w:rFonts w:eastAsia="Calibri"/>
          <w:rtl/>
          <w:lang w:eastAsia="he-IL"/>
        </w:rPr>
      </w:pPr>
      <w:r w:rsidRPr="00995060">
        <w:rPr>
          <w:rFonts w:eastAsia="Calibri" w:hint="cs"/>
          <w:rtl/>
          <w:lang w:eastAsia="he-IL"/>
        </w:rPr>
        <w:lastRenderedPageBreak/>
        <w:t>טענות הצדדים</w:t>
      </w:r>
    </w:p>
    <w:p w:rsidR="00F47BF8" w:rsidRDefault="00F47BF8" w:rsidP="00F47BF8">
      <w:pPr>
        <w:pStyle w:val="ae"/>
        <w:rPr>
          <w:rtl/>
        </w:rPr>
      </w:pPr>
      <w:r>
        <w:rPr>
          <w:rFonts w:hint="cs"/>
          <w:rtl/>
        </w:rPr>
        <w:t>עיקרי טענות הבעל לשעבר וב"כ:</w:t>
      </w:r>
    </w:p>
    <w:p w:rsidR="00F47BF8" w:rsidRDefault="00F47BF8" w:rsidP="00F47BF8">
      <w:pPr>
        <w:pStyle w:val="af"/>
        <w:numPr>
          <w:ilvl w:val="0"/>
          <w:numId w:val="12"/>
        </w:numPr>
        <w:rPr>
          <w:sz w:val="28"/>
        </w:rPr>
      </w:pPr>
      <w:r>
        <w:rPr>
          <w:rFonts w:hint="cs"/>
          <w:sz w:val="28"/>
          <w:rtl/>
        </w:rPr>
        <w:t xml:space="preserve">הצדדים חתמו על הסכם גירושין, והבעל קיים את חלקו </w:t>
      </w:r>
      <w:r w:rsidRPr="00C12CF4">
        <w:rPr>
          <w:rFonts w:hint="cs"/>
          <w:sz w:val="24"/>
          <w:szCs w:val="24"/>
          <w:rtl/>
        </w:rPr>
        <w:t xml:space="preserve">(העברת סכום של 40,300 </w:t>
      </w:r>
      <w:r w:rsidR="00C12CF4" w:rsidRPr="00C12CF4">
        <w:rPr>
          <w:rFonts w:hint="cs"/>
          <w:sz w:val="24"/>
          <w:szCs w:val="24"/>
          <w:rtl/>
        </w:rPr>
        <w:t>ש</w:t>
      </w:r>
      <w:r w:rsidR="00C12CF4" w:rsidRPr="00C12CF4">
        <w:rPr>
          <w:sz w:val="24"/>
          <w:szCs w:val="24"/>
          <w:rtl/>
        </w:rPr>
        <w:t>"</w:t>
      </w:r>
      <w:r w:rsidR="00C12CF4" w:rsidRPr="00C12CF4">
        <w:rPr>
          <w:rFonts w:hint="cs"/>
          <w:sz w:val="24"/>
          <w:szCs w:val="24"/>
          <w:rtl/>
        </w:rPr>
        <w:t>ח</w:t>
      </w:r>
      <w:r w:rsidRPr="00C12CF4">
        <w:rPr>
          <w:rFonts w:hint="cs"/>
          <w:sz w:val="24"/>
          <w:szCs w:val="24"/>
          <w:rtl/>
        </w:rPr>
        <w:t xml:space="preserve"> לאשה עבור רכישת ציוד לדירה)</w:t>
      </w:r>
      <w:r>
        <w:rPr>
          <w:rFonts w:hint="cs"/>
          <w:sz w:val="28"/>
          <w:rtl/>
        </w:rPr>
        <w:t>.</w:t>
      </w:r>
    </w:p>
    <w:p w:rsidR="00F47BF8" w:rsidRDefault="00F47BF8" w:rsidP="00F47BF8">
      <w:pPr>
        <w:pStyle w:val="af"/>
        <w:numPr>
          <w:ilvl w:val="0"/>
          <w:numId w:val="12"/>
        </w:numPr>
        <w:rPr>
          <w:sz w:val="28"/>
        </w:rPr>
      </w:pPr>
      <w:r>
        <w:rPr>
          <w:rFonts w:hint="cs"/>
          <w:sz w:val="28"/>
          <w:rtl/>
        </w:rPr>
        <w:t>האשה חתמה על ההסכם מרצון לאחר שיקול דעת, גם אם לא נחה דעתה מהגירושין.</w:t>
      </w:r>
    </w:p>
    <w:p w:rsidR="00F47BF8" w:rsidRDefault="00F47BF8" w:rsidP="00F47BF8">
      <w:pPr>
        <w:pStyle w:val="af"/>
        <w:numPr>
          <w:ilvl w:val="0"/>
          <w:numId w:val="12"/>
        </w:numPr>
        <w:rPr>
          <w:sz w:val="28"/>
        </w:rPr>
      </w:pPr>
      <w:r>
        <w:rPr>
          <w:rFonts w:hint="cs"/>
          <w:sz w:val="28"/>
          <w:rtl/>
        </w:rPr>
        <w:t>האשה הפרה את ההסכם ודרשה את כתובתה לפני הגירושין.</w:t>
      </w:r>
    </w:p>
    <w:p w:rsidR="00F47BF8" w:rsidRDefault="00F47BF8" w:rsidP="00F47BF8">
      <w:pPr>
        <w:pStyle w:val="af"/>
        <w:numPr>
          <w:ilvl w:val="0"/>
          <w:numId w:val="12"/>
        </w:numPr>
        <w:rPr>
          <w:sz w:val="28"/>
        </w:rPr>
      </w:pPr>
      <w:r>
        <w:rPr>
          <w:rFonts w:hint="cs"/>
          <w:sz w:val="28"/>
          <w:rtl/>
        </w:rPr>
        <w:t>גם אם המחילה מותנית בסידור הגט, אינה יכולה לחזור בה כאשר הבעל היה מוכן לסדר את הגט במועדו, ויש לראות את התנאי כמקוים</w:t>
      </w:r>
      <w:r w:rsidRPr="004E78B6">
        <w:rPr>
          <w:rFonts w:hint="cs"/>
          <w:sz w:val="28"/>
          <w:rtl/>
        </w:rPr>
        <w:t>.</w:t>
      </w:r>
    </w:p>
    <w:p w:rsidR="00F47BF8" w:rsidRDefault="00F47BF8" w:rsidP="00F47BF8">
      <w:pPr>
        <w:pStyle w:val="af"/>
        <w:numPr>
          <w:ilvl w:val="0"/>
          <w:numId w:val="12"/>
        </w:numPr>
        <w:rPr>
          <w:sz w:val="28"/>
        </w:rPr>
      </w:pPr>
      <w:r>
        <w:rPr>
          <w:rFonts w:hint="cs"/>
          <w:sz w:val="28"/>
          <w:rtl/>
        </w:rPr>
        <w:t>האשה חזרה בה, לא כי רצתה שלו"ב, אלא בגלל שרצתה לשנות תנאי ממוני בהסכם.</w:t>
      </w:r>
    </w:p>
    <w:p w:rsidR="00F47BF8" w:rsidRDefault="00F47BF8" w:rsidP="00F47BF8">
      <w:pPr>
        <w:pStyle w:val="af"/>
        <w:numPr>
          <w:ilvl w:val="0"/>
          <w:numId w:val="12"/>
        </w:numPr>
        <w:rPr>
          <w:sz w:val="28"/>
        </w:rPr>
      </w:pPr>
      <w:r>
        <w:rPr>
          <w:rFonts w:hint="cs"/>
          <w:sz w:val="28"/>
          <w:rtl/>
        </w:rPr>
        <w:t>ניתן להכיר בתוקפו של הסכם שלא אושר מכוח עקרון תום הלב, כיון שהצדדים נהגו על פי ההסכם.</w:t>
      </w:r>
    </w:p>
    <w:p w:rsidR="00F47BF8" w:rsidRDefault="00F47BF8" w:rsidP="00F47BF8">
      <w:pPr>
        <w:pStyle w:val="af"/>
        <w:numPr>
          <w:ilvl w:val="0"/>
          <w:numId w:val="12"/>
        </w:numPr>
        <w:rPr>
          <w:sz w:val="28"/>
        </w:rPr>
      </w:pPr>
      <w:r>
        <w:rPr>
          <w:rFonts w:hint="cs"/>
          <w:sz w:val="28"/>
          <w:rtl/>
        </w:rPr>
        <w:t>גם לאשה חלק אשם בגירושין, ואין לקבוע כי האשם רובץ לפתח הבעל.</w:t>
      </w:r>
    </w:p>
    <w:p w:rsidR="00F47BF8" w:rsidRPr="00995060" w:rsidRDefault="00F47BF8" w:rsidP="00F47BF8">
      <w:pPr>
        <w:pStyle w:val="ae"/>
        <w:rPr>
          <w:rtl/>
        </w:rPr>
      </w:pPr>
      <w:r w:rsidRPr="00995060">
        <w:rPr>
          <w:rFonts w:hint="cs"/>
          <w:rtl/>
        </w:rPr>
        <w:t>עיקר טענות האשה</w:t>
      </w:r>
      <w:r>
        <w:rPr>
          <w:rFonts w:hint="cs"/>
          <w:rtl/>
        </w:rPr>
        <w:t xml:space="preserve"> וב"כ:</w:t>
      </w:r>
    </w:p>
    <w:p w:rsidR="00F47BF8" w:rsidRDefault="00F47BF8" w:rsidP="00F47BF8">
      <w:pPr>
        <w:pStyle w:val="af"/>
        <w:numPr>
          <w:ilvl w:val="0"/>
          <w:numId w:val="12"/>
        </w:numPr>
        <w:rPr>
          <w:sz w:val="28"/>
        </w:rPr>
      </w:pPr>
      <w:r>
        <w:rPr>
          <w:rFonts w:hint="cs"/>
          <w:sz w:val="28"/>
          <w:rtl/>
        </w:rPr>
        <w:t>הבעל יזם את הגירושין, וב-8/2018 הודיע לה שהוא נחוש להתגרש.</w:t>
      </w:r>
    </w:p>
    <w:p w:rsidR="00F47BF8" w:rsidRDefault="00F47BF8" w:rsidP="00F47BF8">
      <w:pPr>
        <w:pStyle w:val="af"/>
        <w:numPr>
          <w:ilvl w:val="0"/>
          <w:numId w:val="12"/>
        </w:numPr>
        <w:rPr>
          <w:sz w:val="28"/>
        </w:rPr>
      </w:pPr>
      <w:r>
        <w:rPr>
          <w:rFonts w:hint="cs"/>
          <w:sz w:val="28"/>
          <w:rtl/>
        </w:rPr>
        <w:t>האשה התלוותה לעו"ד, שלא הסבירה לה את זכויותיה ושההסכם מקפח, וחתמה עליו לרצות את בעלה.</w:t>
      </w:r>
    </w:p>
    <w:p w:rsidR="00F47BF8" w:rsidRDefault="00F47BF8" w:rsidP="00F47BF8">
      <w:pPr>
        <w:pStyle w:val="af"/>
        <w:numPr>
          <w:ilvl w:val="0"/>
          <w:numId w:val="12"/>
        </w:numPr>
        <w:rPr>
          <w:sz w:val="28"/>
        </w:rPr>
      </w:pPr>
      <w:r>
        <w:rPr>
          <w:rFonts w:hint="cs"/>
          <w:sz w:val="28"/>
          <w:rtl/>
        </w:rPr>
        <w:t>עדותה של עו"ד מזרחי שערכה את ההסכם מורה שהאשה לא היתה שלימה אתו.</w:t>
      </w:r>
    </w:p>
    <w:p w:rsidR="00F47BF8" w:rsidRDefault="00F47BF8" w:rsidP="00F47BF8">
      <w:pPr>
        <w:pStyle w:val="af"/>
        <w:numPr>
          <w:ilvl w:val="0"/>
          <w:numId w:val="12"/>
        </w:numPr>
        <w:rPr>
          <w:sz w:val="28"/>
        </w:rPr>
      </w:pPr>
      <w:r>
        <w:rPr>
          <w:rFonts w:hint="cs"/>
          <w:sz w:val="28"/>
          <w:rtl/>
        </w:rPr>
        <w:t>עפ"י חוק יחסי ממון, הסכם ממון והסכם גירושין טעונים אישור ערכאה משפטית, ובלעדי זה חסרים תוקף.</w:t>
      </w:r>
    </w:p>
    <w:p w:rsidR="00F47BF8" w:rsidRDefault="00F47BF8" w:rsidP="00F47BF8">
      <w:pPr>
        <w:pStyle w:val="af"/>
        <w:numPr>
          <w:ilvl w:val="0"/>
          <w:numId w:val="12"/>
        </w:numPr>
        <w:rPr>
          <w:sz w:val="28"/>
        </w:rPr>
      </w:pPr>
      <w:r>
        <w:rPr>
          <w:rFonts w:hint="cs"/>
          <w:sz w:val="28"/>
          <w:rtl/>
        </w:rPr>
        <w:t xml:space="preserve">בחג סוכות תשע"ט </w:t>
      </w:r>
      <w:r w:rsidRPr="00C12CF4">
        <w:rPr>
          <w:rFonts w:hint="cs"/>
          <w:sz w:val="24"/>
          <w:szCs w:val="24"/>
          <w:rtl/>
        </w:rPr>
        <w:t>(9/2018)</w:t>
      </w:r>
      <w:r>
        <w:rPr>
          <w:rFonts w:hint="cs"/>
          <w:sz w:val="28"/>
          <w:rtl/>
        </w:rPr>
        <w:t>, סמוך לפירוד ממנו, התוודעה האשה לקשר חשוד של הבעל עם אשה פיליפינית, אשר הובילה אותה לדיכאו</w:t>
      </w:r>
      <w:r>
        <w:rPr>
          <w:rFonts w:hint="eastAsia"/>
          <w:sz w:val="28"/>
          <w:rtl/>
        </w:rPr>
        <w:t>ן</w:t>
      </w:r>
      <w:r>
        <w:rPr>
          <w:rFonts w:hint="cs"/>
          <w:sz w:val="28"/>
          <w:rtl/>
        </w:rPr>
        <w:t>.</w:t>
      </w:r>
    </w:p>
    <w:p w:rsidR="00F47BF8" w:rsidRDefault="00F47BF8" w:rsidP="00F47BF8">
      <w:pPr>
        <w:pStyle w:val="af"/>
        <w:numPr>
          <w:ilvl w:val="0"/>
          <w:numId w:val="12"/>
        </w:numPr>
        <w:rPr>
          <w:sz w:val="28"/>
        </w:rPr>
      </w:pPr>
      <w:r>
        <w:rPr>
          <w:rFonts w:hint="cs"/>
          <w:sz w:val="28"/>
          <w:rtl/>
        </w:rPr>
        <w:t>סירובה של האשה לאשר את ההסכם אינה מחוסר תום לב, אלא מחמת אי הבנה ו/או חוסר גמירות דעת.</w:t>
      </w:r>
    </w:p>
    <w:p w:rsidR="00F47BF8" w:rsidRDefault="00F47BF8" w:rsidP="00F47BF8">
      <w:pPr>
        <w:pStyle w:val="af"/>
        <w:numPr>
          <w:ilvl w:val="0"/>
          <w:numId w:val="12"/>
        </w:numPr>
        <w:rPr>
          <w:sz w:val="28"/>
        </w:rPr>
      </w:pPr>
      <w:r>
        <w:rPr>
          <w:rFonts w:hint="cs"/>
          <w:sz w:val="28"/>
          <w:rtl/>
        </w:rPr>
        <w:t xml:space="preserve">אין סיבה הגיונית שאשה תוותר על כתובה בסך 180,000 </w:t>
      </w:r>
      <w:r w:rsidR="00C12CF4">
        <w:rPr>
          <w:rFonts w:hint="cs"/>
          <w:sz w:val="28"/>
          <w:rtl/>
        </w:rPr>
        <w:t>ש</w:t>
      </w:r>
      <w:r w:rsidR="00C12CF4">
        <w:rPr>
          <w:sz w:val="28"/>
          <w:rtl/>
        </w:rPr>
        <w:t>"</w:t>
      </w:r>
      <w:r w:rsidR="00C12CF4">
        <w:rPr>
          <w:rFonts w:hint="cs"/>
          <w:sz w:val="28"/>
          <w:rtl/>
        </w:rPr>
        <w:t>ח</w:t>
      </w:r>
      <w:r>
        <w:rPr>
          <w:rFonts w:hint="cs"/>
          <w:sz w:val="28"/>
          <w:rtl/>
        </w:rPr>
        <w:t xml:space="preserve">, גם עבור קבלת סך 40,000 </w:t>
      </w:r>
      <w:r w:rsidR="00C12CF4">
        <w:rPr>
          <w:rFonts w:hint="cs"/>
          <w:sz w:val="28"/>
          <w:rtl/>
        </w:rPr>
        <w:t>ש</w:t>
      </w:r>
      <w:r w:rsidR="00C12CF4">
        <w:rPr>
          <w:sz w:val="28"/>
          <w:rtl/>
        </w:rPr>
        <w:t>"</w:t>
      </w:r>
      <w:r w:rsidR="00C12CF4">
        <w:rPr>
          <w:rFonts w:hint="cs"/>
          <w:sz w:val="28"/>
          <w:rtl/>
        </w:rPr>
        <w:t>ח</w:t>
      </w:r>
      <w:r>
        <w:rPr>
          <w:rFonts w:hint="cs"/>
          <w:sz w:val="28"/>
          <w:rtl/>
        </w:rPr>
        <w:t>.</w:t>
      </w:r>
    </w:p>
    <w:p w:rsidR="00F47BF8" w:rsidRPr="00DB6587" w:rsidRDefault="00F47BF8" w:rsidP="00F47BF8">
      <w:pPr>
        <w:pStyle w:val="-0"/>
        <w:rPr>
          <w:rFonts w:eastAsia="Calibri"/>
          <w:sz w:val="32"/>
          <w:szCs w:val="28"/>
          <w:rtl/>
          <w:lang w:eastAsia="he-IL"/>
        </w:rPr>
      </w:pPr>
      <w:r w:rsidRPr="00DB6587">
        <w:rPr>
          <w:rFonts w:eastAsia="Calibri" w:hint="cs"/>
          <w:sz w:val="32"/>
          <w:szCs w:val="28"/>
          <w:rtl/>
          <w:lang w:eastAsia="he-IL"/>
        </w:rPr>
        <w:t>דיון והכרעה</w:t>
      </w:r>
    </w:p>
    <w:p w:rsidR="00F47BF8" w:rsidRDefault="00F47BF8" w:rsidP="00F47BF8">
      <w:pPr>
        <w:pStyle w:val="ae"/>
        <w:rPr>
          <w:rtl/>
        </w:rPr>
      </w:pPr>
      <w:r>
        <w:rPr>
          <w:rFonts w:hint="cs"/>
          <w:rtl/>
        </w:rPr>
        <w:t xml:space="preserve">בהלכה, ידוע ש"מחילה אינה צריכה קניין" </w:t>
      </w:r>
      <w:r w:rsidRPr="00C12CF4">
        <w:rPr>
          <w:rFonts w:hint="cs"/>
          <w:sz w:val="24"/>
          <w:szCs w:val="24"/>
          <w:rtl/>
        </w:rPr>
        <w:t>(חו"מ סימן יב סעיף ח)</w:t>
      </w:r>
      <w:r>
        <w:rPr>
          <w:rFonts w:hint="cs"/>
          <w:rtl/>
        </w:rPr>
        <w:t xml:space="preserve">, ומחילה תקפה גם באמירה בלבד. אולם, גם מחילה צריכה גמירות דעת, ומחילה בטעות אינה מחילה, גם כאשר עשו קנין </w:t>
      </w:r>
      <w:r w:rsidRPr="00C12CF4">
        <w:rPr>
          <w:rFonts w:hint="cs"/>
          <w:sz w:val="24"/>
          <w:szCs w:val="24"/>
          <w:rtl/>
        </w:rPr>
        <w:t>(חו"מ סי' רמא סעיף ב)</w:t>
      </w:r>
      <w:r>
        <w:rPr>
          <w:rFonts w:hint="cs"/>
          <w:rtl/>
        </w:rPr>
        <w:t>.</w:t>
      </w:r>
    </w:p>
    <w:p w:rsidR="00F47BF8" w:rsidRDefault="00F47BF8" w:rsidP="00F47BF8">
      <w:pPr>
        <w:pStyle w:val="af"/>
        <w:rPr>
          <w:rtl/>
          <w:lang w:eastAsia="he-IL"/>
        </w:rPr>
      </w:pPr>
      <w:r>
        <w:rPr>
          <w:rFonts w:hint="cs"/>
          <w:rtl/>
          <w:lang w:eastAsia="he-IL"/>
        </w:rPr>
        <w:t xml:space="preserve">כמו"כ, כל המתקשר בחוזה מתקשר עפ"י מנהג המדינה הנוהג באותו חוזה, כמש"כ בשו"ע </w:t>
      </w:r>
      <w:r w:rsidRPr="00C12CF4">
        <w:rPr>
          <w:rFonts w:hint="cs"/>
          <w:sz w:val="24"/>
          <w:szCs w:val="24"/>
          <w:rtl/>
          <w:lang w:eastAsia="he-IL"/>
        </w:rPr>
        <w:t>(חו"מ</w:t>
      </w:r>
      <w:r w:rsidRPr="00C12CF4">
        <w:rPr>
          <w:sz w:val="24"/>
          <w:szCs w:val="24"/>
          <w:rtl/>
          <w:lang w:eastAsia="he-IL"/>
        </w:rPr>
        <w:t xml:space="preserve"> סימן סא סעיף ה</w:t>
      </w:r>
      <w:r w:rsidRPr="00C12CF4">
        <w:rPr>
          <w:rFonts w:hint="cs"/>
          <w:sz w:val="24"/>
          <w:szCs w:val="24"/>
          <w:rtl/>
          <w:lang w:eastAsia="he-IL"/>
        </w:rPr>
        <w:t>)</w:t>
      </w:r>
      <w:r>
        <w:rPr>
          <w:rFonts w:hint="cs"/>
          <w:rtl/>
          <w:lang w:eastAsia="he-IL"/>
        </w:rPr>
        <w:t>:</w:t>
      </w:r>
    </w:p>
    <w:p w:rsidR="00F47BF8" w:rsidRPr="00597070" w:rsidRDefault="00F47BF8" w:rsidP="00F47BF8">
      <w:pPr>
        <w:pStyle w:val="aa"/>
        <w:rPr>
          <w:rtl/>
          <w:lang w:eastAsia="he-IL"/>
        </w:rPr>
      </w:pPr>
      <w:r>
        <w:rPr>
          <w:rFonts w:hint="cs"/>
          <w:rtl/>
          <w:lang w:eastAsia="he-IL"/>
        </w:rPr>
        <w:lastRenderedPageBreak/>
        <w:t>"</w:t>
      </w:r>
      <w:r>
        <w:rPr>
          <w:rtl/>
          <w:lang w:eastAsia="he-IL"/>
        </w:rPr>
        <w:t>כל דבר שנהגו במדינה לכתוב, הן נאמנות, הן כתבוה בשוקא, הן שאר שופרי דשטרי שנהגו הסופרים לכתוב, כל מי שמקנה בסודר לכתוב שטר דעתו שיכתבוהו כמנהג המדינה</w:t>
      </w:r>
      <w:r>
        <w:rPr>
          <w:rFonts w:hint="cs"/>
          <w:rtl/>
          <w:lang w:eastAsia="he-IL"/>
        </w:rPr>
        <w:t xml:space="preserve"> [...]</w:t>
      </w:r>
      <w:r>
        <w:rPr>
          <w:rtl/>
          <w:lang w:eastAsia="he-IL"/>
        </w:rPr>
        <w:t xml:space="preserve"> וכל דבר שנהגו בו בני המדינה בשטרות, אף על פי שאינו כתיקון חכמים, הולכין אחריו </w:t>
      </w:r>
      <w:r w:rsidRPr="00C12CF4">
        <w:rPr>
          <w:sz w:val="24"/>
          <w:szCs w:val="24"/>
          <w:rtl/>
          <w:lang w:eastAsia="he-IL"/>
        </w:rPr>
        <w:t>(טור בס"ס מ"ב וריב"ש סימן ק"ה)</w:t>
      </w:r>
      <w:r>
        <w:rPr>
          <w:rtl/>
          <w:lang w:eastAsia="he-IL"/>
        </w:rPr>
        <w:t>.</w:t>
      </w:r>
      <w:r>
        <w:rPr>
          <w:rFonts w:hint="cs"/>
          <w:rtl/>
          <w:lang w:eastAsia="he-IL"/>
        </w:rPr>
        <w:t xml:space="preserve">" </w:t>
      </w:r>
    </w:p>
    <w:p w:rsidR="00F47BF8" w:rsidRDefault="00F47BF8" w:rsidP="00F47BF8">
      <w:pPr>
        <w:pStyle w:val="af"/>
        <w:rPr>
          <w:rtl/>
          <w:lang w:eastAsia="he-IL"/>
        </w:rPr>
      </w:pPr>
      <w:r>
        <w:rPr>
          <w:rFonts w:hint="cs"/>
          <w:rtl/>
          <w:lang w:eastAsia="he-IL"/>
        </w:rPr>
        <w:t>לכן, גם אם האשה אמרה לעו"ד במסגרת הכנת הסכם הגירושין שהיא מוחלת על כתובתה, ואף אם חתמה על ההסכם, אין לתפוס את המחילה כמחילה מיידית התקיפה גם באמירה בלבד או בחתימה על ההסכם, אלא כפי הנהוג במדינה, שמחילת הכתובה בהסכם הגירושין הינה דרך אישור ההסכם בערכאה משפטית, ובכפוף למתן הגט.</w:t>
      </w:r>
    </w:p>
    <w:p w:rsidR="00F47BF8" w:rsidRDefault="00F47BF8" w:rsidP="00F47BF8">
      <w:pPr>
        <w:pStyle w:val="af"/>
        <w:rPr>
          <w:rtl/>
          <w:lang w:eastAsia="he-IL"/>
        </w:rPr>
      </w:pPr>
      <w:r>
        <w:rPr>
          <w:rFonts w:hint="cs"/>
          <w:rtl/>
          <w:lang w:eastAsia="he-IL"/>
        </w:rPr>
        <w:t xml:space="preserve">אמנם, אדם החותם על הסכם גירושין ומאשר אותו בערכאה משפטית אינו יכול לטעון בדרך כלל שלא היה מודע לזכויותיו, ושוויתוריו היו בטעות, וכבר כתבנו בעניין זה לאחרונה </w:t>
      </w:r>
      <w:r w:rsidRPr="00C12CF4">
        <w:rPr>
          <w:rFonts w:hint="cs"/>
          <w:sz w:val="24"/>
          <w:szCs w:val="24"/>
          <w:rtl/>
          <w:lang w:eastAsia="he-IL"/>
        </w:rPr>
        <w:t xml:space="preserve">(תיק </w:t>
      </w:r>
      <w:r w:rsidRPr="00C12CF4">
        <w:rPr>
          <w:sz w:val="24"/>
          <w:szCs w:val="24"/>
          <w:rtl/>
          <w:lang w:eastAsia="he-IL"/>
        </w:rPr>
        <w:t>1128533</w:t>
      </w:r>
      <w:r w:rsidRPr="00C12CF4">
        <w:rPr>
          <w:rFonts w:hint="cs"/>
          <w:sz w:val="24"/>
          <w:szCs w:val="24"/>
          <w:rtl/>
          <w:lang w:eastAsia="he-IL"/>
        </w:rPr>
        <w:t>/3)</w:t>
      </w:r>
      <w:r>
        <w:rPr>
          <w:rFonts w:hint="cs"/>
          <w:rtl/>
          <w:lang w:eastAsia="he-IL"/>
        </w:rPr>
        <w:t xml:space="preserve"> בפס"ד מיום </w:t>
      </w:r>
      <w:r w:rsidRPr="004A36FF">
        <w:rPr>
          <w:rtl/>
          <w:lang w:eastAsia="he-IL"/>
        </w:rPr>
        <w:t xml:space="preserve">י"ח בטבת תשפ"א </w:t>
      </w:r>
      <w:r w:rsidRPr="00C12CF4">
        <w:rPr>
          <w:sz w:val="24"/>
          <w:szCs w:val="24"/>
          <w:rtl/>
          <w:lang w:eastAsia="he-IL"/>
        </w:rPr>
        <w:t>(02.01.2021)</w:t>
      </w:r>
      <w:r>
        <w:rPr>
          <w:rFonts w:hint="cs"/>
          <w:rtl/>
          <w:lang w:eastAsia="he-IL"/>
        </w:rPr>
        <w:t xml:space="preserve"> בעניין וויתור האשה בזכויות הפנסיה של הבעל.</w:t>
      </w:r>
    </w:p>
    <w:p w:rsidR="00F47BF8" w:rsidRDefault="00F47BF8" w:rsidP="00F47BF8">
      <w:pPr>
        <w:pStyle w:val="af"/>
        <w:rPr>
          <w:rtl/>
          <w:lang w:eastAsia="he-IL"/>
        </w:rPr>
      </w:pPr>
      <w:r>
        <w:rPr>
          <w:rFonts w:hint="cs"/>
          <w:rtl/>
          <w:lang w:eastAsia="he-IL"/>
        </w:rPr>
        <w:t xml:space="preserve">אולם, כאמור, אין הדברים אמורים כאשר האשה חוזרת בה ומעלה טענות אלו עוד טרם אישור ההסכם, כאשר לפי החוק ומנהג המדינה אין להסכם הגירושין תוקף ללא אישור ערכאה שופטת, וגם נהגו לתת להסכם תוקף פסק דין בעת האישור. כל שכן בעניין מחילת הכתובה, כאשר הנוהל המקובל בבתי הדין ואף בין עורכי הדין </w:t>
      </w:r>
      <w:r w:rsidRPr="00C12CF4">
        <w:rPr>
          <w:rFonts w:hint="cs"/>
          <w:sz w:val="24"/>
          <w:szCs w:val="24"/>
          <w:rtl/>
          <w:lang w:eastAsia="he-IL"/>
        </w:rPr>
        <w:t>(כפי שאכן היה אף בהסכם הגירושין בנידו"ד)</w:t>
      </w:r>
      <w:r>
        <w:rPr>
          <w:rFonts w:hint="cs"/>
          <w:rtl/>
          <w:lang w:eastAsia="he-IL"/>
        </w:rPr>
        <w:t xml:space="preserve"> להתנות ולכפוף את וויתור הכתובה עם מתן הגט.</w:t>
      </w:r>
    </w:p>
    <w:p w:rsidR="00F47BF8" w:rsidRDefault="00F47BF8" w:rsidP="00F47BF8">
      <w:pPr>
        <w:pStyle w:val="af"/>
        <w:rPr>
          <w:rtl/>
          <w:lang w:eastAsia="he-IL"/>
        </w:rPr>
      </w:pPr>
      <w:r>
        <w:rPr>
          <w:rFonts w:hint="cs"/>
          <w:rtl/>
          <w:lang w:eastAsia="he-IL"/>
        </w:rPr>
        <w:t>נמצא בנידו"ד שקיים חוסר גמירות דעת במחילת האשה.</w:t>
      </w:r>
    </w:p>
    <w:p w:rsidR="00F47BF8" w:rsidRDefault="00F47BF8" w:rsidP="00F47BF8">
      <w:pPr>
        <w:pStyle w:val="af"/>
        <w:rPr>
          <w:rtl/>
          <w:lang w:eastAsia="he-IL"/>
        </w:rPr>
      </w:pPr>
      <w:r>
        <w:rPr>
          <w:rFonts w:hint="cs"/>
          <w:rtl/>
          <w:lang w:eastAsia="he-IL"/>
        </w:rPr>
        <w:t>ואף שבנידו"ד הצדדים התגרשו, ולכאורה בזה גם קוים התנאי כפי שטענה ב"כ הבעל, הרי שבדיון ביום הגירושין סוכם שנושא הכתובה יידון לאחר סידור הגט, וכן אף נכתב בהחלטה בעקבות הדיון: "</w:t>
      </w:r>
      <w:r>
        <w:rPr>
          <w:rFonts w:hint="cs"/>
          <w:rtl/>
        </w:rPr>
        <w:t>על הצדדים להודיע תוך 30 יום על עמדתם בעניין הסכם הגירושין".</w:t>
      </w:r>
      <w:r>
        <w:rPr>
          <w:rFonts w:hint="cs"/>
          <w:rtl/>
          <w:lang w:eastAsia="he-IL"/>
        </w:rPr>
        <w:t xml:space="preserve"> משמעות הדברים היא שביה"ד יידון בזכאות האשה לכתובה כאילו טרם התגרשה, האם זכאית היא לכתובה, והאם יכלה לחזור בה קודם הגירושין ממחילתה בהסכם שלא אושר.</w:t>
      </w:r>
    </w:p>
    <w:p w:rsidR="00F47BF8" w:rsidRDefault="00F47BF8" w:rsidP="00F47BF8">
      <w:pPr>
        <w:pStyle w:val="af"/>
        <w:rPr>
          <w:rtl/>
          <w:lang w:eastAsia="he-IL"/>
        </w:rPr>
      </w:pPr>
      <w:r>
        <w:rPr>
          <w:rFonts w:hint="cs"/>
          <w:rtl/>
          <w:lang w:eastAsia="he-IL"/>
        </w:rPr>
        <w:t>בנוסף, יש לצרף את העובדה שלטענת האשה נחשפה בין עריכת ההסכם לבין אישורו, קודם פירודם הסופי של הצדדים על פי ההסכם, לחשש קשר של בעלה עם אשה אחרת. בלי לקבוע מסמרות כלל וכלל האם חשד זה מוצדק, ניתן להבין בהחלט שייתכן שאשה מוכנה לוותר על כתובתה ככל שסבורה שאולי היא אשמה, או שגם היא אשמה ברצון בעלה להיפרד ממנה, בכך שלא שימשה לדעתו כרעייה מספיק טובה, וכפי שטענה האשה שחתמה לרצות את בעלה, אך לא כאשר סבורה שמא נוטש אותה לטובת אחרת, ולא על דעת כן מחלה.</w:t>
      </w:r>
    </w:p>
    <w:p w:rsidR="00F47BF8" w:rsidRDefault="00F47BF8" w:rsidP="00F47BF8">
      <w:pPr>
        <w:pStyle w:val="af"/>
        <w:rPr>
          <w:rtl/>
          <w:lang w:eastAsia="he-IL"/>
        </w:rPr>
      </w:pPr>
      <w:r>
        <w:rPr>
          <w:rFonts w:hint="cs"/>
          <w:rtl/>
          <w:lang w:eastAsia="he-IL"/>
        </w:rPr>
        <w:t xml:space="preserve">וראה בדברי הרמ"א </w:t>
      </w:r>
      <w:r w:rsidRPr="00C12CF4">
        <w:rPr>
          <w:rFonts w:hint="cs"/>
          <w:sz w:val="24"/>
          <w:szCs w:val="24"/>
          <w:rtl/>
          <w:lang w:eastAsia="he-IL"/>
        </w:rPr>
        <w:t xml:space="preserve">(חו"מ </w:t>
      </w:r>
      <w:r w:rsidRPr="00C12CF4">
        <w:rPr>
          <w:sz w:val="24"/>
          <w:szCs w:val="24"/>
          <w:rtl/>
          <w:lang w:eastAsia="he-IL"/>
        </w:rPr>
        <w:t xml:space="preserve">סימן </w:t>
      </w:r>
      <w:r w:rsidRPr="00C12CF4">
        <w:rPr>
          <w:rFonts w:hint="cs"/>
          <w:sz w:val="24"/>
          <w:szCs w:val="24"/>
          <w:rtl/>
          <w:lang w:eastAsia="he-IL"/>
        </w:rPr>
        <w:t>רז</w:t>
      </w:r>
      <w:r w:rsidRPr="00C12CF4">
        <w:rPr>
          <w:sz w:val="24"/>
          <w:szCs w:val="24"/>
          <w:rtl/>
          <w:lang w:eastAsia="he-IL"/>
        </w:rPr>
        <w:t xml:space="preserve"> סעיף </w:t>
      </w:r>
      <w:r w:rsidRPr="00C12CF4">
        <w:rPr>
          <w:rFonts w:hint="cs"/>
          <w:sz w:val="24"/>
          <w:szCs w:val="24"/>
          <w:rtl/>
          <w:lang w:eastAsia="he-IL"/>
        </w:rPr>
        <w:t>ד)</w:t>
      </w:r>
      <w:r>
        <w:rPr>
          <w:rFonts w:hint="cs"/>
          <w:rtl/>
          <w:lang w:eastAsia="he-IL"/>
        </w:rPr>
        <w:t xml:space="preserve">, שכתב: "י"א דבמתנה דברים שבלב הויין דברים". ונראה שהוא הדין במחילה על חנם, שהוא כמתנה, עיי"ש בסמ"ע </w:t>
      </w:r>
      <w:r w:rsidRPr="00C12CF4">
        <w:rPr>
          <w:rFonts w:hint="cs"/>
          <w:sz w:val="24"/>
          <w:szCs w:val="24"/>
          <w:rtl/>
          <w:lang w:eastAsia="he-IL"/>
        </w:rPr>
        <w:t>(ס"ק י)</w:t>
      </w:r>
      <w:r>
        <w:rPr>
          <w:rFonts w:hint="cs"/>
          <w:rtl/>
          <w:lang w:eastAsia="he-IL"/>
        </w:rPr>
        <w:t xml:space="preserve"> שבאר: "...במתנה דהוא בחנם, דאומדן דעת כל דהו מבטל המעשה ואמרינן ביה דלא גמר בדעתו ליתנו לו בחנם".</w:t>
      </w:r>
    </w:p>
    <w:p w:rsidR="00F47BF8" w:rsidRDefault="00F47BF8" w:rsidP="00F47BF8">
      <w:pPr>
        <w:pStyle w:val="af"/>
        <w:rPr>
          <w:rtl/>
          <w:lang w:eastAsia="he-IL"/>
        </w:rPr>
      </w:pPr>
      <w:r>
        <w:rPr>
          <w:rFonts w:hint="cs"/>
          <w:rtl/>
          <w:lang w:eastAsia="he-IL"/>
        </w:rPr>
        <w:t xml:space="preserve">נמצא, שאף מצד זה ניתן להתייחס למחילה כעין מחילה בטעות, ולא על דעת כן מחלה. אמנם, </w:t>
      </w:r>
      <w:r w:rsidRPr="00485ADA">
        <w:rPr>
          <w:rtl/>
          <w:lang w:eastAsia="he-IL"/>
        </w:rPr>
        <w:t>לו אושר ההסכם</w:t>
      </w:r>
      <w:r>
        <w:rPr>
          <w:rFonts w:hint="cs"/>
          <w:rtl/>
          <w:lang w:eastAsia="he-IL"/>
        </w:rPr>
        <w:t xml:space="preserve">,ביה"ד לא היה מקבל טענה של מחילה בטעות באומדנא קלה כזו ככל שהטענה לא הוכחה. אך כיון שההסכם לא אושר, וכפי האמור לעיל שיש חיסרון בגמירות הדעת האשה למחול, יש לצרף אומדנא הנ"ל לומר שוודאי לא על דעת כן מחלה. גם חשש סביר בלב האשה מספיק כדי שתוכל לסרב להביא את ההסכם לידי אישור, ולעמוד על זכויותיה על פי דין, </w:t>
      </w:r>
      <w:r>
        <w:rPr>
          <w:rFonts w:hint="cs"/>
          <w:rtl/>
          <w:lang w:eastAsia="he-IL"/>
        </w:rPr>
        <w:lastRenderedPageBreak/>
        <w:t xml:space="preserve">כאשר מרגישה פגועה מהתנהלות הבעל לדעתה, ויוצאת בתחושה שבעלה בגד בה </w:t>
      </w:r>
      <w:r w:rsidRPr="00C12CF4">
        <w:rPr>
          <w:rFonts w:hint="cs"/>
          <w:sz w:val="24"/>
          <w:szCs w:val="24"/>
          <w:rtl/>
          <w:lang w:eastAsia="he-IL"/>
        </w:rPr>
        <w:t>(גם אם הדבר אינו נכון בפועל)</w:t>
      </w:r>
      <w:r>
        <w:rPr>
          <w:rFonts w:hint="cs"/>
          <w:rtl/>
          <w:lang w:eastAsia="he-IL"/>
        </w:rPr>
        <w:t>.</w:t>
      </w:r>
    </w:p>
    <w:p w:rsidR="00F47BF8" w:rsidRDefault="00F47BF8" w:rsidP="00F47BF8">
      <w:pPr>
        <w:pStyle w:val="af"/>
        <w:rPr>
          <w:rtl/>
          <w:lang w:eastAsia="he-IL"/>
        </w:rPr>
      </w:pPr>
      <w:r>
        <w:rPr>
          <w:rFonts w:hint="cs"/>
          <w:rtl/>
          <w:lang w:eastAsia="he-IL"/>
        </w:rPr>
        <w:t>נמצא, שעל אף הכלל ההלכתי שמחילה תקפה באמירה בלבד, וכ"ש בחתימה על חוזה, בנידו"ד הוויתור על הכתובה במסגרת הכנת הסכם הגירושין אינו תקף עפ"י ההלכה, כיון שלפי מנהג המדינה הוא כפוף לאישור ההסכם ולמתן הגט, ואף לפי ההלכה כל עוד אין תוקף פס"ד להסכם אין גמירות דעת, ואף יש צד לומר שהמחילה היתה מעין טעות מעיקרה.</w:t>
      </w:r>
    </w:p>
    <w:p w:rsidR="00F47BF8" w:rsidRDefault="00F47BF8" w:rsidP="00F47BF8">
      <w:pPr>
        <w:pStyle w:val="af"/>
        <w:rPr>
          <w:rtl/>
          <w:lang w:eastAsia="he-IL"/>
        </w:rPr>
      </w:pPr>
      <w:r>
        <w:rPr>
          <w:rFonts w:hint="cs"/>
          <w:rtl/>
          <w:lang w:eastAsia="he-IL"/>
        </w:rPr>
        <w:t>כל מה שנותר לדון היא האם יש משמעות חוקית או משפטית לוויתור האשה מדין תום לב בחוזים.</w:t>
      </w:r>
    </w:p>
    <w:p w:rsidR="00F47BF8" w:rsidRDefault="00F47BF8" w:rsidP="00F47BF8">
      <w:pPr>
        <w:pStyle w:val="af"/>
        <w:rPr>
          <w:rtl/>
          <w:lang w:eastAsia="he-IL"/>
        </w:rPr>
      </w:pPr>
      <w:r>
        <w:rPr>
          <w:rFonts w:hint="cs"/>
          <w:rtl/>
          <w:lang w:eastAsia="he-IL"/>
        </w:rPr>
        <w:t>כפי שהדגיש היטב ב"כ האשה, המחוקק אמר את דברו בצורה חד משמעית בסעיף 2</w:t>
      </w:r>
      <w:r w:rsidRPr="00C12CF4">
        <w:rPr>
          <w:rFonts w:hint="cs"/>
          <w:sz w:val="24"/>
          <w:szCs w:val="24"/>
          <w:rtl/>
          <w:lang w:eastAsia="he-IL"/>
        </w:rPr>
        <w:t>(א)</w:t>
      </w:r>
      <w:r>
        <w:rPr>
          <w:rFonts w:hint="cs"/>
          <w:rtl/>
          <w:lang w:eastAsia="he-IL"/>
        </w:rPr>
        <w:t xml:space="preserve"> ל</w:t>
      </w:r>
      <w:r>
        <w:rPr>
          <w:rtl/>
          <w:lang w:eastAsia="he-IL"/>
        </w:rPr>
        <w:t>חוק יחסי ממון בין בני זוג, תשל"ג-1973</w:t>
      </w:r>
      <w:r>
        <w:rPr>
          <w:rFonts w:hint="cs"/>
          <w:rtl/>
          <w:lang w:eastAsia="he-IL"/>
        </w:rPr>
        <w:t>,שאין תוקף להסכם הגירושין עד לאישורו בערכאה משפטית:</w:t>
      </w:r>
    </w:p>
    <w:p w:rsidR="00F47BF8" w:rsidRDefault="00F47BF8" w:rsidP="00F47BF8">
      <w:pPr>
        <w:pStyle w:val="aa"/>
        <w:rPr>
          <w:rtl/>
          <w:lang w:eastAsia="he-IL"/>
        </w:rPr>
      </w:pPr>
      <w:r>
        <w:rPr>
          <w:rFonts w:hint="cs"/>
          <w:rtl/>
          <w:lang w:eastAsia="he-IL"/>
        </w:rPr>
        <w:t>"</w:t>
      </w:r>
      <w:r>
        <w:rPr>
          <w:rtl/>
          <w:lang w:eastAsia="he-IL"/>
        </w:rPr>
        <w:t xml:space="preserve">הסכם ממון טעון אישור בית המשפט לעניני משפחה </w:t>
      </w:r>
      <w:r w:rsidRPr="00C12CF4">
        <w:rPr>
          <w:sz w:val="24"/>
          <w:szCs w:val="24"/>
          <w:rtl/>
          <w:lang w:eastAsia="he-IL"/>
        </w:rPr>
        <w:t>(להלן – בית המשפט)</w:t>
      </w:r>
      <w:r>
        <w:rPr>
          <w:rtl/>
          <w:lang w:eastAsia="he-IL"/>
        </w:rPr>
        <w:t xml:space="preserve"> או בית הדין הדתי שלו סמכות השיפוט בענייני נישואין וגירושין של בני הזוג </w:t>
      </w:r>
      <w:r w:rsidRPr="00C12CF4">
        <w:rPr>
          <w:sz w:val="24"/>
          <w:szCs w:val="24"/>
          <w:rtl/>
          <w:lang w:eastAsia="he-IL"/>
        </w:rPr>
        <w:t>(להלן – בית הדין)</w:t>
      </w:r>
      <w:r>
        <w:rPr>
          <w:rFonts w:hint="cs"/>
          <w:rtl/>
          <w:lang w:eastAsia="he-IL"/>
        </w:rPr>
        <w:t>."</w:t>
      </w:r>
    </w:p>
    <w:p w:rsidR="00F47BF8" w:rsidRDefault="00F47BF8" w:rsidP="00F47BF8">
      <w:pPr>
        <w:pStyle w:val="af"/>
        <w:rPr>
          <w:rtl/>
          <w:lang w:eastAsia="he-IL"/>
        </w:rPr>
      </w:pPr>
      <w:r>
        <w:rPr>
          <w:rFonts w:hint="cs"/>
          <w:rtl/>
          <w:lang w:eastAsia="he-IL"/>
        </w:rPr>
        <w:t>כך גם הדגיש הפסיקה, כפי שהביא ב"כ האשה מ</w:t>
      </w:r>
      <w:r>
        <w:rPr>
          <w:rtl/>
          <w:lang w:eastAsia="he-IL"/>
        </w:rPr>
        <w:t>ע</w:t>
      </w:r>
      <w:r>
        <w:rPr>
          <w:rFonts w:hint="cs"/>
          <w:rtl/>
          <w:lang w:eastAsia="he-IL"/>
        </w:rPr>
        <w:t>"</w:t>
      </w:r>
      <w:r>
        <w:rPr>
          <w:rtl/>
          <w:lang w:eastAsia="he-IL"/>
        </w:rPr>
        <w:t>א 169/83 שי נ' שי</w:t>
      </w:r>
      <w:r>
        <w:rPr>
          <w:rFonts w:hint="cs"/>
          <w:rtl/>
          <w:lang w:eastAsia="he-IL"/>
        </w:rPr>
        <w:t xml:space="preserve">, </w:t>
      </w:r>
      <w:r>
        <w:rPr>
          <w:rtl/>
          <w:lang w:eastAsia="he-IL"/>
        </w:rPr>
        <w:t>פ''ד לט</w:t>
      </w:r>
      <w:r w:rsidRPr="00C12CF4">
        <w:rPr>
          <w:sz w:val="24"/>
          <w:szCs w:val="24"/>
          <w:rtl/>
          <w:lang w:eastAsia="he-IL"/>
        </w:rPr>
        <w:t>(3)</w:t>
      </w:r>
      <w:r>
        <w:rPr>
          <w:rtl/>
          <w:lang w:eastAsia="he-IL"/>
        </w:rPr>
        <w:t xml:space="preserve"> 776</w:t>
      </w:r>
      <w:r>
        <w:rPr>
          <w:rFonts w:hint="cs"/>
          <w:rtl/>
          <w:lang w:eastAsia="he-IL"/>
        </w:rPr>
        <w:t>:</w:t>
      </w:r>
    </w:p>
    <w:p w:rsidR="00F47BF8" w:rsidRDefault="00F47BF8" w:rsidP="00F47BF8">
      <w:pPr>
        <w:pStyle w:val="aa"/>
        <w:rPr>
          <w:rtl/>
          <w:lang w:eastAsia="he-IL"/>
        </w:rPr>
      </w:pPr>
      <w:r>
        <w:rPr>
          <w:rFonts w:hint="cs"/>
          <w:rtl/>
        </w:rPr>
        <w:t>"</w:t>
      </w:r>
      <w:r>
        <w:rPr>
          <w:rtl/>
        </w:rPr>
        <w:t>"הסכם ממון" חייב להיות דווקא בכתב ולקבל, כתנאי-בלעדיו-אין, את אישורו של בית המשפט כמפורט בחוק ובתקנות שהותקנו על פיו</w:t>
      </w:r>
      <w:r>
        <w:rPr>
          <w:rFonts w:hint="cs"/>
          <w:rtl/>
        </w:rPr>
        <w:t>."</w:t>
      </w:r>
    </w:p>
    <w:p w:rsidR="00F47BF8" w:rsidRDefault="00F47BF8" w:rsidP="00F47BF8">
      <w:pPr>
        <w:pStyle w:val="af"/>
        <w:rPr>
          <w:rtl/>
          <w:lang w:eastAsia="he-IL"/>
        </w:rPr>
      </w:pPr>
      <w:r>
        <w:rPr>
          <w:rFonts w:hint="cs"/>
          <w:rtl/>
          <w:lang w:eastAsia="he-IL"/>
        </w:rPr>
        <w:t>וכן מ</w:t>
      </w:r>
      <w:r w:rsidRPr="00995EFE">
        <w:rPr>
          <w:rtl/>
          <w:lang w:eastAsia="he-IL"/>
        </w:rPr>
        <w:t>תמ</w:t>
      </w:r>
      <w:r>
        <w:rPr>
          <w:rFonts w:hint="cs"/>
          <w:rtl/>
          <w:lang w:eastAsia="he-IL"/>
        </w:rPr>
        <w:t>"</w:t>
      </w:r>
      <w:r w:rsidRPr="00995EFE">
        <w:rPr>
          <w:rtl/>
          <w:lang w:eastAsia="he-IL"/>
        </w:rPr>
        <w:t>ש 3061/08 אלמונית נ' פלוני</w:t>
      </w:r>
      <w:r>
        <w:rPr>
          <w:rFonts w:hint="cs"/>
          <w:rtl/>
          <w:lang w:eastAsia="he-IL"/>
        </w:rPr>
        <w:t>:</w:t>
      </w:r>
    </w:p>
    <w:p w:rsidR="00F47BF8" w:rsidRDefault="00F47BF8" w:rsidP="00F47BF8">
      <w:pPr>
        <w:pStyle w:val="aa"/>
        <w:rPr>
          <w:rtl/>
        </w:rPr>
      </w:pPr>
      <w:r>
        <w:rPr>
          <w:rFonts w:hint="cs"/>
          <w:rtl/>
        </w:rPr>
        <w:t>"</w:t>
      </w:r>
      <w:r>
        <w:rPr>
          <w:rtl/>
        </w:rPr>
        <w:t xml:space="preserve">להסכם ממון נוסף מה שכב' השופט שוחט כינה בפסק דינו "דבר מה נוסף", אשר </w:t>
      </w:r>
      <w:r w:rsidRPr="00912D12">
        <w:rPr>
          <w:rFonts w:ascii="FrankRuehl" w:hAnsi="FrankRuehl"/>
          <w:sz w:val="28"/>
          <w:rtl/>
        </w:rPr>
        <w:t xml:space="preserve">מוצא את ביטויו </w:t>
      </w:r>
      <w:hyperlink r:id="rId9" w:history="1">
        <w:r w:rsidRPr="00912D12">
          <w:rPr>
            <w:rStyle w:val="Hyperlink"/>
            <w:rFonts w:ascii="FrankRuehl" w:hAnsi="FrankRuehl"/>
            <w:sz w:val="28"/>
            <w:rtl/>
          </w:rPr>
          <w:t>בסעיף 2</w:t>
        </w:r>
      </w:hyperlink>
      <w:r w:rsidRPr="00912D12">
        <w:rPr>
          <w:rFonts w:ascii="FrankRuehl" w:hAnsi="FrankRuehl"/>
          <w:sz w:val="28"/>
          <w:rtl/>
        </w:rPr>
        <w:t xml:space="preserve"> ל</w:t>
      </w:r>
      <w:hyperlink r:id="rId10" w:history="1">
        <w:r w:rsidRPr="00912D12">
          <w:rPr>
            <w:rStyle w:val="Hyperlink"/>
            <w:rFonts w:ascii="FrankRuehl" w:hAnsi="FrankRuehl"/>
            <w:sz w:val="28"/>
            <w:rtl/>
          </w:rPr>
          <w:t>חוק יחסי ממון בין בני זוג</w:t>
        </w:r>
      </w:hyperlink>
      <w:r w:rsidRPr="00912D12">
        <w:rPr>
          <w:rFonts w:ascii="FrankRuehl" w:hAnsi="FrankRuehl"/>
          <w:sz w:val="28"/>
          <w:rtl/>
        </w:rPr>
        <w:t xml:space="preserve">, התשל"ג – 1973 </w:t>
      </w:r>
      <w:r w:rsidRPr="00C12CF4">
        <w:rPr>
          <w:rFonts w:ascii="FrankRuehl" w:hAnsi="FrankRuehl"/>
          <w:sz w:val="24"/>
          <w:szCs w:val="24"/>
          <w:rtl/>
        </w:rPr>
        <w:t>(להלן: "חוק יחסי ממון")</w:t>
      </w:r>
      <w:r w:rsidRPr="00912D12">
        <w:rPr>
          <w:rFonts w:ascii="FrankRuehl" w:hAnsi="FrankRuehl"/>
          <w:sz w:val="28"/>
          <w:rtl/>
        </w:rPr>
        <w:t xml:space="preserve"> והוא אישור ביהמ"ש אשר נועד להבטי</w:t>
      </w:r>
      <w:r>
        <w:rPr>
          <w:rtl/>
        </w:rPr>
        <w:t>ח כי תהיה גמירת דעת בין הצדדים, כי ההסכם לא יערך תחת לחץ או השפעה בלתי הוגנת וגורמים נוספים הפוגמים ביסוד החוזי שבו. נקודת האיזון להבטחת האינטרסים של הצדדים, שנועדה להגן על החלש, מתבטאת בתנאים המקדמיים הצורניים, שמעמיד החוק כתנאי לתוקפו של ההסכם. תנאים אלה כוללים את דרישת הכתב ואת הצורך באישור הסכם הממון על ידי גורם מוסמך.</w:t>
      </w:r>
      <w:r>
        <w:rPr>
          <w:rFonts w:hint="cs"/>
          <w:rtl/>
        </w:rPr>
        <w:t>"</w:t>
      </w:r>
    </w:p>
    <w:p w:rsidR="00F47BF8" w:rsidRDefault="00F47BF8" w:rsidP="00F47BF8">
      <w:pPr>
        <w:pStyle w:val="af"/>
        <w:rPr>
          <w:rtl/>
        </w:rPr>
      </w:pPr>
      <w:r>
        <w:rPr>
          <w:rFonts w:hint="cs"/>
          <w:rtl/>
        </w:rPr>
        <w:t xml:space="preserve">אמנם, מצינו </w:t>
      </w:r>
      <w:r>
        <w:rPr>
          <w:rFonts w:hint="cs"/>
          <w:rtl/>
          <w:lang w:eastAsia="he-IL"/>
        </w:rPr>
        <w:t>מקרים</w:t>
      </w:r>
      <w:r>
        <w:rPr>
          <w:rFonts w:hint="cs"/>
          <w:rtl/>
        </w:rPr>
        <w:t xml:space="preserve"> בפסיקה בהם נתנו תוקף להסכם גירושין אף שלא אושר בערכאה משפטית, מדיני חוזים כלליים ועקרון תום הלב, בפרט כאשר הצדדים כבר פעלו על פיו ובזה הביעו את הסכמתם המלאה אליו, כפי שציינה ב"כ הבעל לשעבר בקצרה:</w:t>
      </w:r>
    </w:p>
    <w:p w:rsidR="00F47BF8" w:rsidRDefault="00F47BF8" w:rsidP="00F47BF8">
      <w:pPr>
        <w:pStyle w:val="aa"/>
        <w:rPr>
          <w:rtl/>
        </w:rPr>
      </w:pPr>
      <w:r>
        <w:rPr>
          <w:rFonts w:hint="cs"/>
          <w:rtl/>
        </w:rPr>
        <w:t>"</w:t>
      </w:r>
      <w:r>
        <w:rPr>
          <w:rtl/>
        </w:rPr>
        <w:t>ניתן להכיר בתוקפו של הסכם שלא אושר מכוח עקרון תום הלב והמניעות, בענייננו, מצב בוהצדדים נהגו על פי ההסכם, באופן המעיד על גמירות דעתם ועל הכרה בתוקפו המחייב שלההסכם.</w:t>
      </w:r>
      <w:r>
        <w:rPr>
          <w:rFonts w:hint="cs"/>
          <w:rtl/>
        </w:rPr>
        <w:t>"</w:t>
      </w:r>
    </w:p>
    <w:p w:rsidR="00F47BF8" w:rsidRDefault="00F47BF8" w:rsidP="00F47BF8">
      <w:pPr>
        <w:pStyle w:val="af"/>
        <w:rPr>
          <w:rtl/>
        </w:rPr>
      </w:pPr>
      <w:r>
        <w:rPr>
          <w:rFonts w:hint="cs"/>
          <w:rtl/>
        </w:rPr>
        <w:t xml:space="preserve">היא לא ציינה בדבריה מקורות משפטיים מפורשים, אך בד"כ מדובר כאשר באים לבטל חלקים מההסכם שכבר בוצעו או שבוצע פעולות מקבילות כנגדם, לדוגמה תשלום כספי תמורת וויתור על חלק בדירה, וכדו'. </w:t>
      </w:r>
    </w:p>
    <w:p w:rsidR="00F47BF8" w:rsidRDefault="00F47BF8" w:rsidP="00F47BF8">
      <w:pPr>
        <w:pStyle w:val="af"/>
        <w:rPr>
          <w:rtl/>
        </w:rPr>
      </w:pPr>
      <w:r>
        <w:rPr>
          <w:rFonts w:hint="cs"/>
          <w:rtl/>
        </w:rPr>
        <w:t xml:space="preserve">בנידו"ד, ב"כ הבעל לשעבר הצביעה על כך שהבעל העביר לאשה סך 40,300 </w:t>
      </w:r>
      <w:r w:rsidR="00C12CF4">
        <w:rPr>
          <w:rFonts w:hint="cs"/>
          <w:rtl/>
        </w:rPr>
        <w:t>ש</w:t>
      </w:r>
      <w:r w:rsidR="00C12CF4">
        <w:rPr>
          <w:rtl/>
        </w:rPr>
        <w:t>"</w:t>
      </w:r>
      <w:r w:rsidR="00C12CF4">
        <w:rPr>
          <w:rFonts w:hint="cs"/>
          <w:rtl/>
        </w:rPr>
        <w:t>ח</w:t>
      </w:r>
      <w:r>
        <w:rPr>
          <w:rFonts w:hint="cs"/>
          <w:rtl/>
        </w:rPr>
        <w:t xml:space="preserve"> לצורך רכישת ציוד דירה. אולם, הדעת נוטה שתשלום זה אינו מהווה פיצוי או תחליף לכתובה.</w:t>
      </w:r>
    </w:p>
    <w:p w:rsidR="00F47BF8" w:rsidRDefault="00F47BF8" w:rsidP="00F47BF8">
      <w:pPr>
        <w:pStyle w:val="af"/>
        <w:rPr>
          <w:rtl/>
        </w:rPr>
      </w:pPr>
      <w:r>
        <w:rPr>
          <w:rFonts w:hint="cs"/>
          <w:rtl/>
        </w:rPr>
        <w:lastRenderedPageBreak/>
        <w:t xml:space="preserve">התשלום מופיע בסעיף ג'.4 להסכם, אשר כותרתו: "כספים זכויות ושאר נכסים", וכהמשך לסעיף ג'.3, בה נקבע שתכולת הבית וכל המטלטלין שבו יישארו ברשותו של הבעל. אמנם בהסכם הממון בסוף שנת 2015 מפורש שלבעל תכולת דירה טרום הנישואין, ושלאישה לא תהיה טענה כלפיהם, ואף קיימת הפרדה רכושית ברכוש שנצבר לאחר הנישואין, אולם, כאמור, הסכם ממון זה לא אושר מעולם, ויכלה האשה להגיש תביעה לאיזון משאבים. וויתור הכתובה מופיעה בסעיף ד'.ב, בכותרת אחרת של "היעדר תביעות", ייחוד עם וויתור על מזונות אשה. </w:t>
      </w:r>
    </w:p>
    <w:p w:rsidR="00F47BF8" w:rsidRDefault="00F47BF8" w:rsidP="00F47BF8">
      <w:pPr>
        <w:pStyle w:val="af"/>
        <w:rPr>
          <w:rtl/>
        </w:rPr>
      </w:pPr>
      <w:r>
        <w:rPr>
          <w:rFonts w:hint="cs"/>
          <w:rtl/>
        </w:rPr>
        <w:t xml:space="preserve">לכן, מסתבר יותר לראות את הסכום הנ"ל כתמורה לאיזון הרכוש האפשרי, ולא כתמורה לוויתור הכתובה, כך שתשלום הבעל לא מהווה יישום בפועל של סעיף הוויתור. בכל זאת, בדיון בביה"ד האשה הסכימה האשה להצעת ביה"ד לכלול את התשלום הנ"ל כחלק מתשלום הכתובה, ולהעמיד את תביעת הכתובה על סך 140,000 </w:t>
      </w:r>
      <w:r w:rsidR="00C12CF4">
        <w:rPr>
          <w:rFonts w:hint="cs"/>
          <w:rtl/>
        </w:rPr>
        <w:t>ש</w:t>
      </w:r>
      <w:r w:rsidR="00C12CF4">
        <w:rPr>
          <w:rtl/>
        </w:rPr>
        <w:t>"</w:t>
      </w:r>
      <w:r w:rsidR="00C12CF4">
        <w:rPr>
          <w:rFonts w:hint="cs"/>
          <w:rtl/>
        </w:rPr>
        <w:t>ח</w:t>
      </w:r>
      <w:r>
        <w:rPr>
          <w:rFonts w:hint="cs"/>
          <w:rtl/>
        </w:rPr>
        <w:t xml:space="preserve"> בלבד. </w:t>
      </w:r>
    </w:p>
    <w:p w:rsidR="00F47BF8" w:rsidRDefault="00F47BF8" w:rsidP="00F47BF8">
      <w:pPr>
        <w:pStyle w:val="af"/>
        <w:rPr>
          <w:rtl/>
        </w:rPr>
      </w:pPr>
      <w:r>
        <w:rPr>
          <w:rFonts w:hint="cs"/>
          <w:rtl/>
        </w:rPr>
        <w:t xml:space="preserve">אף ב"כ הבעל לשעבר כתבה בסיכומיה: </w:t>
      </w:r>
    </w:p>
    <w:p w:rsidR="00F47BF8" w:rsidRDefault="00F47BF8" w:rsidP="00F47BF8">
      <w:pPr>
        <w:pStyle w:val="aa"/>
        <w:rPr>
          <w:rtl/>
        </w:rPr>
      </w:pPr>
      <w:r>
        <w:rPr>
          <w:rFonts w:hint="cs"/>
          <w:rtl/>
        </w:rPr>
        <w:t>"</w:t>
      </w:r>
      <w:r>
        <w:rPr>
          <w:rtl/>
        </w:rPr>
        <w:t>לא דובר בין הצדדים, כי הסך הנ"ל מהווה תשלום על חשבון הכתובה, אלא רקלאחר שההצעה הועלתה ע"י הרכב בית הדין הנכבד.</w:t>
      </w:r>
      <w:r>
        <w:rPr>
          <w:rFonts w:hint="cs"/>
          <w:rtl/>
        </w:rPr>
        <w:t>"</w:t>
      </w:r>
    </w:p>
    <w:p w:rsidR="00F47BF8" w:rsidRDefault="00F47BF8" w:rsidP="00F47BF8">
      <w:pPr>
        <w:pStyle w:val="af"/>
        <w:rPr>
          <w:rtl/>
        </w:rPr>
      </w:pPr>
      <w:r>
        <w:rPr>
          <w:rFonts w:hint="cs"/>
          <w:rtl/>
        </w:rPr>
        <w:t>נמצא שקיום סעיף התשלום ע"י הבעל אין בו מעשה לבטא בפועל את יישום וויתור הכתובה. כמו כן, מאחר שהבעל לשעבר הוא זה שדרש את הגירושין, יש לראות בהסכמתו לגרש ולדון בכתובה אח"כ, כהבעת רצון להתגרש בין אם ייפטר מחיוב הכתובה בסופו של דבר ובין אם יחויב. אילו לא היה מוכן להתגרש לו יחויב בכתובה, ורק על דעת הוויתור התגרש, היה עליו להמתין בתביעת הגירושין עד בירור נושא הכתובה.</w:t>
      </w:r>
    </w:p>
    <w:p w:rsidR="00F47BF8" w:rsidRDefault="00F47BF8" w:rsidP="00F47BF8">
      <w:pPr>
        <w:pStyle w:val="af"/>
        <w:rPr>
          <w:rtl/>
        </w:rPr>
      </w:pPr>
      <w:r>
        <w:rPr>
          <w:rFonts w:hint="cs"/>
          <w:rtl/>
        </w:rPr>
        <w:t xml:space="preserve">בנוסף, כאמור לעיל, אין להאשים את האשה בחוסר תום לה בחזרתה מהסכם הגירושין, כאשר לטענתה נחשפה לפני האישור לחשש בגידה בה מצד הבעל </w:t>
      </w:r>
      <w:r w:rsidRPr="00C12CF4">
        <w:rPr>
          <w:rFonts w:hint="cs"/>
          <w:sz w:val="24"/>
          <w:szCs w:val="24"/>
          <w:rtl/>
        </w:rPr>
        <w:t>(שוב, אין קובעים בזה שום מסמרות)</w:t>
      </w:r>
      <w:r>
        <w:rPr>
          <w:rFonts w:hint="cs"/>
          <w:rtl/>
        </w:rPr>
        <w:t>, וייתכן שבזה גם הבעל הפר את חלקו בהסכם אשר קבע באופן ברור:</w:t>
      </w:r>
    </w:p>
    <w:p w:rsidR="00F47BF8" w:rsidRDefault="00F47BF8" w:rsidP="00F47BF8">
      <w:pPr>
        <w:pStyle w:val="aa"/>
        <w:rPr>
          <w:rtl/>
        </w:rPr>
      </w:pPr>
      <w:r>
        <w:rPr>
          <w:rFonts w:hint="cs"/>
          <w:rtl/>
        </w:rPr>
        <w:t>"בכל תקופת מגוריהם יחדיו, הבעל לא יהא רשאי להכניס כל אדם אחר לדירה, למעט אירוח קרובים."</w:t>
      </w:r>
    </w:p>
    <w:p w:rsidR="00F47BF8" w:rsidRDefault="00F47BF8" w:rsidP="00F47BF8">
      <w:pPr>
        <w:pStyle w:val="af"/>
        <w:rPr>
          <w:rtl/>
        </w:rPr>
      </w:pPr>
      <w:r>
        <w:rPr>
          <w:rFonts w:hint="cs"/>
          <w:rtl/>
        </w:rPr>
        <w:t xml:space="preserve">ההסבר הפשוט לסעיף זה הוא הדרישה לשמור על ייחודיות המערכת הזוגית כל עוד שלא נפרדו סופית, בלי לתת אפילו פתחון פה לחשש מערכת יחסים מקבילה עם אחרת. עצם הימצאות אשה זרה בתוך הבית, כאשר לטענת האשה היא נמנעה מלהיכנס לבית בתקופה זו </w:t>
      </w:r>
      <w:r>
        <w:rPr>
          <w:rtl/>
        </w:rPr>
        <w:t>–</w:t>
      </w:r>
      <w:r>
        <w:rPr>
          <w:rFonts w:hint="cs"/>
          <w:rtl/>
        </w:rPr>
        <w:t xml:space="preserve"> גם אם כדברי הבעל </w:t>
      </w:r>
      <w:r w:rsidR="004D144F">
        <w:rPr>
          <w:rFonts w:hint="cs"/>
          <w:rtl/>
        </w:rPr>
        <w:t>ש</w:t>
      </w:r>
      <w:r>
        <w:rPr>
          <w:rFonts w:hint="cs"/>
          <w:rtl/>
        </w:rPr>
        <w:t xml:space="preserve">היתה רק מטפלת חילופית לאם ולא היה לו כל קשר עמה </w:t>
      </w:r>
      <w:r>
        <w:rPr>
          <w:rtl/>
        </w:rPr>
        <w:t>–</w:t>
      </w:r>
      <w:r>
        <w:rPr>
          <w:rFonts w:hint="cs"/>
          <w:rtl/>
        </w:rPr>
        <w:t xml:space="preserve"> לדעתנו מונע ממנו לטעון טענת חוסר תום לב כלפי האשה בסירובה לעמוד </w:t>
      </w:r>
      <w:r w:rsidR="004D144F">
        <w:rPr>
          <w:rFonts w:hint="cs"/>
          <w:rtl/>
        </w:rPr>
        <w:t>ב</w:t>
      </w:r>
      <w:r>
        <w:rPr>
          <w:rFonts w:hint="cs"/>
          <w:rtl/>
        </w:rPr>
        <w:t>וויתור הכתובה.</w:t>
      </w:r>
    </w:p>
    <w:p w:rsidR="00F47BF8" w:rsidRDefault="00F47BF8" w:rsidP="00F47BF8">
      <w:pPr>
        <w:pStyle w:val="af"/>
        <w:rPr>
          <w:rtl/>
        </w:rPr>
      </w:pPr>
      <w:r>
        <w:rPr>
          <w:rFonts w:hint="cs"/>
          <w:rtl/>
        </w:rPr>
        <w:t xml:space="preserve">לאור כל הנ"ל, יש לדחות </w:t>
      </w:r>
      <w:r>
        <w:rPr>
          <w:rtl/>
        </w:rPr>
        <w:t>–</w:t>
      </w:r>
      <w:r>
        <w:rPr>
          <w:rFonts w:hint="cs"/>
          <w:rtl/>
        </w:rPr>
        <w:t xml:space="preserve"> הן על פי הלכה והן על פי חוק </w:t>
      </w:r>
      <w:r>
        <w:rPr>
          <w:rtl/>
        </w:rPr>
        <w:t>–</w:t>
      </w:r>
      <w:r>
        <w:rPr>
          <w:rFonts w:hint="cs"/>
          <w:rtl/>
        </w:rPr>
        <w:t xml:space="preserve"> את טענתו המקדמית של הבעל לשעבר, שהאשה וויתרה על כתובתה במסגרת הכנת הסכם הגירושין באופן שאינה יכולה לחזור בה, אף שההסכם לא אושר והאשה חזרה בה מהוויתור לפני הגירושין.</w:t>
      </w:r>
    </w:p>
    <w:p w:rsidR="00F47BF8" w:rsidRDefault="00F47BF8" w:rsidP="00F47BF8">
      <w:pPr>
        <w:pStyle w:val="af"/>
        <w:rPr>
          <w:rtl/>
        </w:rPr>
      </w:pPr>
      <w:r>
        <w:rPr>
          <w:rFonts w:hint="cs"/>
          <w:rtl/>
        </w:rPr>
        <w:t xml:space="preserve">לכן, עלינו לדון עתה בגוף תביעת האשה לכתובה. בהמשך להחלטה מיום </w:t>
      </w:r>
      <w:r w:rsidRPr="00762C05">
        <w:rPr>
          <w:rtl/>
        </w:rPr>
        <w:t xml:space="preserve">ט' במרחשון תשפ"א </w:t>
      </w:r>
      <w:r w:rsidRPr="00C12CF4">
        <w:rPr>
          <w:sz w:val="24"/>
          <w:szCs w:val="24"/>
          <w:rtl/>
        </w:rPr>
        <w:t>(27</w:t>
      </w:r>
      <w:r w:rsidRPr="00C12CF4">
        <w:rPr>
          <w:rFonts w:hint="cs"/>
          <w:sz w:val="24"/>
          <w:szCs w:val="24"/>
          <w:rtl/>
        </w:rPr>
        <w:t>.</w:t>
      </w:r>
      <w:r w:rsidRPr="00C12CF4">
        <w:rPr>
          <w:sz w:val="24"/>
          <w:szCs w:val="24"/>
          <w:rtl/>
        </w:rPr>
        <w:t>10</w:t>
      </w:r>
      <w:r w:rsidRPr="00C12CF4">
        <w:rPr>
          <w:rFonts w:hint="cs"/>
          <w:sz w:val="24"/>
          <w:szCs w:val="24"/>
          <w:rtl/>
        </w:rPr>
        <w:t>.</w:t>
      </w:r>
      <w:r w:rsidRPr="00C12CF4">
        <w:rPr>
          <w:sz w:val="24"/>
          <w:szCs w:val="24"/>
          <w:rtl/>
        </w:rPr>
        <w:t>2020)</w:t>
      </w:r>
      <w:r>
        <w:rPr>
          <w:rFonts w:hint="cs"/>
          <w:rtl/>
        </w:rPr>
        <w:t xml:space="preserve">, על </w:t>
      </w:r>
      <w:r w:rsidRPr="00762C05">
        <w:rPr>
          <w:rtl/>
        </w:rPr>
        <w:t xml:space="preserve">הצדדים </w:t>
      </w:r>
      <w:r>
        <w:rPr>
          <w:rFonts w:hint="cs"/>
          <w:rtl/>
        </w:rPr>
        <w:t>להגיש</w:t>
      </w:r>
      <w:r w:rsidRPr="00762C05">
        <w:rPr>
          <w:rtl/>
        </w:rPr>
        <w:t xml:space="preserve"> תוך 45 יום סיכומים אשר יועברו לתגובת הצד השני תוך 15 יום נוספים.</w:t>
      </w:r>
    </w:p>
    <w:p w:rsidR="00F47BF8" w:rsidRDefault="00F47BF8" w:rsidP="00F47BF8">
      <w:pPr>
        <w:pStyle w:val="-0"/>
        <w:rPr>
          <w:rtl/>
        </w:rPr>
      </w:pPr>
      <w:r>
        <w:rPr>
          <w:rFonts w:hint="cs"/>
          <w:rtl/>
        </w:rPr>
        <w:t>מסקנה</w:t>
      </w:r>
    </w:p>
    <w:p w:rsidR="00F47BF8" w:rsidRDefault="00F47BF8" w:rsidP="00F47BF8">
      <w:pPr>
        <w:pStyle w:val="af"/>
        <w:ind w:firstLine="0"/>
        <w:jc w:val="left"/>
        <w:rPr>
          <w:sz w:val="28"/>
          <w:rtl/>
        </w:rPr>
      </w:pPr>
      <w:r>
        <w:rPr>
          <w:rFonts w:hint="cs"/>
          <w:sz w:val="28"/>
          <w:rtl/>
        </w:rPr>
        <w:t>לאור כל הנ"ל, ביה"ד קובע:</w:t>
      </w:r>
    </w:p>
    <w:p w:rsidR="00F47BF8" w:rsidRDefault="00F47BF8" w:rsidP="00F47BF8">
      <w:pPr>
        <w:pStyle w:val="af"/>
        <w:numPr>
          <w:ilvl w:val="0"/>
          <w:numId w:val="13"/>
        </w:numPr>
        <w:rPr>
          <w:sz w:val="28"/>
        </w:rPr>
      </w:pPr>
      <w:r>
        <w:rPr>
          <w:rFonts w:hint="cs"/>
          <w:sz w:val="28"/>
          <w:rtl/>
        </w:rPr>
        <w:lastRenderedPageBreak/>
        <w:t>טענתו המקדמית של הבעל לשעבר, שוויתור האשה על כתובתה תקפה, למרות שהסכם הגירושין לא אושר וחזרה בה לפני הגירושין, נדחית.</w:t>
      </w:r>
    </w:p>
    <w:p w:rsidR="00F47BF8" w:rsidRDefault="00F47BF8" w:rsidP="00F47BF8">
      <w:pPr>
        <w:pStyle w:val="af"/>
        <w:numPr>
          <w:ilvl w:val="0"/>
          <w:numId w:val="13"/>
        </w:numPr>
        <w:rPr>
          <w:rtl/>
        </w:rPr>
      </w:pPr>
      <w:r>
        <w:rPr>
          <w:rFonts w:hint="cs"/>
          <w:rtl/>
        </w:rPr>
        <w:t xml:space="preserve">על </w:t>
      </w:r>
      <w:r w:rsidRPr="00762C05">
        <w:rPr>
          <w:rtl/>
        </w:rPr>
        <w:t xml:space="preserve">הצדדים </w:t>
      </w:r>
      <w:r>
        <w:rPr>
          <w:rFonts w:hint="cs"/>
          <w:rtl/>
        </w:rPr>
        <w:t>להגיש</w:t>
      </w:r>
      <w:r w:rsidRPr="00762C05">
        <w:rPr>
          <w:rtl/>
        </w:rPr>
        <w:t xml:space="preserve"> תוך 45 יום סיכומים </w:t>
      </w:r>
      <w:r>
        <w:rPr>
          <w:rFonts w:hint="cs"/>
          <w:rtl/>
        </w:rPr>
        <w:t xml:space="preserve">בגוף תביעת האשה לכתובה, </w:t>
      </w:r>
      <w:r w:rsidRPr="00762C05">
        <w:rPr>
          <w:rtl/>
        </w:rPr>
        <w:t>אשר יועברו לתגובת הצד השני תוך 15 יום נוספים.</w:t>
      </w:r>
    </w:p>
    <w:p w:rsidR="00F47BF8" w:rsidRDefault="00F47BF8" w:rsidP="00F47BF8">
      <w:pPr>
        <w:pStyle w:val="af"/>
        <w:ind w:firstLine="0"/>
        <w:jc w:val="left"/>
        <w:rPr>
          <w:sz w:val="28"/>
          <w:rtl/>
        </w:rPr>
      </w:pPr>
      <w:r>
        <w:rPr>
          <w:rFonts w:hint="cs"/>
          <w:sz w:val="28"/>
          <w:rtl/>
        </w:rPr>
        <w:t>פסה"ד ניתן לפרסום לאחר השמטת פרטי הזיהוי של הצדדים.</w:t>
      </w:r>
    </w:p>
    <w:p w:rsidR="00F47BF8" w:rsidRDefault="004D144F" w:rsidP="00F47BF8">
      <w:pPr>
        <w:pStyle w:val="af"/>
        <w:ind w:firstLine="0"/>
        <w:jc w:val="left"/>
        <w:rPr>
          <w:sz w:val="28"/>
        </w:rPr>
      </w:pPr>
      <w:r w:rsidRPr="004D144F">
        <w:rPr>
          <w:sz w:val="28"/>
          <w:rtl/>
        </w:rPr>
        <w:t xml:space="preserve">ניתן ביום ג' בשבט התשפ"א </w:t>
      </w:r>
      <w:r w:rsidRPr="00C12CF4">
        <w:rPr>
          <w:sz w:val="24"/>
          <w:szCs w:val="24"/>
          <w:rtl/>
        </w:rPr>
        <w:t>(16/01/2021</w:t>
      </w:r>
      <w:r w:rsidR="00F47BF8" w:rsidRPr="00C12CF4">
        <w:rPr>
          <w:rFonts w:hint="cs"/>
          <w:sz w:val="24"/>
          <w:szCs w:val="24"/>
          <w:rtl/>
        </w:rPr>
        <w:t>)</w:t>
      </w:r>
      <w:r w:rsidR="00F47BF8" w:rsidRPr="007406B6">
        <w:rPr>
          <w:rFonts w:hint="cs"/>
          <w:sz w:val="28"/>
          <w:rtl/>
        </w:rPr>
        <w:t>.</w:t>
      </w:r>
    </w:p>
    <w:p w:rsidR="001A042C" w:rsidRDefault="001746BB" w:rsidP="001746BB">
      <w:pPr>
        <w:pStyle w:val="afa"/>
        <w:rPr>
          <w:rtl/>
        </w:rPr>
      </w:pPr>
      <w:r w:rsidRPr="001746BB">
        <w:rPr>
          <w:sz w:val="28"/>
          <w:rtl/>
        </w:rPr>
        <w:t>הרב אהרן דרשביץ – אב"ד</w:t>
      </w:r>
      <w:r>
        <w:rPr>
          <w:sz w:val="28"/>
          <w:rtl/>
        </w:rPr>
        <w:tab/>
      </w:r>
      <w:r w:rsidRPr="001746BB">
        <w:rPr>
          <w:sz w:val="28"/>
          <w:rtl/>
        </w:rPr>
        <w:t>הרב עובדיה חפץ יעקב</w:t>
      </w:r>
      <w:r>
        <w:rPr>
          <w:sz w:val="28"/>
          <w:rtl/>
        </w:rPr>
        <w:tab/>
      </w:r>
      <w:r w:rsidRPr="001746BB">
        <w:rPr>
          <w:sz w:val="28"/>
          <w:rtl/>
        </w:rPr>
        <w:t>הרב אברהם צבי גאופטמן</w:t>
      </w:r>
    </w:p>
    <w:p w:rsidR="00CA6031" w:rsidRPr="00CA6031" w:rsidRDefault="00CA6031" w:rsidP="00CA6031">
      <w:pPr>
        <w:rPr>
          <w:rtl/>
        </w:rPr>
      </w:pPr>
      <w:r w:rsidRPr="007044A1">
        <w:rPr>
          <w:rFonts w:ascii="FrankRuehl" w:hAnsi="FrankRuehl"/>
          <w:color w:val="7F7F7F"/>
          <w:sz w:val="28"/>
          <w:rtl/>
          <w:lang w:eastAsia="he-IL"/>
        </w:rPr>
        <w:t>עותק זה עשוי להכיל שינויי ותיקוני עריכה</w:t>
      </w:r>
    </w:p>
    <w:sectPr w:rsidR="00CA6031" w:rsidRPr="00CA6031" w:rsidSect="00ED4071">
      <w:headerReference w:type="default" r:id="rId11"/>
      <w:footerReference w:type="default" r:id="rId12"/>
      <w:pgSz w:w="11906" w:h="16838"/>
      <w:pgMar w:top="1440" w:right="1800" w:bottom="1440" w:left="1800" w:header="708" w:footer="708" w:gutter="0"/>
      <w:cols w:space="708"/>
      <w:bidi/>
      <w:rtlGutter/>
      <w:docGrid w:linePitch="36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E5644" w:rsidRDefault="00FE5644" w:rsidP="00E2756A">
      <w:r>
        <w:separator/>
      </w:r>
    </w:p>
  </w:endnote>
  <w:endnote w:type="continuationSeparator" w:id="1">
    <w:p w:rsidR="00FE5644" w:rsidRDefault="00FE5644" w:rsidP="00E2756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FrankRuehl">
    <w:altName w:val="Times New Roman"/>
    <w:panose1 w:val="020E0503060101010101"/>
    <w:charset w:val="00"/>
    <w:family w:val="swiss"/>
    <w:pitch w:val="variable"/>
    <w:sig w:usb0="00000803" w:usb1="00000000" w:usb2="00000000" w:usb3="00000000" w:csb0="0000002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Narkisim">
    <w:altName w:val="Malgun Gothic Semilight"/>
    <w:panose1 w:val="020E0502050101010101"/>
    <w:charset w:val="00"/>
    <w:family w:val="swiss"/>
    <w:pitch w:val="variable"/>
    <w:sig w:usb0="00000803" w:usb1="00000000" w:usb2="00000000" w:usb3="00000000" w:csb0="00000021" w:csb1="00000000"/>
  </w:font>
  <w:font w:name="Miriam">
    <w:altName w:val="Malgun Gothic Semilight"/>
    <w:panose1 w:val="020B0502050101010101"/>
    <w:charset w:val="00"/>
    <w:family w:val="swiss"/>
    <w:pitch w:val="variable"/>
    <w:sig w:usb0="00000803" w:usb1="00000000" w:usb2="00000000" w:usb3="00000000" w:csb0="00000021" w:csb1="00000000"/>
  </w:font>
  <w:font w:name="Cambria">
    <w:panose1 w:val="02040503050406030204"/>
    <w:charset w:val="00"/>
    <w:family w:val="roman"/>
    <w:pitch w:val="variable"/>
    <w:sig w:usb0="E00006FF" w:usb1="420024FF" w:usb2="02000000" w:usb3="00000000" w:csb0="0000019F" w:csb1="00000000"/>
  </w:font>
  <w:font w:name="David">
    <w:panose1 w:val="020E0502060401010101"/>
    <w:charset w:val="00"/>
    <w:family w:val="swiss"/>
    <w:pitch w:val="variable"/>
    <w:sig w:usb0="00000803" w:usb1="00000000" w:usb2="00000000" w:usb3="00000000" w:csb0="0000002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B1"/>
    <w:family w:val="swiss"/>
    <w:notTrueType/>
    <w:pitch w:val="variable"/>
    <w:sig w:usb0="00000801" w:usb1="00000000" w:usb2="00000000" w:usb3="00000000" w:csb0="00000020" w:csb1="00000000"/>
  </w:font>
  <w:font w:name="Arial TUR">
    <w:altName w:val="Arial"/>
    <w:charset w:val="00"/>
    <w:family w:val="swiss"/>
    <w:pitch w:val="variable"/>
    <w:sig w:usb0="E0002EFF" w:usb1="C000785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1766914458"/>
      <w:docPartObj>
        <w:docPartGallery w:val="Page Numbers (Bottom of Page)"/>
        <w:docPartUnique/>
      </w:docPartObj>
    </w:sdtPr>
    <w:sdtContent>
      <w:p w:rsidR="002834CA" w:rsidRDefault="00A23D1D" w:rsidP="00F4312B">
        <w:pPr>
          <w:pStyle w:val="afe"/>
          <w:jc w:val="center"/>
        </w:pPr>
        <w:r>
          <w:fldChar w:fldCharType="begin"/>
        </w:r>
        <w:r w:rsidR="002834CA">
          <w:rPr>
            <w:rtl/>
            <w:cs/>
          </w:rPr>
          <w:instrText>PAGE   \* MERGEFORMAT</w:instrText>
        </w:r>
        <w:r>
          <w:fldChar w:fldCharType="separate"/>
        </w:r>
        <w:r w:rsidR="00BF2900" w:rsidRPr="00BF2900">
          <w:rPr>
            <w:noProof/>
            <w:rtl/>
            <w:lang w:val="he-IL"/>
          </w:rPr>
          <w:t>1</w:t>
        </w:r>
        <w:r>
          <w:fldChar w:fldCharType="end"/>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E5644" w:rsidRDefault="00FE5644" w:rsidP="00E2756A">
      <w:r>
        <w:separator/>
      </w:r>
    </w:p>
  </w:footnote>
  <w:footnote w:type="continuationSeparator" w:id="1">
    <w:p w:rsidR="00FE5644" w:rsidRDefault="00FE5644" w:rsidP="00E2756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34CA" w:rsidRDefault="002834CA" w:rsidP="00FA1DAB">
    <w:pPr>
      <w:pStyle w:val="afc"/>
      <w:rPr>
        <w:rFonts w:cs="David"/>
        <w:b/>
        <w:bCs/>
        <w:color w:val="1F497D" w:themeColor="text2"/>
        <w:sz w:val="52"/>
        <w:szCs w:val="52"/>
        <w:rtl/>
      </w:rPr>
    </w:pPr>
    <w:r>
      <w:rPr>
        <w:rFonts w:cs="David" w:hint="cs"/>
        <w:b/>
        <w:bCs/>
        <w:color w:val="1F497D" w:themeColor="text2"/>
        <w:sz w:val="52"/>
        <w:szCs w:val="52"/>
        <w:rtl/>
      </w:rPr>
      <w:tab/>
    </w:r>
    <w:r w:rsidRPr="000F286C">
      <w:rPr>
        <w:rFonts w:cs="David" w:hint="cs"/>
        <w:b/>
        <w:bCs/>
        <w:color w:val="1F497D" w:themeColor="text2"/>
        <w:sz w:val="52"/>
        <w:szCs w:val="52"/>
        <w:rtl/>
      </w:rPr>
      <w:t>מדינת ישראל</w:t>
    </w:r>
  </w:p>
  <w:p w:rsidR="002834CA" w:rsidRDefault="002834CA" w:rsidP="00FA1DAB">
    <w:pPr>
      <w:pStyle w:val="afc"/>
      <w:jc w:val="center"/>
      <w:rPr>
        <w:rFonts w:cs="David"/>
        <w:b/>
        <w:bCs/>
        <w:color w:val="1F497D" w:themeColor="text2"/>
        <w:sz w:val="32"/>
        <w:szCs w:val="32"/>
      </w:rPr>
    </w:pPr>
    <w:r>
      <w:rPr>
        <w:rFonts w:cs="David" w:hint="cs"/>
        <w:b/>
        <w:bCs/>
        <w:color w:val="1F497D" w:themeColor="text2"/>
        <w:sz w:val="32"/>
        <w:szCs w:val="32"/>
        <w:rtl/>
      </w:rPr>
      <w:t>בתי הדין הרבניים</w:t>
    </w:r>
  </w:p>
  <w:p w:rsidR="002834CA" w:rsidRDefault="002834CA">
    <w:pPr>
      <w:pStyle w:val="afc"/>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EA0101"/>
    <w:multiLevelType w:val="hybridMultilevel"/>
    <w:tmpl w:val="0CC8D5AE"/>
    <w:lvl w:ilvl="0" w:tplc="8AF67872">
      <w:start w:val="1"/>
      <w:numFmt w:val="hebrew1"/>
      <w:lvlText w:val="%1."/>
      <w:lvlJc w:val="left"/>
      <w:pPr>
        <w:ind w:left="757" w:hanging="360"/>
      </w:pPr>
      <w:rPr>
        <w:rFonts w:hint="default"/>
      </w:rPr>
    </w:lvl>
    <w:lvl w:ilvl="1" w:tplc="04090019" w:tentative="1">
      <w:start w:val="1"/>
      <w:numFmt w:val="lowerLetter"/>
      <w:lvlText w:val="%2."/>
      <w:lvlJc w:val="left"/>
      <w:pPr>
        <w:ind w:left="1477" w:hanging="360"/>
      </w:pPr>
    </w:lvl>
    <w:lvl w:ilvl="2" w:tplc="0409001B" w:tentative="1">
      <w:start w:val="1"/>
      <w:numFmt w:val="lowerRoman"/>
      <w:lvlText w:val="%3."/>
      <w:lvlJc w:val="right"/>
      <w:pPr>
        <w:ind w:left="2197" w:hanging="180"/>
      </w:pPr>
    </w:lvl>
    <w:lvl w:ilvl="3" w:tplc="0409000F" w:tentative="1">
      <w:start w:val="1"/>
      <w:numFmt w:val="decimal"/>
      <w:lvlText w:val="%4."/>
      <w:lvlJc w:val="left"/>
      <w:pPr>
        <w:ind w:left="2917" w:hanging="360"/>
      </w:pPr>
    </w:lvl>
    <w:lvl w:ilvl="4" w:tplc="04090019" w:tentative="1">
      <w:start w:val="1"/>
      <w:numFmt w:val="lowerLetter"/>
      <w:lvlText w:val="%5."/>
      <w:lvlJc w:val="left"/>
      <w:pPr>
        <w:ind w:left="3637" w:hanging="360"/>
      </w:pPr>
    </w:lvl>
    <w:lvl w:ilvl="5" w:tplc="0409001B" w:tentative="1">
      <w:start w:val="1"/>
      <w:numFmt w:val="lowerRoman"/>
      <w:lvlText w:val="%6."/>
      <w:lvlJc w:val="right"/>
      <w:pPr>
        <w:ind w:left="4357" w:hanging="180"/>
      </w:pPr>
    </w:lvl>
    <w:lvl w:ilvl="6" w:tplc="0409000F" w:tentative="1">
      <w:start w:val="1"/>
      <w:numFmt w:val="decimal"/>
      <w:lvlText w:val="%7."/>
      <w:lvlJc w:val="left"/>
      <w:pPr>
        <w:ind w:left="5077" w:hanging="360"/>
      </w:pPr>
    </w:lvl>
    <w:lvl w:ilvl="7" w:tplc="04090019" w:tentative="1">
      <w:start w:val="1"/>
      <w:numFmt w:val="lowerLetter"/>
      <w:lvlText w:val="%8."/>
      <w:lvlJc w:val="left"/>
      <w:pPr>
        <w:ind w:left="5797" w:hanging="360"/>
      </w:pPr>
    </w:lvl>
    <w:lvl w:ilvl="8" w:tplc="0409001B" w:tentative="1">
      <w:start w:val="1"/>
      <w:numFmt w:val="lowerRoman"/>
      <w:lvlText w:val="%9."/>
      <w:lvlJc w:val="right"/>
      <w:pPr>
        <w:ind w:left="6517" w:hanging="180"/>
      </w:pPr>
    </w:lvl>
  </w:abstractNum>
  <w:abstractNum w:abstractNumId="1">
    <w:nsid w:val="16A9124B"/>
    <w:multiLevelType w:val="hybridMultilevel"/>
    <w:tmpl w:val="1232490C"/>
    <w:lvl w:ilvl="0" w:tplc="B86802C8">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03C50D8"/>
    <w:multiLevelType w:val="multilevel"/>
    <w:tmpl w:val="CA42D256"/>
    <w:lvl w:ilvl="0">
      <w:start w:val="1"/>
      <w:numFmt w:val="hebrew1"/>
      <w:pStyle w:val="a"/>
      <w:lvlText w:val="%1."/>
      <w:lvlJc w:val="left"/>
      <w:pPr>
        <w:ind w:left="646" w:hanging="362"/>
      </w:pPr>
      <w:rPr>
        <w:rFonts w:hint="default"/>
      </w:rPr>
    </w:lvl>
    <w:lvl w:ilvl="1">
      <w:start w:val="1"/>
      <w:numFmt w:val="decimal"/>
      <w:lvlText w:val="(%2)"/>
      <w:lvlJc w:val="left"/>
      <w:pPr>
        <w:ind w:left="930" w:hanging="362"/>
      </w:pPr>
      <w:rPr>
        <w:rFonts w:cs="FrankRuehl" w:hint="cs"/>
        <w:szCs w:val="26"/>
      </w:rPr>
    </w:lvl>
    <w:lvl w:ilvl="2">
      <w:start w:val="1"/>
      <w:numFmt w:val="hebrew1"/>
      <w:lvlText w:val="(%3)"/>
      <w:lvlJc w:val="left"/>
      <w:pPr>
        <w:ind w:left="1214" w:hanging="362"/>
      </w:pPr>
      <w:rPr>
        <w:rFonts w:hint="default"/>
      </w:rPr>
    </w:lvl>
    <w:lvl w:ilvl="3">
      <w:start w:val="1"/>
      <w:numFmt w:val="decimal"/>
      <w:lvlText w:val="%4."/>
      <w:lvlJc w:val="left"/>
      <w:pPr>
        <w:ind w:left="1498" w:hanging="362"/>
      </w:pPr>
      <w:rPr>
        <w:rFonts w:hint="default"/>
      </w:rPr>
    </w:lvl>
    <w:lvl w:ilvl="4">
      <w:start w:val="1"/>
      <w:numFmt w:val="lowerLetter"/>
      <w:lvlText w:val="%5."/>
      <w:lvlJc w:val="left"/>
      <w:pPr>
        <w:ind w:left="1782" w:hanging="362"/>
      </w:pPr>
      <w:rPr>
        <w:rFonts w:hint="default"/>
      </w:rPr>
    </w:lvl>
    <w:lvl w:ilvl="5">
      <w:start w:val="1"/>
      <w:numFmt w:val="lowerRoman"/>
      <w:lvlText w:val="%6."/>
      <w:lvlJc w:val="right"/>
      <w:pPr>
        <w:ind w:left="2066" w:hanging="362"/>
      </w:pPr>
      <w:rPr>
        <w:rFonts w:hint="default"/>
      </w:rPr>
    </w:lvl>
    <w:lvl w:ilvl="6">
      <w:start w:val="1"/>
      <w:numFmt w:val="decimal"/>
      <w:lvlText w:val="%7."/>
      <w:lvlJc w:val="left"/>
      <w:pPr>
        <w:ind w:left="2350" w:hanging="362"/>
      </w:pPr>
      <w:rPr>
        <w:rFonts w:hint="default"/>
      </w:rPr>
    </w:lvl>
    <w:lvl w:ilvl="7">
      <w:start w:val="1"/>
      <w:numFmt w:val="lowerLetter"/>
      <w:lvlText w:val="%8."/>
      <w:lvlJc w:val="left"/>
      <w:pPr>
        <w:ind w:left="2634" w:hanging="362"/>
      </w:pPr>
      <w:rPr>
        <w:rFonts w:hint="default"/>
      </w:rPr>
    </w:lvl>
    <w:lvl w:ilvl="8">
      <w:start w:val="1"/>
      <w:numFmt w:val="lowerRoman"/>
      <w:lvlText w:val="%9."/>
      <w:lvlJc w:val="right"/>
      <w:pPr>
        <w:ind w:left="2918" w:hanging="362"/>
      </w:pPr>
      <w:rPr>
        <w:rFonts w:hint="default"/>
      </w:rPr>
    </w:lvl>
  </w:abstractNum>
  <w:abstractNum w:abstractNumId="3">
    <w:nsid w:val="304D4787"/>
    <w:multiLevelType w:val="hybridMultilevel"/>
    <w:tmpl w:val="46FC93BA"/>
    <w:lvl w:ilvl="0" w:tplc="2FE85D28">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6BF0DB3"/>
    <w:multiLevelType w:val="multilevel"/>
    <w:tmpl w:val="0E66DBD2"/>
    <w:lvl w:ilvl="0">
      <w:start w:val="1"/>
      <w:numFmt w:val="decimal"/>
      <w:pStyle w:val="11"/>
      <w:lvlText w:val="%1."/>
      <w:lvlJc w:val="left"/>
      <w:pPr>
        <w:tabs>
          <w:tab w:val="num" w:pos="720"/>
        </w:tabs>
        <w:ind w:left="720" w:hanging="720"/>
      </w:pPr>
    </w:lvl>
    <w:lvl w:ilvl="1">
      <w:start w:val="1"/>
      <w:numFmt w:val="hebrew1"/>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hebrew1"/>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nsid w:val="3C147A48"/>
    <w:multiLevelType w:val="hybridMultilevel"/>
    <w:tmpl w:val="C2828F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BCC1C14"/>
    <w:multiLevelType w:val="hybridMultilevel"/>
    <w:tmpl w:val="57BC2878"/>
    <w:lvl w:ilvl="0" w:tplc="122C71CE">
      <w:start w:val="1"/>
      <w:numFmt w:val="decimal"/>
      <w:lvlText w:val="%1."/>
      <w:lvlJc w:val="left"/>
      <w:pPr>
        <w:ind w:left="720" w:hanging="360"/>
      </w:pPr>
      <w:rPr>
        <w:rFonts w:ascii="Calibri" w:eastAsia="Times New Roman" w:hAnsi="Calibri" w:cs="FrankRueh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52FA7BEF"/>
    <w:multiLevelType w:val="hybridMultilevel"/>
    <w:tmpl w:val="B0203334"/>
    <w:lvl w:ilvl="0" w:tplc="CFAC8D34">
      <w:start w:val="1"/>
      <w:numFmt w:val="hebrew1"/>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nsid w:val="608C237C"/>
    <w:multiLevelType w:val="hybridMultilevel"/>
    <w:tmpl w:val="2F2CF3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1247732"/>
    <w:multiLevelType w:val="multilevel"/>
    <w:tmpl w:val="C024A742"/>
    <w:lvl w:ilvl="0">
      <w:start w:val="1"/>
      <w:numFmt w:val="hebrew1"/>
      <w:pStyle w:val="1"/>
      <w:lvlText w:val="%1."/>
      <w:lvlJc w:val="left"/>
      <w:pPr>
        <w:tabs>
          <w:tab w:val="num" w:pos="397"/>
        </w:tabs>
        <w:ind w:left="397" w:hanging="397"/>
      </w:pPr>
      <w:rPr>
        <w:rFonts w:hint="default"/>
      </w:rPr>
    </w:lvl>
    <w:lvl w:ilvl="1">
      <w:start w:val="1"/>
      <w:numFmt w:val="decimal"/>
      <w:lvlText w:val="(%2)"/>
      <w:lvlJc w:val="left"/>
      <w:pPr>
        <w:tabs>
          <w:tab w:val="num" w:pos="794"/>
        </w:tabs>
        <w:ind w:left="794" w:hanging="397"/>
      </w:pPr>
      <w:rPr>
        <w:rFonts w:hint="default"/>
      </w:rPr>
    </w:lvl>
    <w:lvl w:ilvl="2">
      <w:start w:val="1"/>
      <w:numFmt w:val="hebrew1"/>
      <w:lvlText w:val="(%3)"/>
      <w:lvlJc w:val="left"/>
      <w:pPr>
        <w:tabs>
          <w:tab w:val="num" w:pos="1361"/>
        </w:tabs>
        <w:ind w:left="1191" w:hanging="397"/>
      </w:pPr>
      <w:rPr>
        <w:rFonts w:hint="default"/>
      </w:rPr>
    </w:lvl>
    <w:lvl w:ilvl="3">
      <w:start w:val="1"/>
      <w:numFmt w:val="decimal"/>
      <w:lvlText w:val="(%4)"/>
      <w:lvlJc w:val="left"/>
      <w:pPr>
        <w:tabs>
          <w:tab w:val="num" w:pos="1758"/>
        </w:tabs>
        <w:ind w:left="1588" w:hanging="397"/>
      </w:pPr>
      <w:rPr>
        <w:rFonts w:hint="default"/>
      </w:rPr>
    </w:lvl>
    <w:lvl w:ilvl="4">
      <w:start w:val="1"/>
      <w:numFmt w:val="decimal"/>
      <w:lvlText w:val="(%3)%4.%5."/>
      <w:lvlJc w:val="left"/>
      <w:pPr>
        <w:tabs>
          <w:tab w:val="num" w:pos="1928"/>
        </w:tabs>
        <w:ind w:left="1985" w:hanging="397"/>
      </w:pPr>
      <w:rPr>
        <w:rFonts w:hint="default"/>
      </w:rPr>
    </w:lvl>
    <w:lvl w:ilvl="5">
      <w:start w:val="1"/>
      <w:numFmt w:val="decimal"/>
      <w:lvlText w:val="(%3)%4.%5.%6."/>
      <w:lvlJc w:val="left"/>
      <w:pPr>
        <w:tabs>
          <w:tab w:val="num" w:pos="2325"/>
        </w:tabs>
        <w:ind w:left="2382" w:hanging="397"/>
      </w:pPr>
      <w:rPr>
        <w:rFonts w:hint="default"/>
      </w:rPr>
    </w:lvl>
    <w:lvl w:ilvl="6">
      <w:start w:val="1"/>
      <w:numFmt w:val="decimal"/>
      <w:lvlText w:val="(%3)%4.%5.%6.%7."/>
      <w:lvlJc w:val="left"/>
      <w:pPr>
        <w:tabs>
          <w:tab w:val="num" w:pos="2722"/>
        </w:tabs>
        <w:ind w:left="2779" w:hanging="397"/>
      </w:pPr>
      <w:rPr>
        <w:rFonts w:hint="default"/>
      </w:rPr>
    </w:lvl>
    <w:lvl w:ilvl="7">
      <w:start w:val="1"/>
      <w:numFmt w:val="decimal"/>
      <w:lvlText w:val="(%3)%4.%5.%6.%7.%8."/>
      <w:lvlJc w:val="left"/>
      <w:pPr>
        <w:tabs>
          <w:tab w:val="num" w:pos="3119"/>
        </w:tabs>
        <w:ind w:left="3176" w:hanging="397"/>
      </w:pPr>
      <w:rPr>
        <w:rFonts w:hint="default"/>
      </w:rPr>
    </w:lvl>
    <w:lvl w:ilvl="8">
      <w:start w:val="1"/>
      <w:numFmt w:val="decimal"/>
      <w:lvlText w:val="(%3)%4.%5.%6.%7.%8.%9."/>
      <w:lvlJc w:val="left"/>
      <w:pPr>
        <w:tabs>
          <w:tab w:val="num" w:pos="3516"/>
        </w:tabs>
        <w:ind w:left="3573" w:hanging="397"/>
      </w:pPr>
      <w:rPr>
        <w:rFonts w:hint="default"/>
      </w:rPr>
    </w:lvl>
  </w:abstractNum>
  <w:abstractNum w:abstractNumId="10">
    <w:nsid w:val="67E510DF"/>
    <w:multiLevelType w:val="multilevel"/>
    <w:tmpl w:val="B29E0AE8"/>
    <w:lvl w:ilvl="0">
      <w:start w:val="1"/>
      <w:numFmt w:val="hebrew1"/>
      <w:pStyle w:val="a0"/>
      <w:lvlText w:val="%1."/>
      <w:lvlJc w:val="left"/>
      <w:pPr>
        <w:tabs>
          <w:tab w:val="num" w:pos="360"/>
        </w:tabs>
        <w:ind w:left="360" w:hanging="360"/>
      </w:pPr>
      <w:rPr>
        <w:rFonts w:cs="Narkisim" w:hint="cs"/>
        <w:bCs/>
        <w:iCs w:val="0"/>
        <w:szCs w:val="24"/>
      </w:rPr>
    </w:lvl>
    <w:lvl w:ilvl="1">
      <w:start w:val="1"/>
      <w:numFmt w:val="hebrew1"/>
      <w:pStyle w:val="a1"/>
      <w:lvlText w:val="%2."/>
      <w:lvlJc w:val="left"/>
      <w:pPr>
        <w:tabs>
          <w:tab w:val="num" w:pos="794"/>
        </w:tabs>
        <w:ind w:left="397" w:hanging="397"/>
      </w:pPr>
      <w:rPr>
        <w:rFonts w:cs="Narkisim" w:hint="cs"/>
        <w:bCs/>
        <w:iCs w:val="0"/>
        <w:szCs w:val="24"/>
      </w:rPr>
    </w:lvl>
    <w:lvl w:ilvl="2">
      <w:start w:val="1"/>
      <w:numFmt w:val="decimal"/>
      <w:pStyle w:val="10"/>
      <w:lvlText w:val="(%3)"/>
      <w:lvlJc w:val="left"/>
      <w:pPr>
        <w:tabs>
          <w:tab w:val="num" w:pos="397"/>
        </w:tabs>
        <w:ind w:left="0" w:firstLine="0"/>
      </w:pPr>
      <w:rPr>
        <w:rFonts w:cs="Narkisim" w:hint="cs"/>
        <w:bCs/>
        <w:i/>
        <w:iCs w:val="0"/>
        <w:szCs w:val="22"/>
      </w:rPr>
    </w:lvl>
    <w:lvl w:ilvl="3">
      <w:start w:val="1"/>
      <w:numFmt w:val="hebrew1"/>
      <w:pStyle w:val="a2"/>
      <w:lvlText w:val="(%4)"/>
      <w:lvlJc w:val="left"/>
      <w:pPr>
        <w:tabs>
          <w:tab w:val="num" w:pos="397"/>
        </w:tabs>
        <w:ind w:left="0" w:firstLine="0"/>
      </w:pPr>
      <w:rPr>
        <w:rFonts w:hint="default"/>
        <w:bCs w:val="0"/>
        <w:iCs w:val="0"/>
        <w:szCs w:val="22"/>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1">
    <w:nsid w:val="7A805538"/>
    <w:multiLevelType w:val="hybridMultilevel"/>
    <w:tmpl w:val="1F6A77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10"/>
  </w:num>
  <w:num w:numId="3">
    <w:abstractNumId w:val="4"/>
    <w:lvlOverride w:ilvl="0">
      <w:lvl w:ilvl="0">
        <w:start w:val="1"/>
        <w:numFmt w:val="decimal"/>
        <w:pStyle w:val="11"/>
        <w:lvlText w:val="%1."/>
        <w:lvlJc w:val="left"/>
        <w:pPr>
          <w:tabs>
            <w:tab w:val="num" w:pos="397"/>
          </w:tabs>
          <w:ind w:left="397" w:hanging="397"/>
        </w:pPr>
        <w:rPr>
          <w:rFonts w:hint="default"/>
        </w:rPr>
      </w:lvl>
    </w:lvlOverride>
    <w:lvlOverride w:ilvl="1">
      <w:lvl w:ilvl="1">
        <w:start w:val="1"/>
        <w:numFmt w:val="hebrew1"/>
        <w:lvlText w:val="(%2)"/>
        <w:lvlJc w:val="left"/>
        <w:pPr>
          <w:tabs>
            <w:tab w:val="num" w:pos="964"/>
          </w:tabs>
          <w:ind w:left="794" w:hanging="397"/>
        </w:pPr>
        <w:rPr>
          <w:rFonts w:hint="default"/>
        </w:rPr>
      </w:lvl>
    </w:lvlOverride>
    <w:lvlOverride w:ilvl="2">
      <w:lvl w:ilvl="2">
        <w:start w:val="1"/>
        <w:numFmt w:val="decimal"/>
        <w:lvlText w:val="(%3)"/>
        <w:lvlJc w:val="left"/>
        <w:pPr>
          <w:tabs>
            <w:tab w:val="num" w:pos="1361"/>
          </w:tabs>
          <w:ind w:left="1191" w:hanging="397"/>
        </w:pPr>
        <w:rPr>
          <w:rFonts w:hint="default"/>
        </w:rPr>
      </w:lvl>
    </w:lvlOverride>
    <w:lvlOverride w:ilvl="3">
      <w:lvl w:ilvl="3">
        <w:start w:val="1"/>
        <w:numFmt w:val="hebrew1"/>
        <w:lvlText w:val="(%4)"/>
        <w:lvlJc w:val="left"/>
        <w:pPr>
          <w:tabs>
            <w:tab w:val="num" w:pos="1758"/>
          </w:tabs>
          <w:ind w:left="1588" w:hanging="397"/>
        </w:pPr>
        <w:rPr>
          <w:rFonts w:hint="default"/>
        </w:rPr>
      </w:lvl>
    </w:lvlOverride>
    <w:lvlOverride w:ilvl="4">
      <w:lvl w:ilvl="4">
        <w:start w:val="1"/>
        <w:numFmt w:val="decimal"/>
        <w:lvlText w:val="%5."/>
        <w:lvlJc w:val="left"/>
        <w:pPr>
          <w:tabs>
            <w:tab w:val="num" w:pos="2155"/>
          </w:tabs>
          <w:ind w:left="1985" w:hanging="397"/>
        </w:pPr>
        <w:rPr>
          <w:rFonts w:hint="default"/>
        </w:rPr>
      </w:lvl>
    </w:lvlOverride>
    <w:lvlOverride w:ilvl="5">
      <w:lvl w:ilvl="5">
        <w:start w:val="1"/>
        <w:numFmt w:val="decimal"/>
        <w:lvlText w:val="%6."/>
        <w:lvlJc w:val="left"/>
        <w:pPr>
          <w:tabs>
            <w:tab w:val="num" w:pos="2552"/>
          </w:tabs>
          <w:ind w:left="2382" w:hanging="397"/>
        </w:pPr>
        <w:rPr>
          <w:rFonts w:hint="default"/>
        </w:rPr>
      </w:lvl>
    </w:lvlOverride>
    <w:lvlOverride w:ilvl="6">
      <w:lvl w:ilvl="6">
        <w:start w:val="1"/>
        <w:numFmt w:val="decimal"/>
        <w:lvlText w:val="%7."/>
        <w:lvlJc w:val="left"/>
        <w:pPr>
          <w:tabs>
            <w:tab w:val="num" w:pos="2949"/>
          </w:tabs>
          <w:ind w:left="2779" w:hanging="397"/>
        </w:pPr>
        <w:rPr>
          <w:rFonts w:hint="default"/>
        </w:rPr>
      </w:lvl>
    </w:lvlOverride>
    <w:lvlOverride w:ilvl="7">
      <w:lvl w:ilvl="7">
        <w:start w:val="1"/>
        <w:numFmt w:val="decimal"/>
        <w:lvlText w:val="%8."/>
        <w:lvlJc w:val="left"/>
        <w:pPr>
          <w:tabs>
            <w:tab w:val="num" w:pos="3346"/>
          </w:tabs>
          <w:ind w:left="3176" w:hanging="397"/>
        </w:pPr>
        <w:rPr>
          <w:rFonts w:hint="default"/>
        </w:rPr>
      </w:lvl>
    </w:lvlOverride>
    <w:lvlOverride w:ilvl="8">
      <w:lvl w:ilvl="8">
        <w:start w:val="1"/>
        <w:numFmt w:val="decimal"/>
        <w:lvlText w:val="%9."/>
        <w:lvlJc w:val="left"/>
        <w:pPr>
          <w:tabs>
            <w:tab w:val="num" w:pos="3743"/>
          </w:tabs>
          <w:ind w:left="3573" w:hanging="397"/>
        </w:pPr>
        <w:rPr>
          <w:rFonts w:hint="default"/>
        </w:rPr>
      </w:lvl>
    </w:lvlOverride>
  </w:num>
  <w:num w:numId="4">
    <w:abstractNumId w:val="10"/>
    <w:lvlOverride w:ilvl="0">
      <w:lvl w:ilvl="0">
        <w:start w:val="1"/>
        <w:numFmt w:val="hebrew1"/>
        <w:pStyle w:val="a0"/>
        <w:lvlText w:val="%1."/>
        <w:lvlJc w:val="left"/>
        <w:pPr>
          <w:tabs>
            <w:tab w:val="num" w:pos="360"/>
          </w:tabs>
          <w:ind w:left="360" w:hanging="360"/>
        </w:pPr>
        <w:rPr>
          <w:rFonts w:cs="Narkisim" w:hint="cs"/>
          <w:bCs/>
          <w:iCs w:val="0"/>
          <w:szCs w:val="24"/>
        </w:rPr>
      </w:lvl>
    </w:lvlOverride>
    <w:lvlOverride w:ilvl="1">
      <w:lvl w:ilvl="1">
        <w:start w:val="1"/>
        <w:numFmt w:val="hebrew1"/>
        <w:pStyle w:val="a1"/>
        <w:lvlText w:val="%2."/>
        <w:lvlJc w:val="left"/>
        <w:pPr>
          <w:tabs>
            <w:tab w:val="num" w:pos="794"/>
          </w:tabs>
          <w:ind w:left="397" w:hanging="397"/>
        </w:pPr>
        <w:rPr>
          <w:rFonts w:cs="Narkisim" w:hint="cs"/>
          <w:bCs/>
          <w:iCs w:val="0"/>
          <w:szCs w:val="24"/>
        </w:rPr>
      </w:lvl>
    </w:lvlOverride>
    <w:lvlOverride w:ilvl="2">
      <w:lvl w:ilvl="2">
        <w:start w:val="1"/>
        <w:numFmt w:val="decimal"/>
        <w:pStyle w:val="10"/>
        <w:lvlText w:val="(%3)"/>
        <w:lvlJc w:val="left"/>
        <w:pPr>
          <w:tabs>
            <w:tab w:val="num" w:pos="397"/>
          </w:tabs>
          <w:ind w:left="0" w:firstLine="0"/>
        </w:pPr>
        <w:rPr>
          <w:rFonts w:cs="Narkisim" w:hint="cs"/>
          <w:bCs/>
          <w:i/>
          <w:iCs w:val="0"/>
          <w:szCs w:val="22"/>
        </w:rPr>
      </w:lvl>
    </w:lvlOverride>
    <w:lvlOverride w:ilvl="3">
      <w:lvl w:ilvl="3">
        <w:start w:val="1"/>
        <w:numFmt w:val="hebrew1"/>
        <w:pStyle w:val="a2"/>
        <w:lvlText w:val="(%4)"/>
        <w:lvlJc w:val="left"/>
        <w:pPr>
          <w:tabs>
            <w:tab w:val="num" w:pos="397"/>
          </w:tabs>
          <w:ind w:left="0" w:firstLine="0"/>
        </w:pPr>
        <w:rPr>
          <w:rFonts w:hint="default"/>
          <w:bCs w:val="0"/>
          <w:iCs/>
          <w:szCs w:val="22"/>
        </w:rPr>
      </w:lvl>
    </w:lvlOverride>
    <w:lvlOverride w:ilvl="4">
      <w:lvl w:ilvl="4">
        <w:start w:val="1"/>
        <w:numFmt w:val="lowerLetter"/>
        <w:lvlText w:val="(%5)"/>
        <w:lvlJc w:val="left"/>
        <w:pPr>
          <w:tabs>
            <w:tab w:val="num" w:pos="1800"/>
          </w:tabs>
          <w:ind w:left="1800" w:hanging="360"/>
        </w:pPr>
        <w:rPr>
          <w:rFonts w:hint="default"/>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2520"/>
          </w:tabs>
          <w:ind w:left="252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5">
    <w:abstractNumId w:val="2"/>
  </w:num>
  <w:num w:numId="6">
    <w:abstractNumId w:val="6"/>
  </w:num>
  <w:num w:numId="7">
    <w:abstractNumId w:val="3"/>
  </w:num>
  <w:num w:numId="8">
    <w:abstractNumId w:val="0"/>
  </w:num>
  <w:num w:numId="9">
    <w:abstractNumId w:val="5"/>
  </w:num>
  <w:num w:numId="10">
    <w:abstractNumId w:val="8"/>
  </w:num>
  <w:num w:numId="11">
    <w:abstractNumId w:val="7"/>
  </w:num>
  <w:num w:numId="12">
    <w:abstractNumId w:val="11"/>
  </w:num>
  <w:num w:numId="13">
    <w:abstractNumId w:val="1"/>
  </w:num>
  <w:numIdMacAtCleanup w:val="1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stylePaneFormatFilter w:val="3F01"/>
  <w:stylePaneSortMethod w:val="0000"/>
  <w:defaultTabStop w:val="720"/>
  <w:characterSpacingControl w:val="doNotCompress"/>
  <w:footnotePr>
    <w:footnote w:id="0"/>
    <w:footnote w:id="1"/>
  </w:footnotePr>
  <w:endnotePr>
    <w:endnote w:id="0"/>
    <w:endnote w:id="1"/>
  </w:endnotePr>
  <w:compat/>
  <w:rsids>
    <w:rsidRoot w:val="00E2756A"/>
    <w:rsid w:val="0000062C"/>
    <w:rsid w:val="00000644"/>
    <w:rsid w:val="00000BE7"/>
    <w:rsid w:val="00001087"/>
    <w:rsid w:val="0000164D"/>
    <w:rsid w:val="000023A3"/>
    <w:rsid w:val="00002986"/>
    <w:rsid w:val="000032D6"/>
    <w:rsid w:val="00004769"/>
    <w:rsid w:val="00004F7D"/>
    <w:rsid w:val="000053C8"/>
    <w:rsid w:val="00006421"/>
    <w:rsid w:val="00007AAC"/>
    <w:rsid w:val="00007CEE"/>
    <w:rsid w:val="00013474"/>
    <w:rsid w:val="00015B30"/>
    <w:rsid w:val="00016869"/>
    <w:rsid w:val="00017D3A"/>
    <w:rsid w:val="0002065A"/>
    <w:rsid w:val="000218C5"/>
    <w:rsid w:val="00024981"/>
    <w:rsid w:val="000266CB"/>
    <w:rsid w:val="000268F0"/>
    <w:rsid w:val="0002774A"/>
    <w:rsid w:val="000278F6"/>
    <w:rsid w:val="000306CE"/>
    <w:rsid w:val="000310D2"/>
    <w:rsid w:val="000318D6"/>
    <w:rsid w:val="00031B25"/>
    <w:rsid w:val="00032C7F"/>
    <w:rsid w:val="000335BA"/>
    <w:rsid w:val="000341DD"/>
    <w:rsid w:val="000348A0"/>
    <w:rsid w:val="00034DC7"/>
    <w:rsid w:val="00034DF4"/>
    <w:rsid w:val="00036D12"/>
    <w:rsid w:val="00040B5B"/>
    <w:rsid w:val="00041CE1"/>
    <w:rsid w:val="00042BFB"/>
    <w:rsid w:val="00045922"/>
    <w:rsid w:val="000464BA"/>
    <w:rsid w:val="00047688"/>
    <w:rsid w:val="00047B8B"/>
    <w:rsid w:val="00047DCC"/>
    <w:rsid w:val="000503D0"/>
    <w:rsid w:val="00051757"/>
    <w:rsid w:val="00052961"/>
    <w:rsid w:val="00053198"/>
    <w:rsid w:val="000537EA"/>
    <w:rsid w:val="00053E9E"/>
    <w:rsid w:val="00055535"/>
    <w:rsid w:val="00056059"/>
    <w:rsid w:val="00061A6E"/>
    <w:rsid w:val="00061DD6"/>
    <w:rsid w:val="00062203"/>
    <w:rsid w:val="00063048"/>
    <w:rsid w:val="0006392C"/>
    <w:rsid w:val="00066042"/>
    <w:rsid w:val="000730BC"/>
    <w:rsid w:val="00073994"/>
    <w:rsid w:val="00073BCD"/>
    <w:rsid w:val="000774F8"/>
    <w:rsid w:val="00077A2B"/>
    <w:rsid w:val="00084612"/>
    <w:rsid w:val="000847A6"/>
    <w:rsid w:val="00095D29"/>
    <w:rsid w:val="00096E83"/>
    <w:rsid w:val="000A24D9"/>
    <w:rsid w:val="000A3E70"/>
    <w:rsid w:val="000A3FD7"/>
    <w:rsid w:val="000A4CA5"/>
    <w:rsid w:val="000A5821"/>
    <w:rsid w:val="000B04CC"/>
    <w:rsid w:val="000B1213"/>
    <w:rsid w:val="000B2321"/>
    <w:rsid w:val="000B2E3F"/>
    <w:rsid w:val="000B4445"/>
    <w:rsid w:val="000B5AE3"/>
    <w:rsid w:val="000B631B"/>
    <w:rsid w:val="000B76B9"/>
    <w:rsid w:val="000C3F42"/>
    <w:rsid w:val="000C514A"/>
    <w:rsid w:val="000C6ECB"/>
    <w:rsid w:val="000D019D"/>
    <w:rsid w:val="000D04BB"/>
    <w:rsid w:val="000D2922"/>
    <w:rsid w:val="000D306E"/>
    <w:rsid w:val="000D3BC8"/>
    <w:rsid w:val="000D58C0"/>
    <w:rsid w:val="000D766B"/>
    <w:rsid w:val="000D7F15"/>
    <w:rsid w:val="000E0573"/>
    <w:rsid w:val="000E1027"/>
    <w:rsid w:val="000E12F4"/>
    <w:rsid w:val="000E34D3"/>
    <w:rsid w:val="000F0F45"/>
    <w:rsid w:val="000F12BE"/>
    <w:rsid w:val="000F3D3C"/>
    <w:rsid w:val="000F643F"/>
    <w:rsid w:val="000F6784"/>
    <w:rsid w:val="000F7EB3"/>
    <w:rsid w:val="00101F0C"/>
    <w:rsid w:val="00102498"/>
    <w:rsid w:val="00103A7A"/>
    <w:rsid w:val="00105A02"/>
    <w:rsid w:val="0011239A"/>
    <w:rsid w:val="00112A3B"/>
    <w:rsid w:val="001138F9"/>
    <w:rsid w:val="00113A86"/>
    <w:rsid w:val="0011598C"/>
    <w:rsid w:val="00116756"/>
    <w:rsid w:val="00122355"/>
    <w:rsid w:val="00126AB0"/>
    <w:rsid w:val="00126AED"/>
    <w:rsid w:val="00127662"/>
    <w:rsid w:val="00130EDE"/>
    <w:rsid w:val="00131D26"/>
    <w:rsid w:val="001337DB"/>
    <w:rsid w:val="00133B99"/>
    <w:rsid w:val="0013598D"/>
    <w:rsid w:val="00140368"/>
    <w:rsid w:val="00140E47"/>
    <w:rsid w:val="0014110D"/>
    <w:rsid w:val="00141834"/>
    <w:rsid w:val="00143531"/>
    <w:rsid w:val="00145E7E"/>
    <w:rsid w:val="0014627A"/>
    <w:rsid w:val="001463AE"/>
    <w:rsid w:val="001502BF"/>
    <w:rsid w:val="001531A8"/>
    <w:rsid w:val="00153429"/>
    <w:rsid w:val="001535C3"/>
    <w:rsid w:val="00154DEC"/>
    <w:rsid w:val="00154EA1"/>
    <w:rsid w:val="00155689"/>
    <w:rsid w:val="00160016"/>
    <w:rsid w:val="00160CB5"/>
    <w:rsid w:val="00164A02"/>
    <w:rsid w:val="00164C42"/>
    <w:rsid w:val="001654EB"/>
    <w:rsid w:val="00171FB9"/>
    <w:rsid w:val="001723BD"/>
    <w:rsid w:val="0017301A"/>
    <w:rsid w:val="001746BB"/>
    <w:rsid w:val="00176DF3"/>
    <w:rsid w:val="0018095D"/>
    <w:rsid w:val="0018123A"/>
    <w:rsid w:val="001820C9"/>
    <w:rsid w:val="00192E23"/>
    <w:rsid w:val="0019344E"/>
    <w:rsid w:val="00194B72"/>
    <w:rsid w:val="001975B6"/>
    <w:rsid w:val="001A042C"/>
    <w:rsid w:val="001A099C"/>
    <w:rsid w:val="001A1EF8"/>
    <w:rsid w:val="001A2065"/>
    <w:rsid w:val="001A3863"/>
    <w:rsid w:val="001A45F7"/>
    <w:rsid w:val="001A492B"/>
    <w:rsid w:val="001A49EC"/>
    <w:rsid w:val="001A4AA9"/>
    <w:rsid w:val="001A6E43"/>
    <w:rsid w:val="001A6FFE"/>
    <w:rsid w:val="001A71C8"/>
    <w:rsid w:val="001A7F28"/>
    <w:rsid w:val="001B032D"/>
    <w:rsid w:val="001B131C"/>
    <w:rsid w:val="001B1830"/>
    <w:rsid w:val="001B1B8F"/>
    <w:rsid w:val="001B5328"/>
    <w:rsid w:val="001B6100"/>
    <w:rsid w:val="001B698A"/>
    <w:rsid w:val="001B793B"/>
    <w:rsid w:val="001C0BB0"/>
    <w:rsid w:val="001C10BE"/>
    <w:rsid w:val="001C2876"/>
    <w:rsid w:val="001C3BEA"/>
    <w:rsid w:val="001C46A4"/>
    <w:rsid w:val="001C57C0"/>
    <w:rsid w:val="001C7BDC"/>
    <w:rsid w:val="001C7C4A"/>
    <w:rsid w:val="001D032C"/>
    <w:rsid w:val="001D0A46"/>
    <w:rsid w:val="001D0ACB"/>
    <w:rsid w:val="001D1878"/>
    <w:rsid w:val="001D4533"/>
    <w:rsid w:val="001D74CB"/>
    <w:rsid w:val="001E185C"/>
    <w:rsid w:val="001E1ACA"/>
    <w:rsid w:val="001E275D"/>
    <w:rsid w:val="001E35DA"/>
    <w:rsid w:val="001E3959"/>
    <w:rsid w:val="001E6EE1"/>
    <w:rsid w:val="001F0C74"/>
    <w:rsid w:val="001F302E"/>
    <w:rsid w:val="001F3BB4"/>
    <w:rsid w:val="001F6E98"/>
    <w:rsid w:val="001F7A53"/>
    <w:rsid w:val="00201779"/>
    <w:rsid w:val="00203079"/>
    <w:rsid w:val="00204DAE"/>
    <w:rsid w:val="00206CE4"/>
    <w:rsid w:val="002078E9"/>
    <w:rsid w:val="00212597"/>
    <w:rsid w:val="00213F45"/>
    <w:rsid w:val="0021411F"/>
    <w:rsid w:val="00214333"/>
    <w:rsid w:val="0021641D"/>
    <w:rsid w:val="00220C41"/>
    <w:rsid w:val="00221402"/>
    <w:rsid w:val="00221532"/>
    <w:rsid w:val="0022261C"/>
    <w:rsid w:val="0022375A"/>
    <w:rsid w:val="00224538"/>
    <w:rsid w:val="0022460E"/>
    <w:rsid w:val="00224FF7"/>
    <w:rsid w:val="0022561A"/>
    <w:rsid w:val="002262EE"/>
    <w:rsid w:val="00235F71"/>
    <w:rsid w:val="0024122C"/>
    <w:rsid w:val="00244FBD"/>
    <w:rsid w:val="002533E6"/>
    <w:rsid w:val="00253EE1"/>
    <w:rsid w:val="0025738C"/>
    <w:rsid w:val="002600E5"/>
    <w:rsid w:val="0026102F"/>
    <w:rsid w:val="00261CB1"/>
    <w:rsid w:val="002627EE"/>
    <w:rsid w:val="00262F4B"/>
    <w:rsid w:val="00262F96"/>
    <w:rsid w:val="002635C1"/>
    <w:rsid w:val="00263F5B"/>
    <w:rsid w:val="00265178"/>
    <w:rsid w:val="00265358"/>
    <w:rsid w:val="00265E4C"/>
    <w:rsid w:val="00267588"/>
    <w:rsid w:val="00276429"/>
    <w:rsid w:val="0028130B"/>
    <w:rsid w:val="00282B5E"/>
    <w:rsid w:val="002834CA"/>
    <w:rsid w:val="002843AC"/>
    <w:rsid w:val="0028519B"/>
    <w:rsid w:val="0028603A"/>
    <w:rsid w:val="00286F51"/>
    <w:rsid w:val="00291349"/>
    <w:rsid w:val="00296CCD"/>
    <w:rsid w:val="002A0EB9"/>
    <w:rsid w:val="002A2917"/>
    <w:rsid w:val="002A2ADF"/>
    <w:rsid w:val="002A2CB3"/>
    <w:rsid w:val="002A5312"/>
    <w:rsid w:val="002B188D"/>
    <w:rsid w:val="002B1BC2"/>
    <w:rsid w:val="002B1D96"/>
    <w:rsid w:val="002B31CF"/>
    <w:rsid w:val="002B45C3"/>
    <w:rsid w:val="002B5AE9"/>
    <w:rsid w:val="002C30E6"/>
    <w:rsid w:val="002C3D31"/>
    <w:rsid w:val="002C5489"/>
    <w:rsid w:val="002C697B"/>
    <w:rsid w:val="002C6E76"/>
    <w:rsid w:val="002C7624"/>
    <w:rsid w:val="002D0562"/>
    <w:rsid w:val="002D1463"/>
    <w:rsid w:val="002D157A"/>
    <w:rsid w:val="002D2E9B"/>
    <w:rsid w:val="002D542C"/>
    <w:rsid w:val="002D5636"/>
    <w:rsid w:val="002E006E"/>
    <w:rsid w:val="002E237F"/>
    <w:rsid w:val="002E26CE"/>
    <w:rsid w:val="002E3858"/>
    <w:rsid w:val="002E3E47"/>
    <w:rsid w:val="002E5623"/>
    <w:rsid w:val="002E65D9"/>
    <w:rsid w:val="002F5EA7"/>
    <w:rsid w:val="002F6A54"/>
    <w:rsid w:val="002F7D81"/>
    <w:rsid w:val="00302EC0"/>
    <w:rsid w:val="00304522"/>
    <w:rsid w:val="0030544F"/>
    <w:rsid w:val="00310255"/>
    <w:rsid w:val="00311256"/>
    <w:rsid w:val="00311FE5"/>
    <w:rsid w:val="0031363E"/>
    <w:rsid w:val="003136C6"/>
    <w:rsid w:val="003142FF"/>
    <w:rsid w:val="00322084"/>
    <w:rsid w:val="003228A5"/>
    <w:rsid w:val="003303F7"/>
    <w:rsid w:val="003304E1"/>
    <w:rsid w:val="00330AF3"/>
    <w:rsid w:val="00331442"/>
    <w:rsid w:val="00333178"/>
    <w:rsid w:val="00334C07"/>
    <w:rsid w:val="00334DB3"/>
    <w:rsid w:val="00336118"/>
    <w:rsid w:val="003361E6"/>
    <w:rsid w:val="00336CD3"/>
    <w:rsid w:val="00336F78"/>
    <w:rsid w:val="00336F7B"/>
    <w:rsid w:val="00340AC4"/>
    <w:rsid w:val="003414E5"/>
    <w:rsid w:val="00342557"/>
    <w:rsid w:val="00343489"/>
    <w:rsid w:val="00345102"/>
    <w:rsid w:val="0035168C"/>
    <w:rsid w:val="00353B3B"/>
    <w:rsid w:val="00356BAD"/>
    <w:rsid w:val="00357507"/>
    <w:rsid w:val="00360405"/>
    <w:rsid w:val="00361307"/>
    <w:rsid w:val="0036400C"/>
    <w:rsid w:val="00366181"/>
    <w:rsid w:val="0037032C"/>
    <w:rsid w:val="00371293"/>
    <w:rsid w:val="00373E10"/>
    <w:rsid w:val="00375276"/>
    <w:rsid w:val="00375341"/>
    <w:rsid w:val="003772D4"/>
    <w:rsid w:val="00381C27"/>
    <w:rsid w:val="00382287"/>
    <w:rsid w:val="003832F1"/>
    <w:rsid w:val="00386F5F"/>
    <w:rsid w:val="00387082"/>
    <w:rsid w:val="0038717E"/>
    <w:rsid w:val="00390120"/>
    <w:rsid w:val="00392BA7"/>
    <w:rsid w:val="00395AA9"/>
    <w:rsid w:val="00397CD7"/>
    <w:rsid w:val="003A5511"/>
    <w:rsid w:val="003A55C1"/>
    <w:rsid w:val="003A6FEE"/>
    <w:rsid w:val="003B0F61"/>
    <w:rsid w:val="003B239C"/>
    <w:rsid w:val="003B26F0"/>
    <w:rsid w:val="003B2EE9"/>
    <w:rsid w:val="003B32E3"/>
    <w:rsid w:val="003B3618"/>
    <w:rsid w:val="003B4BF4"/>
    <w:rsid w:val="003C523C"/>
    <w:rsid w:val="003C5C2B"/>
    <w:rsid w:val="003C6843"/>
    <w:rsid w:val="003D0A52"/>
    <w:rsid w:val="003D0C92"/>
    <w:rsid w:val="003D0EB8"/>
    <w:rsid w:val="003D35DE"/>
    <w:rsid w:val="003D367A"/>
    <w:rsid w:val="003D3A28"/>
    <w:rsid w:val="003D3E26"/>
    <w:rsid w:val="003D412C"/>
    <w:rsid w:val="003D4414"/>
    <w:rsid w:val="003D7D2E"/>
    <w:rsid w:val="003E16A8"/>
    <w:rsid w:val="003E1753"/>
    <w:rsid w:val="003E23C0"/>
    <w:rsid w:val="003E2476"/>
    <w:rsid w:val="003E35BD"/>
    <w:rsid w:val="003E41D7"/>
    <w:rsid w:val="003E6DC2"/>
    <w:rsid w:val="003E6E03"/>
    <w:rsid w:val="003E7339"/>
    <w:rsid w:val="003F1CDC"/>
    <w:rsid w:val="003F6197"/>
    <w:rsid w:val="003F72E3"/>
    <w:rsid w:val="0040247A"/>
    <w:rsid w:val="00402DBA"/>
    <w:rsid w:val="00403D72"/>
    <w:rsid w:val="00404714"/>
    <w:rsid w:val="00404E9E"/>
    <w:rsid w:val="00410763"/>
    <w:rsid w:val="00410F20"/>
    <w:rsid w:val="004133F8"/>
    <w:rsid w:val="00417033"/>
    <w:rsid w:val="0042072C"/>
    <w:rsid w:val="00423971"/>
    <w:rsid w:val="00425C05"/>
    <w:rsid w:val="0042710C"/>
    <w:rsid w:val="004271EA"/>
    <w:rsid w:val="00437A9A"/>
    <w:rsid w:val="004409EC"/>
    <w:rsid w:val="00441879"/>
    <w:rsid w:val="0044192B"/>
    <w:rsid w:val="00443A5A"/>
    <w:rsid w:val="0044456C"/>
    <w:rsid w:val="00444DC3"/>
    <w:rsid w:val="00445DE0"/>
    <w:rsid w:val="004474C0"/>
    <w:rsid w:val="00447D2D"/>
    <w:rsid w:val="00450867"/>
    <w:rsid w:val="00450C5A"/>
    <w:rsid w:val="004567F5"/>
    <w:rsid w:val="00460F4E"/>
    <w:rsid w:val="00461D9C"/>
    <w:rsid w:val="00462602"/>
    <w:rsid w:val="0046269E"/>
    <w:rsid w:val="00462FE4"/>
    <w:rsid w:val="00466AD9"/>
    <w:rsid w:val="0046726A"/>
    <w:rsid w:val="00467567"/>
    <w:rsid w:val="00467950"/>
    <w:rsid w:val="00472E7D"/>
    <w:rsid w:val="00473811"/>
    <w:rsid w:val="004740CB"/>
    <w:rsid w:val="00474DD3"/>
    <w:rsid w:val="00480A3B"/>
    <w:rsid w:val="00482C8E"/>
    <w:rsid w:val="00484588"/>
    <w:rsid w:val="004849DF"/>
    <w:rsid w:val="00485D3B"/>
    <w:rsid w:val="00485E3F"/>
    <w:rsid w:val="00490425"/>
    <w:rsid w:val="00490602"/>
    <w:rsid w:val="0049150E"/>
    <w:rsid w:val="00492A91"/>
    <w:rsid w:val="00493D5A"/>
    <w:rsid w:val="00496E08"/>
    <w:rsid w:val="004A0E0E"/>
    <w:rsid w:val="004A1B68"/>
    <w:rsid w:val="004A2FF5"/>
    <w:rsid w:val="004A5AE3"/>
    <w:rsid w:val="004A605B"/>
    <w:rsid w:val="004A70E1"/>
    <w:rsid w:val="004B2296"/>
    <w:rsid w:val="004B2706"/>
    <w:rsid w:val="004B54A8"/>
    <w:rsid w:val="004B641C"/>
    <w:rsid w:val="004B71CD"/>
    <w:rsid w:val="004C19B4"/>
    <w:rsid w:val="004C429F"/>
    <w:rsid w:val="004C48FB"/>
    <w:rsid w:val="004C5459"/>
    <w:rsid w:val="004C6374"/>
    <w:rsid w:val="004C665E"/>
    <w:rsid w:val="004C7667"/>
    <w:rsid w:val="004D0E21"/>
    <w:rsid w:val="004D144F"/>
    <w:rsid w:val="004D2BF4"/>
    <w:rsid w:val="004D5C89"/>
    <w:rsid w:val="004D719B"/>
    <w:rsid w:val="004D747B"/>
    <w:rsid w:val="004E1252"/>
    <w:rsid w:val="004E2222"/>
    <w:rsid w:val="004E46AC"/>
    <w:rsid w:val="004F01D5"/>
    <w:rsid w:val="004F067B"/>
    <w:rsid w:val="004F08AA"/>
    <w:rsid w:val="004F14B6"/>
    <w:rsid w:val="004F4010"/>
    <w:rsid w:val="004F414B"/>
    <w:rsid w:val="004F77DC"/>
    <w:rsid w:val="00502385"/>
    <w:rsid w:val="00502B41"/>
    <w:rsid w:val="00504493"/>
    <w:rsid w:val="005112D7"/>
    <w:rsid w:val="0051147D"/>
    <w:rsid w:val="0051320F"/>
    <w:rsid w:val="0051372A"/>
    <w:rsid w:val="00515FBE"/>
    <w:rsid w:val="00516CB1"/>
    <w:rsid w:val="00524EA6"/>
    <w:rsid w:val="00526F26"/>
    <w:rsid w:val="00531A7F"/>
    <w:rsid w:val="0053300A"/>
    <w:rsid w:val="00534BD7"/>
    <w:rsid w:val="00535F7F"/>
    <w:rsid w:val="00536555"/>
    <w:rsid w:val="005368C7"/>
    <w:rsid w:val="00537B93"/>
    <w:rsid w:val="00540257"/>
    <w:rsid w:val="00542823"/>
    <w:rsid w:val="00542D5D"/>
    <w:rsid w:val="00544D75"/>
    <w:rsid w:val="005452D2"/>
    <w:rsid w:val="00546B74"/>
    <w:rsid w:val="005524E0"/>
    <w:rsid w:val="005567F9"/>
    <w:rsid w:val="005605C5"/>
    <w:rsid w:val="0056681F"/>
    <w:rsid w:val="0057128F"/>
    <w:rsid w:val="00571499"/>
    <w:rsid w:val="005719C4"/>
    <w:rsid w:val="0057270C"/>
    <w:rsid w:val="00575CF4"/>
    <w:rsid w:val="00582096"/>
    <w:rsid w:val="0058306F"/>
    <w:rsid w:val="005837B8"/>
    <w:rsid w:val="005855E3"/>
    <w:rsid w:val="005877C0"/>
    <w:rsid w:val="00591EC7"/>
    <w:rsid w:val="00594F8F"/>
    <w:rsid w:val="00595DA0"/>
    <w:rsid w:val="005973DD"/>
    <w:rsid w:val="005A04A9"/>
    <w:rsid w:val="005A08CA"/>
    <w:rsid w:val="005A3569"/>
    <w:rsid w:val="005B0D69"/>
    <w:rsid w:val="005B22DD"/>
    <w:rsid w:val="005B242C"/>
    <w:rsid w:val="005B2FFE"/>
    <w:rsid w:val="005B6E71"/>
    <w:rsid w:val="005B7909"/>
    <w:rsid w:val="005B79B5"/>
    <w:rsid w:val="005C06E6"/>
    <w:rsid w:val="005C1AE9"/>
    <w:rsid w:val="005C6839"/>
    <w:rsid w:val="005D4F07"/>
    <w:rsid w:val="005D6E52"/>
    <w:rsid w:val="005D7920"/>
    <w:rsid w:val="005E147D"/>
    <w:rsid w:val="005E14A7"/>
    <w:rsid w:val="005E187B"/>
    <w:rsid w:val="005E3BD3"/>
    <w:rsid w:val="005E4DAD"/>
    <w:rsid w:val="005E526A"/>
    <w:rsid w:val="005E527E"/>
    <w:rsid w:val="005E6DB6"/>
    <w:rsid w:val="005E6FB0"/>
    <w:rsid w:val="005F0114"/>
    <w:rsid w:val="005F1EFD"/>
    <w:rsid w:val="005F4AD7"/>
    <w:rsid w:val="005F65E6"/>
    <w:rsid w:val="0060010E"/>
    <w:rsid w:val="00605371"/>
    <w:rsid w:val="00607CC0"/>
    <w:rsid w:val="006107D4"/>
    <w:rsid w:val="0061189E"/>
    <w:rsid w:val="006123DB"/>
    <w:rsid w:val="00612494"/>
    <w:rsid w:val="006131E8"/>
    <w:rsid w:val="006138C5"/>
    <w:rsid w:val="00615C6A"/>
    <w:rsid w:val="00616160"/>
    <w:rsid w:val="00621046"/>
    <w:rsid w:val="00621ADF"/>
    <w:rsid w:val="00623341"/>
    <w:rsid w:val="00624242"/>
    <w:rsid w:val="00624B88"/>
    <w:rsid w:val="006260A7"/>
    <w:rsid w:val="006269D0"/>
    <w:rsid w:val="00627B2A"/>
    <w:rsid w:val="00632BAF"/>
    <w:rsid w:val="00635F61"/>
    <w:rsid w:val="00637B5F"/>
    <w:rsid w:val="006405B9"/>
    <w:rsid w:val="006405FA"/>
    <w:rsid w:val="00641B64"/>
    <w:rsid w:val="00642FD7"/>
    <w:rsid w:val="006431AF"/>
    <w:rsid w:val="00644770"/>
    <w:rsid w:val="00644E42"/>
    <w:rsid w:val="0064678E"/>
    <w:rsid w:val="00647883"/>
    <w:rsid w:val="006517BE"/>
    <w:rsid w:val="0065268B"/>
    <w:rsid w:val="00652C62"/>
    <w:rsid w:val="0065626D"/>
    <w:rsid w:val="00657167"/>
    <w:rsid w:val="00661492"/>
    <w:rsid w:val="0066285A"/>
    <w:rsid w:val="006640A0"/>
    <w:rsid w:val="00664D6C"/>
    <w:rsid w:val="006656BF"/>
    <w:rsid w:val="0066740A"/>
    <w:rsid w:val="0066754B"/>
    <w:rsid w:val="006707A3"/>
    <w:rsid w:val="00670A3C"/>
    <w:rsid w:val="0067121E"/>
    <w:rsid w:val="00671A57"/>
    <w:rsid w:val="00671D44"/>
    <w:rsid w:val="00672656"/>
    <w:rsid w:val="006752EA"/>
    <w:rsid w:val="00675DB1"/>
    <w:rsid w:val="00676C86"/>
    <w:rsid w:val="00680F30"/>
    <w:rsid w:val="00682063"/>
    <w:rsid w:val="00682494"/>
    <w:rsid w:val="00683C71"/>
    <w:rsid w:val="00683CE1"/>
    <w:rsid w:val="0068434E"/>
    <w:rsid w:val="006868C4"/>
    <w:rsid w:val="00690D8D"/>
    <w:rsid w:val="00691F0D"/>
    <w:rsid w:val="0069424D"/>
    <w:rsid w:val="00695BFE"/>
    <w:rsid w:val="006977BA"/>
    <w:rsid w:val="006A17E1"/>
    <w:rsid w:val="006A231C"/>
    <w:rsid w:val="006A3516"/>
    <w:rsid w:val="006B3468"/>
    <w:rsid w:val="006B37F5"/>
    <w:rsid w:val="006B656E"/>
    <w:rsid w:val="006B66A4"/>
    <w:rsid w:val="006B78C8"/>
    <w:rsid w:val="006C388B"/>
    <w:rsid w:val="006C476B"/>
    <w:rsid w:val="006C4BCD"/>
    <w:rsid w:val="006C4CEC"/>
    <w:rsid w:val="006C5408"/>
    <w:rsid w:val="006C6899"/>
    <w:rsid w:val="006D2102"/>
    <w:rsid w:val="006D2A5D"/>
    <w:rsid w:val="006D2D80"/>
    <w:rsid w:val="006D3687"/>
    <w:rsid w:val="006D5C2D"/>
    <w:rsid w:val="006D6D7B"/>
    <w:rsid w:val="006D7A05"/>
    <w:rsid w:val="006E1595"/>
    <w:rsid w:val="006E1D07"/>
    <w:rsid w:val="006E1DE1"/>
    <w:rsid w:val="006E1E74"/>
    <w:rsid w:val="006E2E78"/>
    <w:rsid w:val="006E4995"/>
    <w:rsid w:val="006E4E38"/>
    <w:rsid w:val="006E7140"/>
    <w:rsid w:val="006E7815"/>
    <w:rsid w:val="006E79B2"/>
    <w:rsid w:val="006F3FC0"/>
    <w:rsid w:val="006F4D1B"/>
    <w:rsid w:val="006F774A"/>
    <w:rsid w:val="007026FD"/>
    <w:rsid w:val="0070415E"/>
    <w:rsid w:val="00705517"/>
    <w:rsid w:val="00707AEA"/>
    <w:rsid w:val="00710698"/>
    <w:rsid w:val="00712F9F"/>
    <w:rsid w:val="00715E02"/>
    <w:rsid w:val="0071600D"/>
    <w:rsid w:val="00716B42"/>
    <w:rsid w:val="00717DA8"/>
    <w:rsid w:val="00724051"/>
    <w:rsid w:val="007249A9"/>
    <w:rsid w:val="0072727F"/>
    <w:rsid w:val="007306F2"/>
    <w:rsid w:val="007307C3"/>
    <w:rsid w:val="00731C02"/>
    <w:rsid w:val="00732118"/>
    <w:rsid w:val="0073282A"/>
    <w:rsid w:val="00733BAE"/>
    <w:rsid w:val="0073681D"/>
    <w:rsid w:val="00736A9B"/>
    <w:rsid w:val="00737435"/>
    <w:rsid w:val="007407D7"/>
    <w:rsid w:val="0074127A"/>
    <w:rsid w:val="00742B1F"/>
    <w:rsid w:val="007447F3"/>
    <w:rsid w:val="007470F5"/>
    <w:rsid w:val="007518CD"/>
    <w:rsid w:val="00752B3B"/>
    <w:rsid w:val="00752CB9"/>
    <w:rsid w:val="00752F73"/>
    <w:rsid w:val="007551BE"/>
    <w:rsid w:val="0075572F"/>
    <w:rsid w:val="007559B4"/>
    <w:rsid w:val="0076004A"/>
    <w:rsid w:val="00761352"/>
    <w:rsid w:val="00764316"/>
    <w:rsid w:val="00764340"/>
    <w:rsid w:val="00767BD8"/>
    <w:rsid w:val="0077056F"/>
    <w:rsid w:val="0077179D"/>
    <w:rsid w:val="0077214B"/>
    <w:rsid w:val="00775A0E"/>
    <w:rsid w:val="00776308"/>
    <w:rsid w:val="0077726C"/>
    <w:rsid w:val="00777DE9"/>
    <w:rsid w:val="00780F79"/>
    <w:rsid w:val="007812F1"/>
    <w:rsid w:val="007878B3"/>
    <w:rsid w:val="007901A6"/>
    <w:rsid w:val="007918F0"/>
    <w:rsid w:val="0079283F"/>
    <w:rsid w:val="00793467"/>
    <w:rsid w:val="00795609"/>
    <w:rsid w:val="00796A3A"/>
    <w:rsid w:val="0079756D"/>
    <w:rsid w:val="00797F34"/>
    <w:rsid w:val="007A0A66"/>
    <w:rsid w:val="007A0F1B"/>
    <w:rsid w:val="007A2338"/>
    <w:rsid w:val="007A2579"/>
    <w:rsid w:val="007A27A6"/>
    <w:rsid w:val="007A28AF"/>
    <w:rsid w:val="007A39C0"/>
    <w:rsid w:val="007A4728"/>
    <w:rsid w:val="007A49F2"/>
    <w:rsid w:val="007A58F5"/>
    <w:rsid w:val="007A5B23"/>
    <w:rsid w:val="007A5E21"/>
    <w:rsid w:val="007A7672"/>
    <w:rsid w:val="007B0FE0"/>
    <w:rsid w:val="007B24A1"/>
    <w:rsid w:val="007B25A9"/>
    <w:rsid w:val="007B2F48"/>
    <w:rsid w:val="007B53FB"/>
    <w:rsid w:val="007B7034"/>
    <w:rsid w:val="007B7688"/>
    <w:rsid w:val="007C0B59"/>
    <w:rsid w:val="007C2981"/>
    <w:rsid w:val="007C2C93"/>
    <w:rsid w:val="007C488E"/>
    <w:rsid w:val="007D1878"/>
    <w:rsid w:val="007D4FBD"/>
    <w:rsid w:val="007D6AF4"/>
    <w:rsid w:val="007D7B39"/>
    <w:rsid w:val="007E05D0"/>
    <w:rsid w:val="007E3234"/>
    <w:rsid w:val="007E3D99"/>
    <w:rsid w:val="007E4059"/>
    <w:rsid w:val="007E5CF6"/>
    <w:rsid w:val="007E5E17"/>
    <w:rsid w:val="007E69BE"/>
    <w:rsid w:val="007E6E56"/>
    <w:rsid w:val="007E77A4"/>
    <w:rsid w:val="007F078F"/>
    <w:rsid w:val="007F14E4"/>
    <w:rsid w:val="007F2AA2"/>
    <w:rsid w:val="007F41E1"/>
    <w:rsid w:val="007F56D7"/>
    <w:rsid w:val="007F730A"/>
    <w:rsid w:val="007F7377"/>
    <w:rsid w:val="007F74D2"/>
    <w:rsid w:val="007F772A"/>
    <w:rsid w:val="0080235F"/>
    <w:rsid w:val="00805EE6"/>
    <w:rsid w:val="00806974"/>
    <w:rsid w:val="0080716D"/>
    <w:rsid w:val="00807C46"/>
    <w:rsid w:val="00810CB2"/>
    <w:rsid w:val="00811683"/>
    <w:rsid w:val="00812563"/>
    <w:rsid w:val="00812DA5"/>
    <w:rsid w:val="00815CA4"/>
    <w:rsid w:val="008177BF"/>
    <w:rsid w:val="0081787C"/>
    <w:rsid w:val="008208FC"/>
    <w:rsid w:val="00821C41"/>
    <w:rsid w:val="00823169"/>
    <w:rsid w:val="00824F7B"/>
    <w:rsid w:val="00825A7E"/>
    <w:rsid w:val="00825DA1"/>
    <w:rsid w:val="00826CF8"/>
    <w:rsid w:val="00832C20"/>
    <w:rsid w:val="00832CBE"/>
    <w:rsid w:val="008376A4"/>
    <w:rsid w:val="008407F2"/>
    <w:rsid w:val="008429F3"/>
    <w:rsid w:val="0084444D"/>
    <w:rsid w:val="00845771"/>
    <w:rsid w:val="008468A6"/>
    <w:rsid w:val="00847149"/>
    <w:rsid w:val="00847473"/>
    <w:rsid w:val="0084749F"/>
    <w:rsid w:val="008500E6"/>
    <w:rsid w:val="00851064"/>
    <w:rsid w:val="00851747"/>
    <w:rsid w:val="00851CCE"/>
    <w:rsid w:val="008527A0"/>
    <w:rsid w:val="008534BE"/>
    <w:rsid w:val="0085609D"/>
    <w:rsid w:val="00856E92"/>
    <w:rsid w:val="00860CCC"/>
    <w:rsid w:val="008612C3"/>
    <w:rsid w:val="00861B1B"/>
    <w:rsid w:val="00862480"/>
    <w:rsid w:val="008627BA"/>
    <w:rsid w:val="0087667E"/>
    <w:rsid w:val="00876FB0"/>
    <w:rsid w:val="00880427"/>
    <w:rsid w:val="008807C9"/>
    <w:rsid w:val="00881ABA"/>
    <w:rsid w:val="00883EAA"/>
    <w:rsid w:val="00884154"/>
    <w:rsid w:val="00890058"/>
    <w:rsid w:val="00891113"/>
    <w:rsid w:val="008A2DA7"/>
    <w:rsid w:val="008A56A5"/>
    <w:rsid w:val="008A683B"/>
    <w:rsid w:val="008A7FE1"/>
    <w:rsid w:val="008B0228"/>
    <w:rsid w:val="008B32C5"/>
    <w:rsid w:val="008B48A6"/>
    <w:rsid w:val="008B71F1"/>
    <w:rsid w:val="008C0549"/>
    <w:rsid w:val="008C62ED"/>
    <w:rsid w:val="008C6655"/>
    <w:rsid w:val="008D235F"/>
    <w:rsid w:val="008D2D11"/>
    <w:rsid w:val="008D3200"/>
    <w:rsid w:val="008D48F5"/>
    <w:rsid w:val="008D5F8B"/>
    <w:rsid w:val="008D7DC2"/>
    <w:rsid w:val="008E0328"/>
    <w:rsid w:val="008E5955"/>
    <w:rsid w:val="008E64AC"/>
    <w:rsid w:val="008E72B5"/>
    <w:rsid w:val="008F1242"/>
    <w:rsid w:val="008F23DA"/>
    <w:rsid w:val="008F2520"/>
    <w:rsid w:val="008F389E"/>
    <w:rsid w:val="008F6FA3"/>
    <w:rsid w:val="008F72E7"/>
    <w:rsid w:val="00903393"/>
    <w:rsid w:val="00903537"/>
    <w:rsid w:val="00903B84"/>
    <w:rsid w:val="009046B0"/>
    <w:rsid w:val="00910C7C"/>
    <w:rsid w:val="009132A4"/>
    <w:rsid w:val="009135BA"/>
    <w:rsid w:val="00914875"/>
    <w:rsid w:val="00916298"/>
    <w:rsid w:val="00916409"/>
    <w:rsid w:val="0092106A"/>
    <w:rsid w:val="00925AA7"/>
    <w:rsid w:val="00926389"/>
    <w:rsid w:val="00933D96"/>
    <w:rsid w:val="009403D8"/>
    <w:rsid w:val="00942A3D"/>
    <w:rsid w:val="00944AE5"/>
    <w:rsid w:val="00945EA1"/>
    <w:rsid w:val="00946AA1"/>
    <w:rsid w:val="0095169E"/>
    <w:rsid w:val="00954A2C"/>
    <w:rsid w:val="0095664E"/>
    <w:rsid w:val="00957E72"/>
    <w:rsid w:val="00963902"/>
    <w:rsid w:val="009642D9"/>
    <w:rsid w:val="00964A4E"/>
    <w:rsid w:val="00965726"/>
    <w:rsid w:val="00965AFA"/>
    <w:rsid w:val="009678A0"/>
    <w:rsid w:val="009679A7"/>
    <w:rsid w:val="00967A7D"/>
    <w:rsid w:val="009730F3"/>
    <w:rsid w:val="00974BE8"/>
    <w:rsid w:val="009760A7"/>
    <w:rsid w:val="009760B7"/>
    <w:rsid w:val="0097635B"/>
    <w:rsid w:val="009768CF"/>
    <w:rsid w:val="00976AA6"/>
    <w:rsid w:val="0098168A"/>
    <w:rsid w:val="009822A2"/>
    <w:rsid w:val="00982B83"/>
    <w:rsid w:val="00983AD1"/>
    <w:rsid w:val="00987790"/>
    <w:rsid w:val="00987F33"/>
    <w:rsid w:val="00990A0D"/>
    <w:rsid w:val="00992E07"/>
    <w:rsid w:val="009934F5"/>
    <w:rsid w:val="00994444"/>
    <w:rsid w:val="00994487"/>
    <w:rsid w:val="009947A5"/>
    <w:rsid w:val="00994BEA"/>
    <w:rsid w:val="0099585F"/>
    <w:rsid w:val="009A095F"/>
    <w:rsid w:val="009A1750"/>
    <w:rsid w:val="009A3149"/>
    <w:rsid w:val="009A69C0"/>
    <w:rsid w:val="009A6C58"/>
    <w:rsid w:val="009B5D26"/>
    <w:rsid w:val="009B7050"/>
    <w:rsid w:val="009B7441"/>
    <w:rsid w:val="009B7614"/>
    <w:rsid w:val="009C2766"/>
    <w:rsid w:val="009C30AF"/>
    <w:rsid w:val="009C4A7F"/>
    <w:rsid w:val="009D07E9"/>
    <w:rsid w:val="009D09BF"/>
    <w:rsid w:val="009D106A"/>
    <w:rsid w:val="009D1B30"/>
    <w:rsid w:val="009D2191"/>
    <w:rsid w:val="009D23D6"/>
    <w:rsid w:val="009D3455"/>
    <w:rsid w:val="009D39E8"/>
    <w:rsid w:val="009D4979"/>
    <w:rsid w:val="009D72B0"/>
    <w:rsid w:val="009D7CB8"/>
    <w:rsid w:val="009E2108"/>
    <w:rsid w:val="009E2325"/>
    <w:rsid w:val="009E251A"/>
    <w:rsid w:val="009E2697"/>
    <w:rsid w:val="009E2B7C"/>
    <w:rsid w:val="009E5005"/>
    <w:rsid w:val="009E5975"/>
    <w:rsid w:val="009E7A6C"/>
    <w:rsid w:val="009F06B2"/>
    <w:rsid w:val="009F2338"/>
    <w:rsid w:val="009F2662"/>
    <w:rsid w:val="009F354E"/>
    <w:rsid w:val="009F4141"/>
    <w:rsid w:val="009F4264"/>
    <w:rsid w:val="009F5775"/>
    <w:rsid w:val="009F5D6D"/>
    <w:rsid w:val="00A03F72"/>
    <w:rsid w:val="00A10191"/>
    <w:rsid w:val="00A121F3"/>
    <w:rsid w:val="00A13646"/>
    <w:rsid w:val="00A13A17"/>
    <w:rsid w:val="00A15740"/>
    <w:rsid w:val="00A15BC7"/>
    <w:rsid w:val="00A165F5"/>
    <w:rsid w:val="00A20AF7"/>
    <w:rsid w:val="00A226A0"/>
    <w:rsid w:val="00A230BF"/>
    <w:rsid w:val="00A233F9"/>
    <w:rsid w:val="00A237E3"/>
    <w:rsid w:val="00A23D1D"/>
    <w:rsid w:val="00A24661"/>
    <w:rsid w:val="00A25BFE"/>
    <w:rsid w:val="00A26380"/>
    <w:rsid w:val="00A3098E"/>
    <w:rsid w:val="00A31ED1"/>
    <w:rsid w:val="00A33406"/>
    <w:rsid w:val="00A33747"/>
    <w:rsid w:val="00A361CD"/>
    <w:rsid w:val="00A36E50"/>
    <w:rsid w:val="00A40365"/>
    <w:rsid w:val="00A418E6"/>
    <w:rsid w:val="00A42E09"/>
    <w:rsid w:val="00A43AE7"/>
    <w:rsid w:val="00A44ACC"/>
    <w:rsid w:val="00A475AE"/>
    <w:rsid w:val="00A512FC"/>
    <w:rsid w:val="00A53E96"/>
    <w:rsid w:val="00A54789"/>
    <w:rsid w:val="00A547D0"/>
    <w:rsid w:val="00A55F93"/>
    <w:rsid w:val="00A5709C"/>
    <w:rsid w:val="00A61DB9"/>
    <w:rsid w:val="00A628A5"/>
    <w:rsid w:val="00A64AB3"/>
    <w:rsid w:val="00A665B6"/>
    <w:rsid w:val="00A6766C"/>
    <w:rsid w:val="00A70CA1"/>
    <w:rsid w:val="00A72422"/>
    <w:rsid w:val="00A72C7B"/>
    <w:rsid w:val="00A72E5A"/>
    <w:rsid w:val="00A73D5E"/>
    <w:rsid w:val="00A75516"/>
    <w:rsid w:val="00A76E58"/>
    <w:rsid w:val="00A77EC4"/>
    <w:rsid w:val="00A80881"/>
    <w:rsid w:val="00A80AED"/>
    <w:rsid w:val="00A81CD7"/>
    <w:rsid w:val="00A83540"/>
    <w:rsid w:val="00A84F47"/>
    <w:rsid w:val="00A85BF1"/>
    <w:rsid w:val="00A95A57"/>
    <w:rsid w:val="00A95B43"/>
    <w:rsid w:val="00A96599"/>
    <w:rsid w:val="00A97B81"/>
    <w:rsid w:val="00AA15E3"/>
    <w:rsid w:val="00AA2816"/>
    <w:rsid w:val="00AA2FAC"/>
    <w:rsid w:val="00AA375A"/>
    <w:rsid w:val="00AA5628"/>
    <w:rsid w:val="00AA7D7D"/>
    <w:rsid w:val="00AB041F"/>
    <w:rsid w:val="00AB18FC"/>
    <w:rsid w:val="00AB3095"/>
    <w:rsid w:val="00AB43D5"/>
    <w:rsid w:val="00AB47B4"/>
    <w:rsid w:val="00AB6110"/>
    <w:rsid w:val="00AB7DB8"/>
    <w:rsid w:val="00AC0650"/>
    <w:rsid w:val="00AC3C3B"/>
    <w:rsid w:val="00AC52E2"/>
    <w:rsid w:val="00AC7A54"/>
    <w:rsid w:val="00AD0290"/>
    <w:rsid w:val="00AD118C"/>
    <w:rsid w:val="00AD2260"/>
    <w:rsid w:val="00AD56FB"/>
    <w:rsid w:val="00AD5775"/>
    <w:rsid w:val="00AD632E"/>
    <w:rsid w:val="00AD6CD3"/>
    <w:rsid w:val="00AE0944"/>
    <w:rsid w:val="00AE20FE"/>
    <w:rsid w:val="00AE2D0D"/>
    <w:rsid w:val="00AE33CD"/>
    <w:rsid w:val="00AF0A10"/>
    <w:rsid w:val="00AF11B2"/>
    <w:rsid w:val="00AF1A5D"/>
    <w:rsid w:val="00AF43A0"/>
    <w:rsid w:val="00AF45C0"/>
    <w:rsid w:val="00AF4F38"/>
    <w:rsid w:val="00AF5ACE"/>
    <w:rsid w:val="00AF623D"/>
    <w:rsid w:val="00AF6A23"/>
    <w:rsid w:val="00AF7330"/>
    <w:rsid w:val="00AF7857"/>
    <w:rsid w:val="00B075C2"/>
    <w:rsid w:val="00B105E1"/>
    <w:rsid w:val="00B11880"/>
    <w:rsid w:val="00B13BEE"/>
    <w:rsid w:val="00B14DB2"/>
    <w:rsid w:val="00B17C50"/>
    <w:rsid w:val="00B17D69"/>
    <w:rsid w:val="00B20B68"/>
    <w:rsid w:val="00B20D8D"/>
    <w:rsid w:val="00B21526"/>
    <w:rsid w:val="00B236C8"/>
    <w:rsid w:val="00B23BF9"/>
    <w:rsid w:val="00B2465A"/>
    <w:rsid w:val="00B2479A"/>
    <w:rsid w:val="00B2491C"/>
    <w:rsid w:val="00B24AF1"/>
    <w:rsid w:val="00B24EFE"/>
    <w:rsid w:val="00B2525A"/>
    <w:rsid w:val="00B324AE"/>
    <w:rsid w:val="00B324FA"/>
    <w:rsid w:val="00B33039"/>
    <w:rsid w:val="00B33761"/>
    <w:rsid w:val="00B34EB8"/>
    <w:rsid w:val="00B35098"/>
    <w:rsid w:val="00B35606"/>
    <w:rsid w:val="00B35889"/>
    <w:rsid w:val="00B40FF2"/>
    <w:rsid w:val="00B41847"/>
    <w:rsid w:val="00B433D2"/>
    <w:rsid w:val="00B44C04"/>
    <w:rsid w:val="00B46DDB"/>
    <w:rsid w:val="00B47B9D"/>
    <w:rsid w:val="00B53E25"/>
    <w:rsid w:val="00B563A0"/>
    <w:rsid w:val="00B612C4"/>
    <w:rsid w:val="00B62183"/>
    <w:rsid w:val="00B624BE"/>
    <w:rsid w:val="00B629CF"/>
    <w:rsid w:val="00B62CEF"/>
    <w:rsid w:val="00B62D3C"/>
    <w:rsid w:val="00B63ECB"/>
    <w:rsid w:val="00B70924"/>
    <w:rsid w:val="00B74226"/>
    <w:rsid w:val="00B74958"/>
    <w:rsid w:val="00B752E9"/>
    <w:rsid w:val="00B76380"/>
    <w:rsid w:val="00B81173"/>
    <w:rsid w:val="00B8174D"/>
    <w:rsid w:val="00B82C28"/>
    <w:rsid w:val="00B83FB7"/>
    <w:rsid w:val="00B84677"/>
    <w:rsid w:val="00B8511F"/>
    <w:rsid w:val="00B85F9A"/>
    <w:rsid w:val="00B91EE4"/>
    <w:rsid w:val="00B91FED"/>
    <w:rsid w:val="00B9396E"/>
    <w:rsid w:val="00BA15FE"/>
    <w:rsid w:val="00BA2549"/>
    <w:rsid w:val="00BA527F"/>
    <w:rsid w:val="00BA556F"/>
    <w:rsid w:val="00BB0B8F"/>
    <w:rsid w:val="00BB1A25"/>
    <w:rsid w:val="00BB72F9"/>
    <w:rsid w:val="00BB7973"/>
    <w:rsid w:val="00BB7B01"/>
    <w:rsid w:val="00BC0F48"/>
    <w:rsid w:val="00BC130A"/>
    <w:rsid w:val="00BC1FF3"/>
    <w:rsid w:val="00BC25F9"/>
    <w:rsid w:val="00BC27D7"/>
    <w:rsid w:val="00BC2954"/>
    <w:rsid w:val="00BC388B"/>
    <w:rsid w:val="00BC3B3C"/>
    <w:rsid w:val="00BC4213"/>
    <w:rsid w:val="00BC4977"/>
    <w:rsid w:val="00BC4AFB"/>
    <w:rsid w:val="00BC5DB7"/>
    <w:rsid w:val="00BD16CF"/>
    <w:rsid w:val="00BD18F7"/>
    <w:rsid w:val="00BD2B66"/>
    <w:rsid w:val="00BD2CF8"/>
    <w:rsid w:val="00BD5E95"/>
    <w:rsid w:val="00BD67FE"/>
    <w:rsid w:val="00BE05D2"/>
    <w:rsid w:val="00BE09F6"/>
    <w:rsid w:val="00BE446A"/>
    <w:rsid w:val="00BE5E17"/>
    <w:rsid w:val="00BE7677"/>
    <w:rsid w:val="00BE7FD3"/>
    <w:rsid w:val="00BF170F"/>
    <w:rsid w:val="00BF2900"/>
    <w:rsid w:val="00BF4C6F"/>
    <w:rsid w:val="00BF53BF"/>
    <w:rsid w:val="00BF58F9"/>
    <w:rsid w:val="00BF7C9F"/>
    <w:rsid w:val="00C027A9"/>
    <w:rsid w:val="00C03598"/>
    <w:rsid w:val="00C03745"/>
    <w:rsid w:val="00C07A71"/>
    <w:rsid w:val="00C07B12"/>
    <w:rsid w:val="00C07E82"/>
    <w:rsid w:val="00C10C51"/>
    <w:rsid w:val="00C11A25"/>
    <w:rsid w:val="00C124E6"/>
    <w:rsid w:val="00C12CF4"/>
    <w:rsid w:val="00C15BB7"/>
    <w:rsid w:val="00C163D2"/>
    <w:rsid w:val="00C17185"/>
    <w:rsid w:val="00C17BEA"/>
    <w:rsid w:val="00C20A01"/>
    <w:rsid w:val="00C22F12"/>
    <w:rsid w:val="00C30A4C"/>
    <w:rsid w:val="00C32F29"/>
    <w:rsid w:val="00C34ACC"/>
    <w:rsid w:val="00C35069"/>
    <w:rsid w:val="00C3641C"/>
    <w:rsid w:val="00C401DC"/>
    <w:rsid w:val="00C40F43"/>
    <w:rsid w:val="00C413C6"/>
    <w:rsid w:val="00C4156E"/>
    <w:rsid w:val="00C426B1"/>
    <w:rsid w:val="00C43189"/>
    <w:rsid w:val="00C43B7A"/>
    <w:rsid w:val="00C465E8"/>
    <w:rsid w:val="00C46F48"/>
    <w:rsid w:val="00C46FD5"/>
    <w:rsid w:val="00C47759"/>
    <w:rsid w:val="00C51887"/>
    <w:rsid w:val="00C55197"/>
    <w:rsid w:val="00C56E35"/>
    <w:rsid w:val="00C6049C"/>
    <w:rsid w:val="00C61598"/>
    <w:rsid w:val="00C62C31"/>
    <w:rsid w:val="00C62CD2"/>
    <w:rsid w:val="00C6647C"/>
    <w:rsid w:val="00C66DB0"/>
    <w:rsid w:val="00C70696"/>
    <w:rsid w:val="00C719E3"/>
    <w:rsid w:val="00C71C7F"/>
    <w:rsid w:val="00C7309E"/>
    <w:rsid w:val="00C7422E"/>
    <w:rsid w:val="00C745B6"/>
    <w:rsid w:val="00C7591B"/>
    <w:rsid w:val="00C765F2"/>
    <w:rsid w:val="00C8054B"/>
    <w:rsid w:val="00C811B7"/>
    <w:rsid w:val="00C81C2A"/>
    <w:rsid w:val="00C82FC0"/>
    <w:rsid w:val="00C83778"/>
    <w:rsid w:val="00C8480F"/>
    <w:rsid w:val="00C852C5"/>
    <w:rsid w:val="00C8595C"/>
    <w:rsid w:val="00C85A9B"/>
    <w:rsid w:val="00C8609C"/>
    <w:rsid w:val="00C86A42"/>
    <w:rsid w:val="00C87E98"/>
    <w:rsid w:val="00C905CB"/>
    <w:rsid w:val="00C91631"/>
    <w:rsid w:val="00C92557"/>
    <w:rsid w:val="00C957FA"/>
    <w:rsid w:val="00CA02A4"/>
    <w:rsid w:val="00CA096A"/>
    <w:rsid w:val="00CA4166"/>
    <w:rsid w:val="00CA5144"/>
    <w:rsid w:val="00CA5347"/>
    <w:rsid w:val="00CA6031"/>
    <w:rsid w:val="00CA7819"/>
    <w:rsid w:val="00CB173F"/>
    <w:rsid w:val="00CB4524"/>
    <w:rsid w:val="00CB47DC"/>
    <w:rsid w:val="00CC0BA1"/>
    <w:rsid w:val="00CC1036"/>
    <w:rsid w:val="00CC3F15"/>
    <w:rsid w:val="00CC4ACD"/>
    <w:rsid w:val="00CC511D"/>
    <w:rsid w:val="00CC554F"/>
    <w:rsid w:val="00CC561C"/>
    <w:rsid w:val="00CD3C23"/>
    <w:rsid w:val="00CD574F"/>
    <w:rsid w:val="00CD68A9"/>
    <w:rsid w:val="00CD70E7"/>
    <w:rsid w:val="00CE18E3"/>
    <w:rsid w:val="00CE480B"/>
    <w:rsid w:val="00CE491E"/>
    <w:rsid w:val="00CE6D00"/>
    <w:rsid w:val="00CF06BD"/>
    <w:rsid w:val="00CF52A4"/>
    <w:rsid w:val="00CF6D10"/>
    <w:rsid w:val="00CF743E"/>
    <w:rsid w:val="00D01A98"/>
    <w:rsid w:val="00D01E6D"/>
    <w:rsid w:val="00D02F16"/>
    <w:rsid w:val="00D03BD1"/>
    <w:rsid w:val="00D1058F"/>
    <w:rsid w:val="00D131F9"/>
    <w:rsid w:val="00D13787"/>
    <w:rsid w:val="00D148EA"/>
    <w:rsid w:val="00D154F4"/>
    <w:rsid w:val="00D16414"/>
    <w:rsid w:val="00D22476"/>
    <w:rsid w:val="00D22F3C"/>
    <w:rsid w:val="00D2523C"/>
    <w:rsid w:val="00D2642B"/>
    <w:rsid w:val="00D35F69"/>
    <w:rsid w:val="00D362E5"/>
    <w:rsid w:val="00D36D3D"/>
    <w:rsid w:val="00D37856"/>
    <w:rsid w:val="00D37B79"/>
    <w:rsid w:val="00D402DA"/>
    <w:rsid w:val="00D41648"/>
    <w:rsid w:val="00D42A2B"/>
    <w:rsid w:val="00D432CA"/>
    <w:rsid w:val="00D438C7"/>
    <w:rsid w:val="00D443E7"/>
    <w:rsid w:val="00D471F8"/>
    <w:rsid w:val="00D47AFA"/>
    <w:rsid w:val="00D517A4"/>
    <w:rsid w:val="00D51AF5"/>
    <w:rsid w:val="00D52415"/>
    <w:rsid w:val="00D54246"/>
    <w:rsid w:val="00D57557"/>
    <w:rsid w:val="00D610CF"/>
    <w:rsid w:val="00D61C84"/>
    <w:rsid w:val="00D62FF2"/>
    <w:rsid w:val="00D6418F"/>
    <w:rsid w:val="00D65024"/>
    <w:rsid w:val="00D663FC"/>
    <w:rsid w:val="00D70BC0"/>
    <w:rsid w:val="00D70F1B"/>
    <w:rsid w:val="00D7253B"/>
    <w:rsid w:val="00D72E92"/>
    <w:rsid w:val="00D77F78"/>
    <w:rsid w:val="00D80D9A"/>
    <w:rsid w:val="00D8104F"/>
    <w:rsid w:val="00D86B33"/>
    <w:rsid w:val="00D86FAF"/>
    <w:rsid w:val="00D87AAE"/>
    <w:rsid w:val="00D87F55"/>
    <w:rsid w:val="00D92561"/>
    <w:rsid w:val="00D9301F"/>
    <w:rsid w:val="00D93CE5"/>
    <w:rsid w:val="00D93ECB"/>
    <w:rsid w:val="00D95764"/>
    <w:rsid w:val="00D966ED"/>
    <w:rsid w:val="00D96DC9"/>
    <w:rsid w:val="00DA2C8B"/>
    <w:rsid w:val="00DA4D35"/>
    <w:rsid w:val="00DA7895"/>
    <w:rsid w:val="00DB0489"/>
    <w:rsid w:val="00DB10E5"/>
    <w:rsid w:val="00DB610F"/>
    <w:rsid w:val="00DB61CF"/>
    <w:rsid w:val="00DB739A"/>
    <w:rsid w:val="00DB74D9"/>
    <w:rsid w:val="00DB7A41"/>
    <w:rsid w:val="00DB7CB8"/>
    <w:rsid w:val="00DC3A3E"/>
    <w:rsid w:val="00DC47B0"/>
    <w:rsid w:val="00DC5C28"/>
    <w:rsid w:val="00DC628B"/>
    <w:rsid w:val="00DC65A0"/>
    <w:rsid w:val="00DC7111"/>
    <w:rsid w:val="00DD38FF"/>
    <w:rsid w:val="00DD482C"/>
    <w:rsid w:val="00DE152D"/>
    <w:rsid w:val="00DE53D2"/>
    <w:rsid w:val="00DE665A"/>
    <w:rsid w:val="00DE6B2D"/>
    <w:rsid w:val="00DE7236"/>
    <w:rsid w:val="00DE7442"/>
    <w:rsid w:val="00DE7E3D"/>
    <w:rsid w:val="00DF2544"/>
    <w:rsid w:val="00DF2641"/>
    <w:rsid w:val="00DF2A28"/>
    <w:rsid w:val="00DF366C"/>
    <w:rsid w:val="00DF4838"/>
    <w:rsid w:val="00DF52E6"/>
    <w:rsid w:val="00DF57C1"/>
    <w:rsid w:val="00DF59D2"/>
    <w:rsid w:val="00DF664B"/>
    <w:rsid w:val="00DF6CA1"/>
    <w:rsid w:val="00DF7465"/>
    <w:rsid w:val="00E00F21"/>
    <w:rsid w:val="00E031E5"/>
    <w:rsid w:val="00E03E21"/>
    <w:rsid w:val="00E0553B"/>
    <w:rsid w:val="00E06505"/>
    <w:rsid w:val="00E06DE7"/>
    <w:rsid w:val="00E104C3"/>
    <w:rsid w:val="00E124CA"/>
    <w:rsid w:val="00E12600"/>
    <w:rsid w:val="00E12806"/>
    <w:rsid w:val="00E12CCC"/>
    <w:rsid w:val="00E14428"/>
    <w:rsid w:val="00E20BAC"/>
    <w:rsid w:val="00E20D1D"/>
    <w:rsid w:val="00E20D4B"/>
    <w:rsid w:val="00E25173"/>
    <w:rsid w:val="00E26841"/>
    <w:rsid w:val="00E26A2D"/>
    <w:rsid w:val="00E2756A"/>
    <w:rsid w:val="00E279CC"/>
    <w:rsid w:val="00E3002C"/>
    <w:rsid w:val="00E311D4"/>
    <w:rsid w:val="00E33EF6"/>
    <w:rsid w:val="00E34566"/>
    <w:rsid w:val="00E348C9"/>
    <w:rsid w:val="00E36457"/>
    <w:rsid w:val="00E37AD3"/>
    <w:rsid w:val="00E37DF8"/>
    <w:rsid w:val="00E40FA9"/>
    <w:rsid w:val="00E4256A"/>
    <w:rsid w:val="00E45654"/>
    <w:rsid w:val="00E46189"/>
    <w:rsid w:val="00E46C30"/>
    <w:rsid w:val="00E47838"/>
    <w:rsid w:val="00E478DE"/>
    <w:rsid w:val="00E5562E"/>
    <w:rsid w:val="00E5574D"/>
    <w:rsid w:val="00E55DA5"/>
    <w:rsid w:val="00E569E4"/>
    <w:rsid w:val="00E572A9"/>
    <w:rsid w:val="00E57356"/>
    <w:rsid w:val="00E57B73"/>
    <w:rsid w:val="00E63EB4"/>
    <w:rsid w:val="00E73207"/>
    <w:rsid w:val="00E746E1"/>
    <w:rsid w:val="00E74940"/>
    <w:rsid w:val="00E76B75"/>
    <w:rsid w:val="00E76D04"/>
    <w:rsid w:val="00E841F9"/>
    <w:rsid w:val="00E85EB2"/>
    <w:rsid w:val="00E879B1"/>
    <w:rsid w:val="00E901F6"/>
    <w:rsid w:val="00E94E57"/>
    <w:rsid w:val="00E95E07"/>
    <w:rsid w:val="00E971D0"/>
    <w:rsid w:val="00EA0A6F"/>
    <w:rsid w:val="00EA26BC"/>
    <w:rsid w:val="00EA3ED0"/>
    <w:rsid w:val="00EA4BE7"/>
    <w:rsid w:val="00EA69B2"/>
    <w:rsid w:val="00EA6A96"/>
    <w:rsid w:val="00EB0074"/>
    <w:rsid w:val="00EB1F46"/>
    <w:rsid w:val="00EB36FE"/>
    <w:rsid w:val="00EB6ADD"/>
    <w:rsid w:val="00EB7249"/>
    <w:rsid w:val="00EB738E"/>
    <w:rsid w:val="00EC1DAA"/>
    <w:rsid w:val="00EC1F06"/>
    <w:rsid w:val="00EC2765"/>
    <w:rsid w:val="00EC3B13"/>
    <w:rsid w:val="00EC4DCD"/>
    <w:rsid w:val="00EC6668"/>
    <w:rsid w:val="00EC792E"/>
    <w:rsid w:val="00EC7A23"/>
    <w:rsid w:val="00EC7D1B"/>
    <w:rsid w:val="00ED0D18"/>
    <w:rsid w:val="00ED0ED1"/>
    <w:rsid w:val="00ED1917"/>
    <w:rsid w:val="00ED219C"/>
    <w:rsid w:val="00ED4071"/>
    <w:rsid w:val="00ED540D"/>
    <w:rsid w:val="00ED5BB7"/>
    <w:rsid w:val="00ED63D6"/>
    <w:rsid w:val="00EE1DB1"/>
    <w:rsid w:val="00EE1DE9"/>
    <w:rsid w:val="00EF1A8C"/>
    <w:rsid w:val="00EF42C1"/>
    <w:rsid w:val="00EF4D24"/>
    <w:rsid w:val="00EF6BB9"/>
    <w:rsid w:val="00F00ED6"/>
    <w:rsid w:val="00F01359"/>
    <w:rsid w:val="00F017D9"/>
    <w:rsid w:val="00F01AA1"/>
    <w:rsid w:val="00F01DCA"/>
    <w:rsid w:val="00F027B2"/>
    <w:rsid w:val="00F066D5"/>
    <w:rsid w:val="00F071B2"/>
    <w:rsid w:val="00F11AA2"/>
    <w:rsid w:val="00F1517C"/>
    <w:rsid w:val="00F21337"/>
    <w:rsid w:val="00F23837"/>
    <w:rsid w:val="00F23D4E"/>
    <w:rsid w:val="00F254AE"/>
    <w:rsid w:val="00F27767"/>
    <w:rsid w:val="00F30E37"/>
    <w:rsid w:val="00F310BB"/>
    <w:rsid w:val="00F317B7"/>
    <w:rsid w:val="00F31E98"/>
    <w:rsid w:val="00F3770E"/>
    <w:rsid w:val="00F40DAC"/>
    <w:rsid w:val="00F41DDD"/>
    <w:rsid w:val="00F4312B"/>
    <w:rsid w:val="00F47BF8"/>
    <w:rsid w:val="00F5180B"/>
    <w:rsid w:val="00F53C2F"/>
    <w:rsid w:val="00F53F9A"/>
    <w:rsid w:val="00F5569B"/>
    <w:rsid w:val="00F55D48"/>
    <w:rsid w:val="00F55F00"/>
    <w:rsid w:val="00F56183"/>
    <w:rsid w:val="00F5743A"/>
    <w:rsid w:val="00F6390B"/>
    <w:rsid w:val="00F63CEB"/>
    <w:rsid w:val="00F65F3D"/>
    <w:rsid w:val="00F66AAE"/>
    <w:rsid w:val="00F67573"/>
    <w:rsid w:val="00F677D6"/>
    <w:rsid w:val="00F711DB"/>
    <w:rsid w:val="00F71230"/>
    <w:rsid w:val="00F759EE"/>
    <w:rsid w:val="00F7703C"/>
    <w:rsid w:val="00F81E41"/>
    <w:rsid w:val="00F827C8"/>
    <w:rsid w:val="00F82BB9"/>
    <w:rsid w:val="00F83A87"/>
    <w:rsid w:val="00F85C2A"/>
    <w:rsid w:val="00F86418"/>
    <w:rsid w:val="00F8645E"/>
    <w:rsid w:val="00F868DE"/>
    <w:rsid w:val="00F92799"/>
    <w:rsid w:val="00F927BB"/>
    <w:rsid w:val="00F94912"/>
    <w:rsid w:val="00F952D0"/>
    <w:rsid w:val="00F95B60"/>
    <w:rsid w:val="00FA1A5E"/>
    <w:rsid w:val="00FA1DAB"/>
    <w:rsid w:val="00FA224F"/>
    <w:rsid w:val="00FA2DE1"/>
    <w:rsid w:val="00FA39BD"/>
    <w:rsid w:val="00FB09BF"/>
    <w:rsid w:val="00FB2C03"/>
    <w:rsid w:val="00FB2C69"/>
    <w:rsid w:val="00FB42E6"/>
    <w:rsid w:val="00FB4795"/>
    <w:rsid w:val="00FB4A1D"/>
    <w:rsid w:val="00FB61BD"/>
    <w:rsid w:val="00FB6541"/>
    <w:rsid w:val="00FC0BCB"/>
    <w:rsid w:val="00FC15D9"/>
    <w:rsid w:val="00FC2886"/>
    <w:rsid w:val="00FC6033"/>
    <w:rsid w:val="00FC6E15"/>
    <w:rsid w:val="00FC78B6"/>
    <w:rsid w:val="00FD0925"/>
    <w:rsid w:val="00FD0FCA"/>
    <w:rsid w:val="00FD1110"/>
    <w:rsid w:val="00FD2BF4"/>
    <w:rsid w:val="00FD306B"/>
    <w:rsid w:val="00FD36EE"/>
    <w:rsid w:val="00FD5CD9"/>
    <w:rsid w:val="00FD7322"/>
    <w:rsid w:val="00FD7825"/>
    <w:rsid w:val="00FE118D"/>
    <w:rsid w:val="00FE1A9E"/>
    <w:rsid w:val="00FE209C"/>
    <w:rsid w:val="00FE4B75"/>
    <w:rsid w:val="00FE5644"/>
    <w:rsid w:val="00FE62A7"/>
    <w:rsid w:val="00FF1CAC"/>
    <w:rsid w:val="00FF2472"/>
    <w:rsid w:val="00FF4E78"/>
    <w:rsid w:val="00FF6960"/>
    <w:rsid w:val="00FF7C25"/>
  </w:rsids>
  <m:mathPr>
    <m:mathFont m:val="Cambria Math"/>
    <m:brkBin m:val="before"/>
    <m:brkBinSub m:val="--"/>
    <m:smallFrac/>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Miriam"/>
        <w:lang w:val="en-US" w:eastAsia="en-US" w:bidi="he-IL"/>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3">
    <w:name w:val="Normal"/>
    <w:qFormat/>
    <w:rsid w:val="0065626D"/>
    <w:pPr>
      <w:bidi/>
      <w:jc w:val="both"/>
    </w:pPr>
    <w:rPr>
      <w:rFonts w:cs="FrankRuehl"/>
      <w:sz w:val="22"/>
      <w:szCs w:val="28"/>
    </w:rPr>
  </w:style>
  <w:style w:type="paragraph" w:styleId="12">
    <w:name w:val="heading 1"/>
    <w:basedOn w:val="a3"/>
    <w:next w:val="a3"/>
    <w:link w:val="13"/>
    <w:uiPriority w:val="9"/>
    <w:qFormat/>
    <w:rsid w:val="002C3D31"/>
    <w:pPr>
      <w:keepNext/>
      <w:keepLines/>
      <w:spacing w:before="480"/>
      <w:outlineLvl w:val="0"/>
    </w:pPr>
    <w:rPr>
      <w:rFonts w:asciiTheme="majorHAnsi" w:eastAsiaTheme="majorEastAsia" w:hAnsiTheme="majorHAnsi" w:cstheme="majorBidi"/>
      <w:b/>
      <w:bCs/>
      <w:color w:val="365F91" w:themeColor="accent1" w:themeShade="BF"/>
      <w:sz w:val="28"/>
    </w:rPr>
  </w:style>
  <w:style w:type="paragraph" w:styleId="2">
    <w:name w:val="heading 2"/>
    <w:basedOn w:val="a3"/>
    <w:link w:val="20"/>
    <w:uiPriority w:val="9"/>
    <w:qFormat/>
    <w:rsid w:val="001F3BB4"/>
    <w:pPr>
      <w:bidi w:val="0"/>
      <w:spacing w:before="100" w:beforeAutospacing="1" w:after="100" w:afterAutospacing="1"/>
      <w:jc w:val="left"/>
      <w:outlineLvl w:val="1"/>
    </w:pPr>
    <w:rPr>
      <w:rFonts w:eastAsia="Times New Roman" w:cs="Times New Roman"/>
      <w:b/>
      <w:bCs/>
      <w:sz w:val="50"/>
      <w:szCs w:val="50"/>
    </w:rPr>
  </w:style>
  <w:style w:type="paragraph" w:styleId="5">
    <w:name w:val="heading 5"/>
    <w:basedOn w:val="a3"/>
    <w:next w:val="a3"/>
    <w:link w:val="50"/>
    <w:uiPriority w:val="9"/>
    <w:semiHidden/>
    <w:unhideWhenUsed/>
    <w:qFormat/>
    <w:rsid w:val="00E2756A"/>
    <w:pPr>
      <w:keepNext/>
      <w:keepLines/>
      <w:spacing w:before="200"/>
      <w:outlineLvl w:val="4"/>
    </w:pPr>
    <w:rPr>
      <w:rFonts w:asciiTheme="majorHAnsi" w:eastAsiaTheme="majorEastAsia" w:hAnsiTheme="majorHAnsi" w:cstheme="majorBidi"/>
      <w:color w:val="243F60" w:themeColor="accent1" w:themeShade="7F"/>
    </w:rPr>
  </w:style>
  <w:style w:type="character" w:default="1" w:styleId="a4">
    <w:name w:val="Default Paragraph Font"/>
    <w:uiPriority w:val="1"/>
    <w:semiHidden/>
    <w:unhideWhenUsed/>
  </w:style>
  <w:style w:type="table" w:default="1" w:styleId="a5">
    <w:name w:val="Normal Table"/>
    <w:uiPriority w:val="99"/>
    <w:semiHidden/>
    <w:unhideWhenUsed/>
    <w:qFormat/>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50">
    <w:name w:val="כותרת 5 תו"/>
    <w:basedOn w:val="a4"/>
    <w:link w:val="5"/>
    <w:uiPriority w:val="9"/>
    <w:semiHidden/>
    <w:rsid w:val="00E2756A"/>
    <w:rPr>
      <w:rFonts w:asciiTheme="majorHAnsi" w:eastAsiaTheme="majorEastAsia" w:hAnsiTheme="majorHAnsi" w:cstheme="majorBidi"/>
      <w:color w:val="243F60" w:themeColor="accent1" w:themeShade="7F"/>
      <w:sz w:val="22"/>
      <w:szCs w:val="28"/>
    </w:rPr>
  </w:style>
  <w:style w:type="paragraph" w:styleId="a7">
    <w:name w:val="footnote text"/>
    <w:basedOn w:val="a3"/>
    <w:link w:val="a8"/>
    <w:uiPriority w:val="99"/>
    <w:semiHidden/>
    <w:unhideWhenUsed/>
    <w:rsid w:val="00E2756A"/>
    <w:pPr>
      <w:tabs>
        <w:tab w:val="left" w:pos="284"/>
      </w:tabs>
      <w:spacing w:before="40" w:after="40" w:line="276" w:lineRule="auto"/>
      <w:ind w:left="284" w:hanging="284"/>
    </w:pPr>
    <w:rPr>
      <w:rFonts w:eastAsia="Times New Roman"/>
      <w:sz w:val="18"/>
      <w:szCs w:val="24"/>
      <w:lang w:eastAsia="he-IL"/>
    </w:rPr>
  </w:style>
  <w:style w:type="character" w:customStyle="1" w:styleId="a8">
    <w:name w:val="טקסט הערת שוליים תו"/>
    <w:basedOn w:val="a4"/>
    <w:link w:val="a7"/>
    <w:uiPriority w:val="99"/>
    <w:semiHidden/>
    <w:rsid w:val="00E2756A"/>
    <w:rPr>
      <w:rFonts w:eastAsia="Times New Roman" w:cs="FrankRuehl"/>
      <w:sz w:val="18"/>
      <w:szCs w:val="24"/>
      <w:lang w:eastAsia="he-IL"/>
    </w:rPr>
  </w:style>
  <w:style w:type="paragraph" w:styleId="a9">
    <w:name w:val="List Paragraph"/>
    <w:basedOn w:val="a3"/>
    <w:uiPriority w:val="34"/>
    <w:qFormat/>
    <w:rsid w:val="00E2756A"/>
    <w:pPr>
      <w:spacing w:line="276" w:lineRule="auto"/>
      <w:ind w:left="720"/>
      <w:contextualSpacing/>
    </w:pPr>
  </w:style>
  <w:style w:type="paragraph" w:styleId="aa">
    <w:name w:val="Quote"/>
    <w:basedOn w:val="a3"/>
    <w:link w:val="ab"/>
    <w:uiPriority w:val="29"/>
    <w:qFormat/>
    <w:rsid w:val="00E2756A"/>
    <w:pPr>
      <w:snapToGrid w:val="0"/>
      <w:spacing w:after="120"/>
      <w:ind w:left="851" w:right="851"/>
    </w:pPr>
    <w:rPr>
      <w:rFonts w:eastAsia="Calibri"/>
      <w:i/>
      <w:color w:val="000000" w:themeColor="text1"/>
      <w:kern w:val="28"/>
    </w:rPr>
  </w:style>
  <w:style w:type="character" w:customStyle="1" w:styleId="ab">
    <w:name w:val="הצעת מחיר תו"/>
    <w:basedOn w:val="a4"/>
    <w:link w:val="aa"/>
    <w:uiPriority w:val="29"/>
    <w:rsid w:val="00E2756A"/>
    <w:rPr>
      <w:rFonts w:eastAsia="Calibri" w:cs="FrankRuehl"/>
      <w:i/>
      <w:color w:val="000000" w:themeColor="text1"/>
      <w:kern w:val="28"/>
      <w:sz w:val="22"/>
      <w:szCs w:val="28"/>
    </w:rPr>
  </w:style>
  <w:style w:type="paragraph" w:customStyle="1" w:styleId="ac">
    <w:name w:val="פרטי תיק פס''ד"/>
    <w:basedOn w:val="a3"/>
    <w:qFormat/>
    <w:rsid w:val="00E2756A"/>
    <w:pPr>
      <w:spacing w:line="360" w:lineRule="auto"/>
    </w:pPr>
    <w:rPr>
      <w:rFonts w:cs="David"/>
      <w:b/>
      <w:bCs/>
      <w:sz w:val="24"/>
      <w:szCs w:val="24"/>
    </w:rPr>
  </w:style>
  <w:style w:type="character" w:customStyle="1" w:styleId="ad">
    <w:name w:val="פסקת פתיחה תו"/>
    <w:link w:val="ae"/>
    <w:locked/>
    <w:rsid w:val="00DA2C8B"/>
    <w:rPr>
      <w:rFonts w:eastAsia="Times New Roman" w:cs="FrankRuehl"/>
      <w:sz w:val="28"/>
      <w:szCs w:val="28"/>
      <w:lang w:eastAsia="he-IL"/>
    </w:rPr>
  </w:style>
  <w:style w:type="paragraph" w:customStyle="1" w:styleId="af">
    <w:name w:val="פסקה רגילה"/>
    <w:basedOn w:val="a3"/>
    <w:link w:val="af0"/>
    <w:qFormat/>
    <w:rsid w:val="00E2756A"/>
    <w:pPr>
      <w:snapToGrid w:val="0"/>
      <w:spacing w:after="120" w:line="276" w:lineRule="auto"/>
      <w:ind w:firstLine="397"/>
    </w:pPr>
    <w:rPr>
      <w:rFonts w:eastAsia="Calibri"/>
      <w:kern w:val="28"/>
    </w:rPr>
  </w:style>
  <w:style w:type="paragraph" w:customStyle="1" w:styleId="ae">
    <w:name w:val="פסקת פתיחה"/>
    <w:basedOn w:val="a3"/>
    <w:next w:val="af"/>
    <w:link w:val="ad"/>
    <w:qFormat/>
    <w:rsid w:val="00DA2C8B"/>
    <w:pPr>
      <w:spacing w:before="120" w:after="120" w:line="276" w:lineRule="auto"/>
    </w:pPr>
    <w:rPr>
      <w:rFonts w:eastAsia="Times New Roman"/>
      <w:sz w:val="28"/>
      <w:lang w:eastAsia="he-IL"/>
    </w:rPr>
  </w:style>
  <w:style w:type="paragraph" w:customStyle="1" w:styleId="af1">
    <w:name w:val="כותרת אזור בית הדין הרבני"/>
    <w:basedOn w:val="a3"/>
    <w:qFormat/>
    <w:rsid w:val="00C17BEA"/>
    <w:pPr>
      <w:spacing w:before="120" w:after="240" w:line="360" w:lineRule="auto"/>
    </w:pPr>
    <w:rPr>
      <w:rFonts w:asciiTheme="minorBidi" w:eastAsia="Calibri" w:hAnsiTheme="minorBidi" w:cs="David"/>
      <w:b/>
      <w:bCs/>
      <w:color w:val="002B82"/>
      <w:sz w:val="28"/>
    </w:rPr>
  </w:style>
  <w:style w:type="character" w:customStyle="1" w:styleId="af0">
    <w:name w:val="פסקה רגילה תו"/>
    <w:basedOn w:val="a4"/>
    <w:link w:val="af"/>
    <w:locked/>
    <w:rsid w:val="00E2756A"/>
    <w:rPr>
      <w:rFonts w:eastAsia="Calibri" w:cs="FrankRuehl"/>
      <w:kern w:val="28"/>
      <w:sz w:val="22"/>
      <w:szCs w:val="28"/>
    </w:rPr>
  </w:style>
  <w:style w:type="character" w:customStyle="1" w:styleId="af2">
    <w:name w:val="ציטוט בתוך ציטוט תו"/>
    <w:basedOn w:val="a4"/>
    <w:link w:val="af3"/>
    <w:locked/>
    <w:rsid w:val="00DA2C8B"/>
    <w:rPr>
      <w:rFonts w:ascii="Calibri" w:eastAsia="Calibri" w:hAnsi="Calibri" w:cs="FrankRuehl"/>
      <w:i/>
      <w:color w:val="000000" w:themeColor="text1"/>
      <w:kern w:val="28"/>
      <w:sz w:val="28"/>
      <w:szCs w:val="28"/>
    </w:rPr>
  </w:style>
  <w:style w:type="paragraph" w:customStyle="1" w:styleId="af3">
    <w:name w:val="ציטוט בתוך ציטוט"/>
    <w:basedOn w:val="aa"/>
    <w:link w:val="af2"/>
    <w:qFormat/>
    <w:rsid w:val="00DA2C8B"/>
    <w:pPr>
      <w:ind w:left="1418"/>
    </w:pPr>
    <w:rPr>
      <w:rFonts w:ascii="Calibri" w:hAnsi="Calibri"/>
      <w:sz w:val="28"/>
    </w:rPr>
  </w:style>
  <w:style w:type="character" w:customStyle="1" w:styleId="af4">
    <w:name w:val="פסק דין תו"/>
    <w:basedOn w:val="a4"/>
    <w:link w:val="af5"/>
    <w:locked/>
    <w:rsid w:val="003D0A52"/>
    <w:rPr>
      <w:rFonts w:ascii="Arial" w:eastAsia="Calibri" w:hAnsi="Arial" w:cs="FrankRuehl"/>
      <w:bCs/>
      <w:spacing w:val="20"/>
      <w:kern w:val="28"/>
      <w:sz w:val="24"/>
      <w:szCs w:val="32"/>
    </w:rPr>
  </w:style>
  <w:style w:type="paragraph" w:customStyle="1" w:styleId="af5">
    <w:name w:val="פסק דין"/>
    <w:basedOn w:val="a3"/>
    <w:next w:val="ae"/>
    <w:link w:val="af4"/>
    <w:qFormat/>
    <w:rsid w:val="003D0A52"/>
    <w:pPr>
      <w:keepNext/>
      <w:overflowPunct w:val="0"/>
      <w:autoSpaceDE w:val="0"/>
      <w:autoSpaceDN w:val="0"/>
      <w:adjustRightInd w:val="0"/>
      <w:spacing w:before="360" w:after="240" w:line="276" w:lineRule="exact"/>
      <w:jc w:val="center"/>
    </w:pPr>
    <w:rPr>
      <w:rFonts w:ascii="Arial" w:eastAsia="Calibri" w:hAnsi="Arial"/>
      <w:bCs/>
      <w:spacing w:val="20"/>
      <w:kern w:val="28"/>
      <w:sz w:val="24"/>
      <w:szCs w:val="32"/>
    </w:rPr>
  </w:style>
  <w:style w:type="character" w:customStyle="1" w:styleId="14">
    <w:name w:val="רשימה א(1)(א) מדורגת תו"/>
    <w:basedOn w:val="a4"/>
    <w:link w:val="1"/>
    <w:locked/>
    <w:rsid w:val="0051147D"/>
    <w:rPr>
      <w:rFonts w:ascii="David" w:eastAsia="Calibri" w:hAnsi="David" w:cs="FrankRuehl"/>
      <w:kern w:val="28"/>
      <w:sz w:val="36"/>
      <w:szCs w:val="28"/>
    </w:rPr>
  </w:style>
  <w:style w:type="paragraph" w:customStyle="1" w:styleId="1">
    <w:name w:val="רשימה א(1)(א) מדורגת"/>
    <w:basedOn w:val="af"/>
    <w:link w:val="14"/>
    <w:qFormat/>
    <w:rsid w:val="005452D2"/>
    <w:pPr>
      <w:numPr>
        <w:numId w:val="1"/>
      </w:numPr>
      <w:spacing w:before="120"/>
    </w:pPr>
    <w:rPr>
      <w:rFonts w:ascii="David" w:hAnsi="David"/>
      <w:sz w:val="36"/>
    </w:rPr>
  </w:style>
  <w:style w:type="paragraph" w:customStyle="1" w:styleId="a0">
    <w:name w:val="כותרת משנה אמצע ממוספרת"/>
    <w:basedOn w:val="a3"/>
    <w:next w:val="ae"/>
    <w:rsid w:val="00E2756A"/>
    <w:pPr>
      <w:keepNext/>
      <w:numPr>
        <w:numId w:val="2"/>
      </w:numPr>
      <w:tabs>
        <w:tab w:val="left" w:pos="397"/>
      </w:tabs>
      <w:spacing w:before="360" w:after="120" w:line="276" w:lineRule="auto"/>
      <w:jc w:val="center"/>
      <w:outlineLvl w:val="2"/>
    </w:pPr>
    <w:rPr>
      <w:rFonts w:eastAsia="Times New Roman" w:cs="Narkisim"/>
      <w:b/>
      <w:bCs/>
      <w:sz w:val="26"/>
      <w:szCs w:val="26"/>
      <w:lang w:eastAsia="he-IL"/>
    </w:rPr>
  </w:style>
  <w:style w:type="character" w:customStyle="1" w:styleId="110">
    <w:name w:val="רשימה 1(א)(1) מדורגת תו"/>
    <w:basedOn w:val="a4"/>
    <w:link w:val="11"/>
    <w:locked/>
    <w:rsid w:val="0051147D"/>
    <w:rPr>
      <w:rFonts w:ascii="David" w:eastAsia="Calibri" w:hAnsi="David" w:cs="FrankRuehl"/>
      <w:kern w:val="28"/>
      <w:sz w:val="28"/>
      <w:szCs w:val="28"/>
      <w:lang w:eastAsia="he-IL"/>
    </w:rPr>
  </w:style>
  <w:style w:type="paragraph" w:customStyle="1" w:styleId="11">
    <w:name w:val="רשימה 1(א)(1) מדורגת"/>
    <w:basedOn w:val="af"/>
    <w:link w:val="110"/>
    <w:qFormat/>
    <w:rsid w:val="00CE18E3"/>
    <w:pPr>
      <w:numPr>
        <w:numId w:val="3"/>
      </w:numPr>
      <w:spacing w:before="120"/>
    </w:pPr>
    <w:rPr>
      <w:rFonts w:ascii="David" w:hAnsi="David"/>
      <w:sz w:val="28"/>
      <w:lang w:eastAsia="he-IL"/>
    </w:rPr>
  </w:style>
  <w:style w:type="character" w:customStyle="1" w:styleId="af6">
    <w:name w:val="כותרת [א.] צד תו"/>
    <w:basedOn w:val="a4"/>
    <w:link w:val="af7"/>
    <w:locked/>
    <w:rsid w:val="008A683B"/>
    <w:rPr>
      <w:rFonts w:ascii="Arial" w:eastAsia="Times New Roman" w:hAnsi="Arial" w:cs="Narkisim"/>
      <w:b/>
      <w:bCs/>
      <w:sz w:val="24"/>
      <w:szCs w:val="24"/>
    </w:rPr>
  </w:style>
  <w:style w:type="paragraph" w:customStyle="1" w:styleId="af7">
    <w:name w:val="כותרת [א.] צד"/>
    <w:basedOn w:val="a1"/>
    <w:next w:val="ae"/>
    <w:link w:val="af6"/>
    <w:qFormat/>
    <w:rsid w:val="008A683B"/>
  </w:style>
  <w:style w:type="character" w:customStyle="1" w:styleId="-">
    <w:name w:val="כותרת [-] צד תו"/>
    <w:basedOn w:val="a4"/>
    <w:link w:val="-0"/>
    <w:locked/>
    <w:rsid w:val="00387082"/>
    <w:rPr>
      <w:rFonts w:ascii="Arial" w:eastAsia="Times New Roman" w:hAnsi="Arial" w:cs="Narkisim"/>
      <w:b/>
      <w:bCs/>
      <w:sz w:val="24"/>
      <w:szCs w:val="24"/>
    </w:rPr>
  </w:style>
  <w:style w:type="paragraph" w:customStyle="1" w:styleId="-0">
    <w:name w:val="כותרת [-] צד"/>
    <w:next w:val="a3"/>
    <w:link w:val="-"/>
    <w:qFormat/>
    <w:rsid w:val="00387082"/>
    <w:pPr>
      <w:keepNext/>
      <w:tabs>
        <w:tab w:val="left" w:pos="454"/>
      </w:tabs>
      <w:bidi/>
      <w:spacing w:before="360" w:after="120"/>
      <w:jc w:val="both"/>
      <w:outlineLvl w:val="3"/>
    </w:pPr>
    <w:rPr>
      <w:rFonts w:ascii="Arial" w:eastAsia="Times New Roman" w:hAnsi="Arial" w:cs="Narkisim"/>
      <w:b/>
      <w:bCs/>
      <w:sz w:val="24"/>
      <w:szCs w:val="24"/>
    </w:rPr>
  </w:style>
  <w:style w:type="character" w:customStyle="1" w:styleId="15">
    <w:name w:val="כותרת [(1)] צד תו"/>
    <w:basedOn w:val="a4"/>
    <w:link w:val="10"/>
    <w:locked/>
    <w:rsid w:val="008A683B"/>
    <w:rPr>
      <w:rFonts w:ascii="Arial" w:eastAsia="Times New Roman" w:hAnsi="Arial" w:cs="Narkisim"/>
      <w:b/>
      <w:bCs/>
      <w:sz w:val="22"/>
      <w:szCs w:val="22"/>
    </w:rPr>
  </w:style>
  <w:style w:type="paragraph" w:customStyle="1" w:styleId="10">
    <w:name w:val="כותרת [(1)] צד"/>
    <w:basedOn w:val="a1"/>
    <w:next w:val="ae"/>
    <w:link w:val="15"/>
    <w:qFormat/>
    <w:rsid w:val="008A683B"/>
    <w:pPr>
      <w:numPr>
        <w:ilvl w:val="2"/>
      </w:numPr>
      <w:spacing w:before="240"/>
      <w:outlineLvl w:val="4"/>
    </w:pPr>
    <w:rPr>
      <w:sz w:val="22"/>
      <w:szCs w:val="22"/>
    </w:rPr>
  </w:style>
  <w:style w:type="character" w:customStyle="1" w:styleId="af8">
    <w:name w:val="כותרת [(א)] צד תו"/>
    <w:basedOn w:val="15"/>
    <w:link w:val="a2"/>
    <w:locked/>
    <w:rsid w:val="008A683B"/>
    <w:rPr>
      <w:rFonts w:ascii="Arial" w:eastAsia="Times New Roman" w:hAnsi="Arial" w:cs="Narkisim"/>
      <w:b w:val="0"/>
      <w:bCs w:val="0"/>
      <w:i/>
      <w:iCs/>
      <w:sz w:val="22"/>
      <w:szCs w:val="22"/>
    </w:rPr>
  </w:style>
  <w:style w:type="paragraph" w:customStyle="1" w:styleId="a2">
    <w:name w:val="כותרת [(א)] צד"/>
    <w:basedOn w:val="10"/>
    <w:next w:val="ae"/>
    <w:link w:val="af8"/>
    <w:qFormat/>
    <w:rsid w:val="008A683B"/>
    <w:pPr>
      <w:numPr>
        <w:ilvl w:val="3"/>
        <w:numId w:val="4"/>
      </w:numPr>
      <w:outlineLvl w:val="5"/>
    </w:pPr>
    <w:rPr>
      <w:b w:val="0"/>
      <w:bCs w:val="0"/>
      <w:i/>
      <w:iCs/>
    </w:rPr>
  </w:style>
  <w:style w:type="character" w:styleId="af9">
    <w:name w:val="footnote reference"/>
    <w:aliases w:val="אות הערה"/>
    <w:uiPriority w:val="99"/>
    <w:unhideWhenUsed/>
    <w:qFormat/>
    <w:rsid w:val="00E2756A"/>
    <w:rPr>
      <w:rFonts w:ascii="Times New Roman" w:hAnsi="Times New Roman" w:cs="FrankRuehl" w:hint="default"/>
      <w:kern w:val="0"/>
      <w:position w:val="0"/>
      <w:sz w:val="20"/>
      <w:szCs w:val="28"/>
      <w:vertAlign w:val="superscript"/>
    </w:rPr>
  </w:style>
  <w:style w:type="paragraph" w:customStyle="1" w:styleId="afa">
    <w:name w:val="שמות הדיינים"/>
    <w:basedOn w:val="a3"/>
    <w:next w:val="a3"/>
    <w:link w:val="afb"/>
    <w:qFormat/>
    <w:rsid w:val="00D77F78"/>
    <w:pPr>
      <w:tabs>
        <w:tab w:val="center" w:pos="4153"/>
        <w:tab w:val="right" w:pos="8306"/>
      </w:tabs>
      <w:overflowPunct w:val="0"/>
      <w:autoSpaceDE w:val="0"/>
      <w:autoSpaceDN w:val="0"/>
      <w:adjustRightInd w:val="0"/>
      <w:spacing w:after="360" w:line="276" w:lineRule="exact"/>
      <w:jc w:val="center"/>
      <w:textAlignment w:val="baseline"/>
    </w:pPr>
    <w:rPr>
      <w:rFonts w:eastAsia="Calibri" w:cs="Narkisim"/>
      <w:b/>
      <w:bCs/>
      <w:kern w:val="28"/>
      <w:sz w:val="23"/>
      <w:szCs w:val="23"/>
    </w:rPr>
  </w:style>
  <w:style w:type="character" w:customStyle="1" w:styleId="afb">
    <w:name w:val="שמות הדיינים תו"/>
    <w:basedOn w:val="a4"/>
    <w:link w:val="afa"/>
    <w:rsid w:val="00D77F78"/>
    <w:rPr>
      <w:rFonts w:eastAsia="Calibri" w:cs="Narkisim"/>
      <w:b/>
      <w:bCs/>
      <w:kern w:val="28"/>
      <w:sz w:val="23"/>
      <w:szCs w:val="23"/>
    </w:rPr>
  </w:style>
  <w:style w:type="paragraph" w:styleId="afc">
    <w:name w:val="header"/>
    <w:basedOn w:val="a3"/>
    <w:link w:val="afd"/>
    <w:uiPriority w:val="99"/>
    <w:unhideWhenUsed/>
    <w:rsid w:val="00FA1DAB"/>
    <w:pPr>
      <w:tabs>
        <w:tab w:val="center" w:pos="4153"/>
        <w:tab w:val="right" w:pos="8306"/>
      </w:tabs>
    </w:pPr>
  </w:style>
  <w:style w:type="character" w:customStyle="1" w:styleId="afd">
    <w:name w:val="כותרת עליונה תו"/>
    <w:basedOn w:val="a4"/>
    <w:link w:val="afc"/>
    <w:uiPriority w:val="99"/>
    <w:rsid w:val="00FA1DAB"/>
    <w:rPr>
      <w:rFonts w:cs="FrankRuehl"/>
      <w:sz w:val="22"/>
      <w:szCs w:val="28"/>
    </w:rPr>
  </w:style>
  <w:style w:type="paragraph" w:styleId="afe">
    <w:name w:val="footer"/>
    <w:basedOn w:val="a3"/>
    <w:link w:val="aff"/>
    <w:uiPriority w:val="99"/>
    <w:unhideWhenUsed/>
    <w:rsid w:val="00FA1DAB"/>
    <w:pPr>
      <w:tabs>
        <w:tab w:val="center" w:pos="4153"/>
        <w:tab w:val="right" w:pos="8306"/>
      </w:tabs>
    </w:pPr>
  </w:style>
  <w:style w:type="character" w:customStyle="1" w:styleId="aff">
    <w:name w:val="כותרת תחתונה תו"/>
    <w:basedOn w:val="a4"/>
    <w:link w:val="afe"/>
    <w:uiPriority w:val="99"/>
    <w:rsid w:val="00FA1DAB"/>
    <w:rPr>
      <w:rFonts w:cs="FrankRuehl"/>
      <w:sz w:val="22"/>
      <w:szCs w:val="28"/>
    </w:rPr>
  </w:style>
  <w:style w:type="paragraph" w:customStyle="1" w:styleId="aff0">
    <w:name w:val="רשימה רגילה"/>
    <w:basedOn w:val="1"/>
    <w:next w:val="af"/>
    <w:link w:val="aff1"/>
    <w:qFormat/>
    <w:rsid w:val="009D23D6"/>
    <w:pPr>
      <w:ind w:left="0" w:firstLine="0"/>
    </w:pPr>
  </w:style>
  <w:style w:type="character" w:customStyle="1" w:styleId="aff1">
    <w:name w:val="רשימה רגילה תו"/>
    <w:basedOn w:val="14"/>
    <w:link w:val="aff0"/>
    <w:rsid w:val="009D23D6"/>
    <w:rPr>
      <w:rFonts w:ascii="David" w:eastAsia="Calibri" w:hAnsi="David" w:cs="FrankRuehl"/>
      <w:kern w:val="28"/>
      <w:sz w:val="36"/>
      <w:szCs w:val="28"/>
    </w:rPr>
  </w:style>
  <w:style w:type="paragraph" w:customStyle="1" w:styleId="a1">
    <w:name w:val="כותרת [א.] צד"/>
    <w:basedOn w:val="a3"/>
    <w:next w:val="ae"/>
    <w:link w:val="16"/>
    <w:qFormat/>
    <w:rsid w:val="008A683B"/>
    <w:pPr>
      <w:keepNext/>
      <w:numPr>
        <w:ilvl w:val="1"/>
        <w:numId w:val="2"/>
      </w:numPr>
      <w:tabs>
        <w:tab w:val="left" w:pos="397"/>
      </w:tabs>
      <w:spacing w:before="360" w:after="120" w:line="276" w:lineRule="auto"/>
      <w:outlineLvl w:val="3"/>
    </w:pPr>
    <w:rPr>
      <w:rFonts w:ascii="Arial" w:eastAsia="Times New Roman" w:hAnsi="Arial" w:cs="Narkisim"/>
      <w:b/>
      <w:bCs/>
      <w:sz w:val="24"/>
      <w:szCs w:val="24"/>
    </w:rPr>
  </w:style>
  <w:style w:type="character" w:customStyle="1" w:styleId="16">
    <w:name w:val="כותרת [א.] צד תו1"/>
    <w:basedOn w:val="a4"/>
    <w:link w:val="a1"/>
    <w:rsid w:val="008A683B"/>
    <w:rPr>
      <w:rFonts w:ascii="Arial" w:eastAsia="Times New Roman" w:hAnsi="Arial" w:cs="Narkisim"/>
      <w:b/>
      <w:bCs/>
      <w:sz w:val="24"/>
      <w:szCs w:val="24"/>
    </w:rPr>
  </w:style>
  <w:style w:type="paragraph" w:customStyle="1" w:styleId="aff2">
    <w:name w:val="מספר תיק"/>
    <w:basedOn w:val="a3"/>
    <w:link w:val="aff3"/>
    <w:qFormat/>
    <w:rsid w:val="003D0A52"/>
    <w:pPr>
      <w:overflowPunct w:val="0"/>
      <w:autoSpaceDE w:val="0"/>
      <w:autoSpaceDN w:val="0"/>
      <w:adjustRightInd w:val="0"/>
      <w:spacing w:after="240" w:line="276" w:lineRule="exact"/>
      <w:jc w:val="right"/>
      <w:textAlignment w:val="baseline"/>
    </w:pPr>
    <w:rPr>
      <w:rFonts w:eastAsia="Times New Roman"/>
      <w:sz w:val="24"/>
      <w:szCs w:val="32"/>
      <w:lang w:eastAsia="he-IL"/>
    </w:rPr>
  </w:style>
  <w:style w:type="character" w:customStyle="1" w:styleId="aff3">
    <w:name w:val="מספר תיק תו"/>
    <w:basedOn w:val="a4"/>
    <w:link w:val="aff2"/>
    <w:rsid w:val="003D0A52"/>
    <w:rPr>
      <w:rFonts w:eastAsia="Times New Roman" w:cs="FrankRuehl"/>
      <w:sz w:val="24"/>
      <w:szCs w:val="32"/>
      <w:lang w:eastAsia="he-IL"/>
    </w:rPr>
  </w:style>
  <w:style w:type="paragraph" w:customStyle="1" w:styleId="aff4">
    <w:name w:val="פלוני"/>
    <w:basedOn w:val="a3"/>
    <w:link w:val="aff5"/>
    <w:qFormat/>
    <w:rsid w:val="003D0A52"/>
    <w:pPr>
      <w:overflowPunct w:val="0"/>
      <w:autoSpaceDE w:val="0"/>
      <w:autoSpaceDN w:val="0"/>
      <w:adjustRightInd w:val="0"/>
      <w:spacing w:after="100" w:line="240" w:lineRule="exact"/>
      <w:textAlignment w:val="baseline"/>
    </w:pPr>
    <w:rPr>
      <w:rFonts w:eastAsia="Times New Roman"/>
      <w:sz w:val="26"/>
      <w:szCs w:val="32"/>
      <w:lang w:eastAsia="he-IL"/>
    </w:rPr>
  </w:style>
  <w:style w:type="character" w:customStyle="1" w:styleId="aff5">
    <w:name w:val="פלוני תו"/>
    <w:basedOn w:val="a4"/>
    <w:link w:val="aff4"/>
    <w:rsid w:val="003D0A52"/>
    <w:rPr>
      <w:rFonts w:eastAsia="Times New Roman" w:cs="FrankRuehl"/>
      <w:sz w:val="26"/>
      <w:szCs w:val="32"/>
      <w:lang w:eastAsia="he-IL"/>
    </w:rPr>
  </w:style>
  <w:style w:type="paragraph" w:customStyle="1" w:styleId="aff6">
    <w:name w:val="כותרת הנידון ומסקנות"/>
    <w:basedOn w:val="a3"/>
    <w:next w:val="aff7"/>
    <w:link w:val="aff8"/>
    <w:qFormat/>
    <w:rsid w:val="003D0A52"/>
    <w:pPr>
      <w:spacing w:before="360" w:after="120" w:line="276" w:lineRule="auto"/>
      <w:jc w:val="center"/>
    </w:pPr>
    <w:rPr>
      <w:rFonts w:ascii="Cambria" w:eastAsia="Times New Roman" w:hAnsi="Cambria" w:cs="Narkisim"/>
      <w:b/>
      <w:noProof/>
      <w:sz w:val="26"/>
      <w:szCs w:val="26"/>
      <w:lang w:eastAsia="he-IL"/>
    </w:rPr>
  </w:style>
  <w:style w:type="paragraph" w:customStyle="1" w:styleId="aff7">
    <w:name w:val="תקציר פתיחה"/>
    <w:basedOn w:val="a3"/>
    <w:next w:val="a3"/>
    <w:link w:val="aff9"/>
    <w:qFormat/>
    <w:rsid w:val="0065626D"/>
    <w:pPr>
      <w:overflowPunct w:val="0"/>
      <w:autoSpaceDE w:val="0"/>
      <w:autoSpaceDN w:val="0"/>
      <w:adjustRightInd w:val="0"/>
      <w:spacing w:before="120" w:after="120" w:line="250" w:lineRule="exact"/>
      <w:textAlignment w:val="baseline"/>
    </w:pPr>
    <w:rPr>
      <w:rFonts w:eastAsia="Times New Roman"/>
      <w:sz w:val="20"/>
      <w:szCs w:val="24"/>
      <w:lang w:eastAsia="he-IL"/>
    </w:rPr>
  </w:style>
  <w:style w:type="character" w:customStyle="1" w:styleId="aff9">
    <w:name w:val="תקציר פתיחה תו"/>
    <w:basedOn w:val="a4"/>
    <w:link w:val="aff7"/>
    <w:rsid w:val="0065626D"/>
    <w:rPr>
      <w:rFonts w:eastAsia="Times New Roman" w:cs="FrankRuehl"/>
      <w:szCs w:val="24"/>
      <w:lang w:eastAsia="he-IL"/>
    </w:rPr>
  </w:style>
  <w:style w:type="character" w:customStyle="1" w:styleId="aff8">
    <w:name w:val="כותרת הנידון ומסקנות תו"/>
    <w:basedOn w:val="a4"/>
    <w:link w:val="aff6"/>
    <w:rsid w:val="003D0A52"/>
    <w:rPr>
      <w:rFonts w:ascii="Cambria" w:eastAsia="Times New Roman" w:hAnsi="Cambria" w:cs="Narkisim"/>
      <w:b/>
      <w:noProof/>
      <w:sz w:val="26"/>
      <w:szCs w:val="26"/>
      <w:lang w:eastAsia="he-IL"/>
    </w:rPr>
  </w:style>
  <w:style w:type="paragraph" w:customStyle="1" w:styleId="affa">
    <w:name w:val="מסקנות [א.] תוכן"/>
    <w:basedOn w:val="a3"/>
    <w:link w:val="affb"/>
    <w:qFormat/>
    <w:rsid w:val="0065626D"/>
    <w:pPr>
      <w:tabs>
        <w:tab w:val="left" w:pos="340"/>
        <w:tab w:val="left" w:pos="680"/>
      </w:tabs>
      <w:overflowPunct w:val="0"/>
      <w:autoSpaceDE w:val="0"/>
      <w:autoSpaceDN w:val="0"/>
      <w:adjustRightInd w:val="0"/>
      <w:spacing w:before="120" w:after="120" w:line="250" w:lineRule="exact"/>
      <w:ind w:left="340" w:hanging="340"/>
      <w:textAlignment w:val="baseline"/>
    </w:pPr>
    <w:rPr>
      <w:rFonts w:eastAsia="Times New Roman"/>
      <w:sz w:val="20"/>
      <w:szCs w:val="24"/>
      <w:lang w:eastAsia="he-IL"/>
    </w:rPr>
  </w:style>
  <w:style w:type="character" w:customStyle="1" w:styleId="affb">
    <w:name w:val="מסקנות [א.] תוכן תו"/>
    <w:basedOn w:val="a4"/>
    <w:link w:val="affa"/>
    <w:rsid w:val="0065626D"/>
    <w:rPr>
      <w:rFonts w:eastAsia="Times New Roman" w:cs="FrankRuehl"/>
      <w:szCs w:val="24"/>
      <w:lang w:eastAsia="he-IL"/>
    </w:rPr>
  </w:style>
  <w:style w:type="paragraph" w:customStyle="1" w:styleId="affc">
    <w:name w:val="בבית הדין הרבני"/>
    <w:basedOn w:val="a3"/>
    <w:next w:val="affd"/>
    <w:link w:val="affe"/>
    <w:rsid w:val="003D0A52"/>
    <w:pPr>
      <w:overflowPunct w:val="0"/>
      <w:autoSpaceDE w:val="0"/>
      <w:autoSpaceDN w:val="0"/>
      <w:adjustRightInd w:val="0"/>
      <w:spacing w:before="360" w:after="120" w:line="276" w:lineRule="exact"/>
      <w:jc w:val="center"/>
      <w:textAlignment w:val="baseline"/>
    </w:pPr>
    <w:rPr>
      <w:rFonts w:eastAsia="Times New Roman"/>
      <w:b/>
      <w:bCs/>
      <w:sz w:val="24"/>
      <w:lang w:eastAsia="he-IL"/>
    </w:rPr>
  </w:style>
  <w:style w:type="paragraph" w:customStyle="1" w:styleId="affd">
    <w:name w:val="לפני כבוד הדיינים"/>
    <w:basedOn w:val="a3"/>
    <w:next w:val="afa"/>
    <w:link w:val="afff"/>
    <w:qFormat/>
    <w:rsid w:val="0065626D"/>
    <w:pPr>
      <w:overflowPunct w:val="0"/>
      <w:autoSpaceDE w:val="0"/>
      <w:autoSpaceDN w:val="0"/>
      <w:adjustRightInd w:val="0"/>
      <w:spacing w:after="120" w:line="276" w:lineRule="exact"/>
      <w:jc w:val="center"/>
      <w:textAlignment w:val="baseline"/>
    </w:pPr>
    <w:rPr>
      <w:rFonts w:eastAsia="Times New Roman"/>
      <w:szCs w:val="26"/>
      <w:lang w:eastAsia="he-IL"/>
    </w:rPr>
  </w:style>
  <w:style w:type="character" w:customStyle="1" w:styleId="afff">
    <w:name w:val="לפני כבוד הדיינים תו"/>
    <w:basedOn w:val="a4"/>
    <w:link w:val="affd"/>
    <w:rsid w:val="0065626D"/>
    <w:rPr>
      <w:rFonts w:eastAsia="Times New Roman" w:cs="FrankRuehl"/>
      <w:sz w:val="22"/>
      <w:szCs w:val="26"/>
      <w:lang w:eastAsia="he-IL"/>
    </w:rPr>
  </w:style>
  <w:style w:type="character" w:customStyle="1" w:styleId="affe">
    <w:name w:val="בבית הדין הרבני תו"/>
    <w:basedOn w:val="a4"/>
    <w:link w:val="affc"/>
    <w:rsid w:val="003D0A52"/>
    <w:rPr>
      <w:rFonts w:eastAsia="Times New Roman" w:cs="FrankRuehl"/>
      <w:b/>
      <w:bCs/>
      <w:sz w:val="24"/>
      <w:szCs w:val="28"/>
      <w:lang w:eastAsia="he-IL"/>
    </w:rPr>
  </w:style>
  <w:style w:type="paragraph" w:customStyle="1" w:styleId="17">
    <w:name w:val="מסקנות [א.(1)] תוכן"/>
    <w:basedOn w:val="a3"/>
    <w:link w:val="18"/>
    <w:qFormat/>
    <w:rsid w:val="0065626D"/>
    <w:pPr>
      <w:tabs>
        <w:tab w:val="left" w:pos="340"/>
        <w:tab w:val="left" w:pos="680"/>
      </w:tabs>
      <w:overflowPunct w:val="0"/>
      <w:autoSpaceDE w:val="0"/>
      <w:autoSpaceDN w:val="0"/>
      <w:adjustRightInd w:val="0"/>
      <w:spacing w:before="120" w:after="120" w:line="250" w:lineRule="exact"/>
      <w:ind w:left="680" w:hanging="680"/>
      <w:textAlignment w:val="baseline"/>
    </w:pPr>
    <w:rPr>
      <w:rFonts w:eastAsia="Times New Roman"/>
      <w:sz w:val="24"/>
      <w:szCs w:val="24"/>
      <w:lang w:eastAsia="he-IL"/>
    </w:rPr>
  </w:style>
  <w:style w:type="character" w:customStyle="1" w:styleId="18">
    <w:name w:val="מסקנות [א.(1)] תוכן תו"/>
    <w:basedOn w:val="a4"/>
    <w:link w:val="17"/>
    <w:rsid w:val="0065626D"/>
    <w:rPr>
      <w:rFonts w:eastAsia="Times New Roman" w:cs="FrankRuehl"/>
      <w:sz w:val="24"/>
      <w:szCs w:val="24"/>
      <w:lang w:eastAsia="he-IL"/>
    </w:rPr>
  </w:style>
  <w:style w:type="paragraph" w:customStyle="1" w:styleId="a">
    <w:name w:val="כללי [א.] ממוספר"/>
    <w:basedOn w:val="a3"/>
    <w:qFormat/>
    <w:rsid w:val="0065626D"/>
    <w:pPr>
      <w:numPr>
        <w:numId w:val="5"/>
      </w:numPr>
      <w:overflowPunct w:val="0"/>
      <w:autoSpaceDE w:val="0"/>
      <w:autoSpaceDN w:val="0"/>
      <w:adjustRightInd w:val="0"/>
      <w:spacing w:after="120" w:line="276" w:lineRule="auto"/>
      <w:ind w:left="794" w:hanging="397"/>
      <w:textAlignment w:val="baseline"/>
    </w:pPr>
    <w:rPr>
      <w:rFonts w:eastAsia="Times New Roman"/>
      <w:kern w:val="28"/>
      <w:szCs w:val="26"/>
    </w:rPr>
  </w:style>
  <w:style w:type="paragraph" w:customStyle="1" w:styleId="afff0">
    <w:name w:val="ראשי פרקים"/>
    <w:basedOn w:val="aff7"/>
    <w:link w:val="afff1"/>
    <w:qFormat/>
    <w:rsid w:val="0065626D"/>
    <w:pPr>
      <w:tabs>
        <w:tab w:val="center" w:pos="3289"/>
      </w:tabs>
      <w:spacing w:before="240" w:after="240" w:line="360" w:lineRule="auto"/>
    </w:pPr>
    <w:rPr>
      <w:rFonts w:cs="Narkisim"/>
      <w:szCs w:val="22"/>
    </w:rPr>
  </w:style>
  <w:style w:type="character" w:customStyle="1" w:styleId="afff1">
    <w:name w:val="ראשי פרקים תו"/>
    <w:basedOn w:val="aff9"/>
    <w:link w:val="afff0"/>
    <w:rsid w:val="0065626D"/>
    <w:rPr>
      <w:rFonts w:eastAsia="Times New Roman" w:cs="Narkisim"/>
      <w:szCs w:val="22"/>
      <w:lang w:eastAsia="he-IL"/>
    </w:rPr>
  </w:style>
  <w:style w:type="character" w:customStyle="1" w:styleId="20">
    <w:name w:val="כותרת 2 תו"/>
    <w:basedOn w:val="a4"/>
    <w:link w:val="2"/>
    <w:uiPriority w:val="9"/>
    <w:rsid w:val="001F3BB4"/>
    <w:rPr>
      <w:rFonts w:eastAsia="Times New Roman" w:cs="Times New Roman"/>
      <w:b/>
      <w:bCs/>
      <w:sz w:val="50"/>
      <w:szCs w:val="50"/>
    </w:rPr>
  </w:style>
  <w:style w:type="paragraph" w:styleId="afff2">
    <w:name w:val="Balloon Text"/>
    <w:basedOn w:val="a3"/>
    <w:link w:val="afff3"/>
    <w:uiPriority w:val="99"/>
    <w:semiHidden/>
    <w:unhideWhenUsed/>
    <w:rsid w:val="001F3BB4"/>
    <w:pPr>
      <w:jc w:val="left"/>
    </w:pPr>
    <w:rPr>
      <w:rFonts w:ascii="Tahoma" w:hAnsi="Tahoma" w:cs="Tahoma"/>
      <w:sz w:val="16"/>
      <w:szCs w:val="16"/>
    </w:rPr>
  </w:style>
  <w:style w:type="character" w:customStyle="1" w:styleId="afff3">
    <w:name w:val="טקסט בלונים תו"/>
    <w:basedOn w:val="a4"/>
    <w:link w:val="afff2"/>
    <w:uiPriority w:val="99"/>
    <w:semiHidden/>
    <w:rsid w:val="001F3BB4"/>
    <w:rPr>
      <w:rFonts w:ascii="Tahoma" w:hAnsi="Tahoma" w:cs="Tahoma"/>
      <w:sz w:val="16"/>
      <w:szCs w:val="16"/>
    </w:rPr>
  </w:style>
  <w:style w:type="table" w:styleId="afff4">
    <w:name w:val="Table Grid"/>
    <w:basedOn w:val="a5"/>
    <w:uiPriority w:val="59"/>
    <w:rsid w:val="001F3BB4"/>
    <w:rPr>
      <w:rFonts w:asciiTheme="minorHAnsi" w:hAnsiTheme="minorHAnsi" w:cstheme="minorBidi"/>
      <w:sz w:val="22"/>
      <w:szCs w:val="22"/>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fff5">
    <w:name w:val="Placeholder Text"/>
    <w:basedOn w:val="a4"/>
    <w:uiPriority w:val="99"/>
    <w:semiHidden/>
    <w:rsid w:val="001F3BB4"/>
    <w:rPr>
      <w:color w:val="808080"/>
    </w:rPr>
  </w:style>
  <w:style w:type="paragraph" w:styleId="NormalWeb">
    <w:name w:val="Normal (Web)"/>
    <w:basedOn w:val="a3"/>
    <w:uiPriority w:val="99"/>
    <w:semiHidden/>
    <w:unhideWhenUsed/>
    <w:rsid w:val="001F3BB4"/>
    <w:pPr>
      <w:bidi w:val="0"/>
      <w:spacing w:before="100" w:beforeAutospacing="1" w:after="100" w:afterAutospacing="1"/>
    </w:pPr>
    <w:rPr>
      <w:rFonts w:eastAsia="Times New Roman" w:cs="Times New Roman"/>
      <w:sz w:val="40"/>
      <w:szCs w:val="40"/>
    </w:rPr>
  </w:style>
  <w:style w:type="character" w:customStyle="1" w:styleId="13">
    <w:name w:val="כותרת 1 תו"/>
    <w:basedOn w:val="a4"/>
    <w:link w:val="12"/>
    <w:uiPriority w:val="9"/>
    <w:rsid w:val="002C3D31"/>
    <w:rPr>
      <w:rFonts w:asciiTheme="majorHAnsi" w:eastAsiaTheme="majorEastAsia" w:hAnsiTheme="majorHAnsi" w:cstheme="majorBidi"/>
      <w:b/>
      <w:bCs/>
      <w:color w:val="365F91" w:themeColor="accent1" w:themeShade="BF"/>
      <w:sz w:val="28"/>
      <w:szCs w:val="28"/>
    </w:rPr>
  </w:style>
  <w:style w:type="character" w:styleId="Hyperlink">
    <w:name w:val="Hyperlink"/>
    <w:basedOn w:val="a4"/>
    <w:uiPriority w:val="99"/>
    <w:unhideWhenUsed/>
    <w:rsid w:val="002C3D31"/>
    <w:rPr>
      <w:color w:val="0000FF" w:themeColor="hyperlink"/>
      <w:u w:val="single"/>
    </w:rPr>
  </w:style>
  <w:style w:type="table" w:customStyle="1" w:styleId="TableGrid1">
    <w:name w:val="Table Grid1"/>
    <w:basedOn w:val="a5"/>
    <w:next w:val="afff4"/>
    <w:uiPriority w:val="59"/>
    <w:rsid w:val="002C3D31"/>
    <w:rPr>
      <w:rFonts w:asciiTheme="minorHAnsi" w:hAnsiTheme="minorHAnsi" w:cstheme="minorBidi"/>
      <w:sz w:val="22"/>
      <w:szCs w:val="22"/>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afff6">
    <w:name w:val="כותרת המאמר תו"/>
    <w:basedOn w:val="a4"/>
    <w:link w:val="afff7"/>
    <w:locked/>
    <w:rsid w:val="002C3D31"/>
    <w:rPr>
      <w:rFonts w:eastAsia="Times New Roman" w:cs="Narkisim"/>
      <w:b/>
      <w:bCs/>
      <w:sz w:val="32"/>
      <w:szCs w:val="32"/>
      <w:lang w:eastAsia="he-IL"/>
    </w:rPr>
  </w:style>
  <w:style w:type="paragraph" w:customStyle="1" w:styleId="afff8">
    <w:name w:val="כותרת שם כותב המאמר"/>
    <w:basedOn w:val="a3"/>
    <w:next w:val="afff9"/>
    <w:link w:val="afffa"/>
    <w:qFormat/>
    <w:rsid w:val="002C3D31"/>
    <w:pPr>
      <w:tabs>
        <w:tab w:val="left" w:pos="284"/>
        <w:tab w:val="left" w:pos="567"/>
      </w:tabs>
      <w:overflowPunct w:val="0"/>
      <w:autoSpaceDE w:val="0"/>
      <w:autoSpaceDN w:val="0"/>
      <w:adjustRightInd w:val="0"/>
      <w:spacing w:before="360" w:after="240"/>
      <w:jc w:val="center"/>
      <w:outlineLvl w:val="3"/>
    </w:pPr>
    <w:rPr>
      <w:rFonts w:eastAsia="Times New Roman" w:cs="Narkisim"/>
      <w:b/>
      <w:bCs/>
      <w:sz w:val="24"/>
      <w:lang w:eastAsia="he-IL"/>
    </w:rPr>
  </w:style>
  <w:style w:type="paragraph" w:customStyle="1" w:styleId="afff7">
    <w:name w:val="כותרת המאמר"/>
    <w:basedOn w:val="a3"/>
    <w:next w:val="afff8"/>
    <w:link w:val="afff6"/>
    <w:rsid w:val="002C3D31"/>
    <w:pPr>
      <w:keepNext/>
      <w:spacing w:before="840" w:after="120" w:line="276" w:lineRule="auto"/>
      <w:jc w:val="center"/>
      <w:outlineLvl w:val="2"/>
    </w:pPr>
    <w:rPr>
      <w:rFonts w:eastAsia="Times New Roman" w:cs="Narkisim"/>
      <w:b/>
      <w:bCs/>
      <w:sz w:val="32"/>
      <w:szCs w:val="32"/>
      <w:lang w:eastAsia="he-IL"/>
    </w:rPr>
  </w:style>
  <w:style w:type="character" w:customStyle="1" w:styleId="afffa">
    <w:name w:val="כותרת שם כותב המאמר תו"/>
    <w:basedOn w:val="a4"/>
    <w:link w:val="afff8"/>
    <w:locked/>
    <w:rsid w:val="002C3D31"/>
    <w:rPr>
      <w:rFonts w:eastAsia="Times New Roman" w:cs="Narkisim"/>
      <w:b/>
      <w:bCs/>
      <w:sz w:val="24"/>
      <w:szCs w:val="28"/>
      <w:lang w:eastAsia="he-IL"/>
    </w:rPr>
  </w:style>
  <w:style w:type="paragraph" w:customStyle="1" w:styleId="afff9">
    <w:name w:val="כותרת תפקיד כותב המאמר"/>
    <w:basedOn w:val="a3"/>
    <w:next w:val="ae"/>
    <w:link w:val="afffb"/>
    <w:qFormat/>
    <w:rsid w:val="002C3D31"/>
    <w:pPr>
      <w:overflowPunct w:val="0"/>
      <w:autoSpaceDE w:val="0"/>
      <w:autoSpaceDN w:val="0"/>
      <w:adjustRightInd w:val="0"/>
      <w:spacing w:before="240" w:after="600" w:line="276" w:lineRule="auto"/>
      <w:jc w:val="center"/>
      <w:outlineLvl w:val="5"/>
    </w:pPr>
    <w:rPr>
      <w:rFonts w:eastAsia="Times New Roman" w:cs="Narkisim"/>
      <w:b/>
      <w:bCs/>
      <w:sz w:val="26"/>
      <w:szCs w:val="26"/>
      <w:lang w:eastAsia="he-IL"/>
    </w:rPr>
  </w:style>
  <w:style w:type="character" w:customStyle="1" w:styleId="afffb">
    <w:name w:val="כותרת תפקיד כותב המאמר תו"/>
    <w:basedOn w:val="a4"/>
    <w:link w:val="afff9"/>
    <w:locked/>
    <w:rsid w:val="002C3D31"/>
    <w:rPr>
      <w:rFonts w:eastAsia="Times New Roman" w:cs="Narkisim"/>
      <w:b/>
      <w:bCs/>
      <w:sz w:val="26"/>
      <w:szCs w:val="26"/>
      <w:lang w:eastAsia="he-IL"/>
    </w:rPr>
  </w:style>
  <w:style w:type="character" w:styleId="afffc">
    <w:name w:val="Book Title"/>
    <w:basedOn w:val="a4"/>
    <w:uiPriority w:val="33"/>
    <w:qFormat/>
    <w:rsid w:val="002C3D31"/>
    <w:rPr>
      <w:b/>
      <w:bCs/>
      <w:smallCaps/>
      <w:spacing w:val="5"/>
    </w:rPr>
  </w:style>
  <w:style w:type="paragraph" w:customStyle="1" w:styleId="afffd">
    <w:name w:val="פרדס"/>
    <w:basedOn w:val="a3"/>
    <w:link w:val="afffe"/>
    <w:qFormat/>
    <w:rsid w:val="002C3D31"/>
    <w:pPr>
      <w:spacing w:line="360" w:lineRule="auto"/>
    </w:pPr>
    <w:rPr>
      <w:rFonts w:ascii="Calibri" w:eastAsia="Calibri" w:hAnsi="Calibri"/>
      <w:sz w:val="28"/>
    </w:rPr>
  </w:style>
  <w:style w:type="character" w:customStyle="1" w:styleId="afffe">
    <w:name w:val="פרדס תו"/>
    <w:basedOn w:val="a4"/>
    <w:link w:val="afffd"/>
    <w:rsid w:val="002C3D31"/>
    <w:rPr>
      <w:rFonts w:ascii="Calibri" w:eastAsia="Calibri" w:hAnsi="Calibri" w:cs="FrankRuehl"/>
      <w:sz w:val="28"/>
      <w:szCs w:val="28"/>
    </w:rPr>
  </w:style>
  <w:style w:type="character" w:styleId="affff">
    <w:name w:val="annotation reference"/>
    <w:basedOn w:val="a4"/>
    <w:uiPriority w:val="99"/>
    <w:semiHidden/>
    <w:unhideWhenUsed/>
    <w:rsid w:val="002C3D31"/>
    <w:rPr>
      <w:sz w:val="16"/>
      <w:szCs w:val="16"/>
    </w:rPr>
  </w:style>
  <w:style w:type="paragraph" w:styleId="affff0">
    <w:name w:val="annotation text"/>
    <w:basedOn w:val="a3"/>
    <w:link w:val="affff1"/>
    <w:uiPriority w:val="99"/>
    <w:semiHidden/>
    <w:unhideWhenUsed/>
    <w:rsid w:val="002C3D31"/>
    <w:rPr>
      <w:sz w:val="20"/>
      <w:szCs w:val="20"/>
    </w:rPr>
  </w:style>
  <w:style w:type="character" w:customStyle="1" w:styleId="affff1">
    <w:name w:val="טקסט הערה תו"/>
    <w:basedOn w:val="a4"/>
    <w:link w:val="affff0"/>
    <w:uiPriority w:val="99"/>
    <w:semiHidden/>
    <w:rsid w:val="002C3D31"/>
    <w:rPr>
      <w:rFonts w:cs="FrankRuehl"/>
    </w:rPr>
  </w:style>
  <w:style w:type="paragraph" w:styleId="affff2">
    <w:name w:val="annotation subject"/>
    <w:basedOn w:val="affff0"/>
    <w:next w:val="affff0"/>
    <w:link w:val="affff3"/>
    <w:uiPriority w:val="99"/>
    <w:semiHidden/>
    <w:unhideWhenUsed/>
    <w:rsid w:val="002C3D31"/>
    <w:rPr>
      <w:b/>
      <w:bCs/>
    </w:rPr>
  </w:style>
  <w:style w:type="character" w:customStyle="1" w:styleId="affff3">
    <w:name w:val="נושא הערה תו"/>
    <w:basedOn w:val="affff1"/>
    <w:link w:val="affff2"/>
    <w:uiPriority w:val="99"/>
    <w:semiHidden/>
    <w:rsid w:val="002C3D31"/>
    <w:rPr>
      <w:rFonts w:cs="FrankRuehl"/>
      <w:b/>
      <w:bCs/>
    </w:rPr>
  </w:style>
  <w:style w:type="paragraph" w:styleId="affff4">
    <w:name w:val="Revision"/>
    <w:hidden/>
    <w:uiPriority w:val="99"/>
    <w:semiHidden/>
    <w:rsid w:val="002C3D31"/>
    <w:rPr>
      <w:rFonts w:cs="FrankRuehl"/>
      <w:sz w:val="22"/>
      <w:szCs w:val="28"/>
    </w:rPr>
  </w:style>
  <w:style w:type="character" w:customStyle="1" w:styleId="default">
    <w:name w:val="default"/>
    <w:basedOn w:val="a4"/>
    <w:rsid w:val="002C3D31"/>
    <w:rPr>
      <w:rFonts w:ascii="Times New Roman" w:hAnsi="Times New Roman" w:cs="Times New Roman" w:hint="default"/>
      <w:sz w:val="26"/>
      <w:szCs w:val="26"/>
    </w:rPr>
  </w:style>
  <w:style w:type="paragraph" w:customStyle="1" w:styleId="P00">
    <w:name w:val="P00"/>
    <w:rsid w:val="002C3D31"/>
    <w:pPr>
      <w:widowControl w:val="0"/>
      <w:tabs>
        <w:tab w:val="left" w:pos="624"/>
        <w:tab w:val="left" w:pos="1021"/>
        <w:tab w:val="left" w:pos="1474"/>
        <w:tab w:val="left" w:pos="1928"/>
        <w:tab w:val="left" w:pos="2381"/>
        <w:tab w:val="left" w:pos="2835"/>
        <w:tab w:val="right" w:leader="dot" w:pos="6259"/>
      </w:tabs>
      <w:suppressAutoHyphens/>
      <w:autoSpaceDE w:val="0"/>
      <w:autoSpaceDN w:val="0"/>
      <w:bidi/>
      <w:spacing w:before="60"/>
      <w:ind w:left="2835"/>
      <w:jc w:val="both"/>
    </w:pPr>
    <w:rPr>
      <w:rFonts w:eastAsia="Times New Roman" w:cs="FrankRuehl"/>
      <w:noProof/>
      <w:szCs w:val="26"/>
      <w:lang w:eastAsia="he-IL"/>
    </w:rPr>
  </w:style>
  <w:style w:type="table" w:customStyle="1" w:styleId="19">
    <w:name w:val="טבלת רשת1"/>
    <w:basedOn w:val="a5"/>
    <w:next w:val="afff4"/>
    <w:uiPriority w:val="59"/>
    <w:rsid w:val="00A475AE"/>
    <w:rPr>
      <w:rFonts w:asciiTheme="minorHAnsi" w:hAnsiTheme="minorHAnsi" w:cstheme="minorBidi"/>
      <w:sz w:val="22"/>
      <w:szCs w:val="22"/>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Bodytext2">
    <w:name w:val="Body text (2)"/>
    <w:basedOn w:val="a3"/>
    <w:link w:val="Bodytext20"/>
    <w:rsid w:val="00A475AE"/>
    <w:pPr>
      <w:widowControl w:val="0"/>
      <w:shd w:val="clear" w:color="auto" w:fill="FFFFFF"/>
      <w:tabs>
        <w:tab w:val="left" w:pos="6038"/>
      </w:tabs>
      <w:spacing w:before="120" w:line="360" w:lineRule="exact"/>
    </w:pPr>
    <w:rPr>
      <w:rFonts w:ascii="David" w:eastAsia="Calibri" w:hAnsi="Calibri" w:cs="David"/>
      <w:b/>
      <w:bCs/>
      <w:sz w:val="28"/>
      <w:szCs w:val="26"/>
    </w:rPr>
  </w:style>
  <w:style w:type="character" w:customStyle="1" w:styleId="Bodytext20">
    <w:name w:val="Body text (2)_"/>
    <w:basedOn w:val="a4"/>
    <w:link w:val="Bodytext2"/>
    <w:rsid w:val="00A475AE"/>
    <w:rPr>
      <w:rFonts w:ascii="David" w:eastAsia="Calibri" w:hAnsi="Calibri" w:cs="David"/>
      <w:b/>
      <w:bCs/>
      <w:sz w:val="28"/>
      <w:szCs w:val="26"/>
      <w:shd w:val="clear" w:color="auto" w:fill="FFFFFF"/>
    </w:rPr>
  </w:style>
  <w:style w:type="character" w:customStyle="1" w:styleId="Ruller4">
    <w:name w:val="Ruller4 תו"/>
    <w:link w:val="Ruller40"/>
    <w:locked/>
    <w:rsid w:val="00A475AE"/>
    <w:rPr>
      <w:rFonts w:ascii="Arial TUR" w:hAnsi="Arial TUR" w:cs="FrankRuehl"/>
      <w:spacing w:val="10"/>
      <w:szCs w:val="28"/>
    </w:rPr>
  </w:style>
  <w:style w:type="paragraph" w:customStyle="1" w:styleId="Ruller40">
    <w:name w:val="Ruller4"/>
    <w:basedOn w:val="a3"/>
    <w:link w:val="Ruller4"/>
    <w:rsid w:val="00A475AE"/>
    <w:pPr>
      <w:tabs>
        <w:tab w:val="left" w:pos="800"/>
      </w:tabs>
      <w:overflowPunct w:val="0"/>
      <w:autoSpaceDE w:val="0"/>
      <w:autoSpaceDN w:val="0"/>
      <w:adjustRightInd w:val="0"/>
      <w:spacing w:line="360" w:lineRule="auto"/>
    </w:pPr>
    <w:rPr>
      <w:rFonts w:ascii="Arial TUR" w:hAnsi="Arial TUR"/>
      <w:spacing w:val="10"/>
      <w:sz w:val="20"/>
    </w:rPr>
  </w:style>
  <w:style w:type="paragraph" w:customStyle="1" w:styleId="Ruller5">
    <w:name w:val="Ruller5"/>
    <w:basedOn w:val="a3"/>
    <w:rsid w:val="00A475AE"/>
    <w:pPr>
      <w:overflowPunct w:val="0"/>
      <w:autoSpaceDE w:val="0"/>
      <w:autoSpaceDN w:val="0"/>
      <w:adjustRightInd w:val="0"/>
      <w:ind w:left="1642" w:right="1282"/>
    </w:pPr>
    <w:rPr>
      <w:rFonts w:ascii="Arial TUR" w:eastAsia="Times New Roman" w:hAnsi="Arial TUR"/>
      <w:spacing w:val="10"/>
    </w:rPr>
  </w:style>
  <w:style w:type="paragraph" w:customStyle="1" w:styleId="Ruller41">
    <w:name w:val="Ruller4 אלפביתי"/>
    <w:basedOn w:val="Ruller40"/>
    <w:next w:val="Ruller40"/>
    <w:rsid w:val="00A475AE"/>
  </w:style>
  <w:style w:type="numbering" w:customStyle="1" w:styleId="1a">
    <w:name w:val="ללא רשימה1"/>
    <w:next w:val="a6"/>
    <w:uiPriority w:val="99"/>
    <w:semiHidden/>
    <w:unhideWhenUsed/>
    <w:rsid w:val="00A475AE"/>
  </w:style>
  <w:style w:type="character" w:customStyle="1" w:styleId="st">
    <w:name w:val="st"/>
    <w:basedOn w:val="a4"/>
    <w:rsid w:val="00A475AE"/>
  </w:style>
  <w:style w:type="paragraph" w:customStyle="1" w:styleId="ruller400">
    <w:name w:val="ruller40"/>
    <w:basedOn w:val="a3"/>
    <w:rsid w:val="00A475AE"/>
    <w:pPr>
      <w:overflowPunct w:val="0"/>
      <w:autoSpaceDE w:val="0"/>
      <w:autoSpaceDN w:val="0"/>
      <w:spacing w:line="360" w:lineRule="auto"/>
    </w:pPr>
    <w:rPr>
      <w:rFonts w:ascii="Arial TUR" w:eastAsia="Times New Roman" w:hAnsi="Arial TUR" w:cs="Arial TUR"/>
      <w:spacing w:val="10"/>
      <w:szCs w:val="22"/>
    </w:rPr>
  </w:style>
  <w:style w:type="paragraph" w:customStyle="1" w:styleId="ruller50">
    <w:name w:val="ruller5"/>
    <w:basedOn w:val="a3"/>
    <w:rsid w:val="00A475AE"/>
    <w:pPr>
      <w:overflowPunct w:val="0"/>
      <w:autoSpaceDE w:val="0"/>
      <w:autoSpaceDN w:val="0"/>
      <w:ind w:left="1642" w:right="1282"/>
    </w:pPr>
    <w:rPr>
      <w:rFonts w:ascii="Arial TUR" w:eastAsia="Times New Roman" w:hAnsi="Arial TUR" w:cs="Arial TUR"/>
      <w:spacing w:val="10"/>
      <w:szCs w:val="22"/>
    </w:rPr>
  </w:style>
  <w:style w:type="character" w:customStyle="1" w:styleId="ruller410">
    <w:name w:val="ruller41"/>
    <w:basedOn w:val="a4"/>
    <w:rsid w:val="00A475AE"/>
    <w:rPr>
      <w:rFonts w:ascii="Arial TUR" w:hAnsi="Arial TUR" w:cs="Arial TUR" w:hint="default"/>
      <w:spacing w:val="10"/>
    </w:rPr>
  </w:style>
  <w:style w:type="paragraph" w:styleId="affff5">
    <w:name w:val="Intense Quote"/>
    <w:basedOn w:val="a3"/>
    <w:next w:val="a3"/>
    <w:link w:val="affff6"/>
    <w:uiPriority w:val="30"/>
    <w:qFormat/>
    <w:rsid w:val="00D9301F"/>
    <w:pPr>
      <w:pBdr>
        <w:bottom w:val="single" w:sz="4" w:space="4" w:color="4F81BD" w:themeColor="accent1"/>
      </w:pBdr>
      <w:spacing w:before="200" w:after="280"/>
      <w:ind w:left="936" w:right="936"/>
    </w:pPr>
    <w:rPr>
      <w:b/>
      <w:bCs/>
      <w:i/>
      <w:iCs/>
      <w:color w:val="4F81BD" w:themeColor="accent1"/>
    </w:rPr>
  </w:style>
  <w:style w:type="character" w:customStyle="1" w:styleId="affff6">
    <w:name w:val="הצעת מחיר חזקה תו"/>
    <w:basedOn w:val="a4"/>
    <w:link w:val="affff5"/>
    <w:uiPriority w:val="30"/>
    <w:rsid w:val="00D9301F"/>
    <w:rPr>
      <w:rFonts w:cs="FrankRuehl"/>
      <w:b/>
      <w:bCs/>
      <w:i/>
      <w:iCs/>
      <w:color w:val="4F81BD" w:themeColor="accent1"/>
      <w:sz w:val="22"/>
      <w:szCs w:val="28"/>
    </w:rPr>
  </w:style>
  <w:style w:type="numbering" w:customStyle="1" w:styleId="21">
    <w:name w:val="ללא רשימה2"/>
    <w:next w:val="a6"/>
    <w:uiPriority w:val="99"/>
    <w:semiHidden/>
    <w:unhideWhenUsed/>
    <w:rsid w:val="00462FE4"/>
  </w:style>
  <w:style w:type="table" w:customStyle="1" w:styleId="22">
    <w:name w:val="טבלת רשת2"/>
    <w:basedOn w:val="a5"/>
    <w:next w:val="afff4"/>
    <w:uiPriority w:val="59"/>
    <w:rsid w:val="00462FE4"/>
    <w:rPr>
      <w:rFonts w:ascii="Calibri" w:eastAsia="Calibri" w:hAnsi="Calibri" w:cs="Arial"/>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11">
    <w:name w:val="Table Grid11"/>
    <w:basedOn w:val="a5"/>
    <w:next w:val="afff4"/>
    <w:uiPriority w:val="59"/>
    <w:rsid w:val="00462FE4"/>
    <w:rPr>
      <w:rFonts w:ascii="Calibri" w:hAnsi="Calibri" w:cs="Arial"/>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b">
    <w:name w:val="כותרת [א.] צד1"/>
    <w:basedOn w:val="a3"/>
    <w:next w:val="ae"/>
    <w:qFormat/>
    <w:rsid w:val="00C82FC0"/>
    <w:pPr>
      <w:keepNext/>
      <w:tabs>
        <w:tab w:val="left" w:pos="397"/>
        <w:tab w:val="num" w:pos="794"/>
      </w:tabs>
      <w:spacing w:before="360" w:after="120" w:line="276" w:lineRule="auto"/>
      <w:ind w:left="397" w:hanging="397"/>
      <w:outlineLvl w:val="3"/>
    </w:pPr>
    <w:rPr>
      <w:rFonts w:ascii="Arial" w:eastAsia="Times New Roman" w:hAnsi="Arial" w:cs="Narkisim"/>
      <w:b/>
      <w:bCs/>
      <w:sz w:val="24"/>
      <w:szCs w:val="24"/>
    </w:rPr>
  </w:style>
  <w:style w:type="character" w:styleId="affff7">
    <w:name w:val="Strong"/>
    <w:basedOn w:val="a4"/>
    <w:uiPriority w:val="22"/>
    <w:qFormat/>
    <w:rsid w:val="006D5C2D"/>
    <w:rPr>
      <w:b/>
      <w:bCs/>
    </w:rPr>
  </w:style>
  <w:style w:type="character" w:customStyle="1" w:styleId="big-number">
    <w:name w:val="big-number"/>
    <w:basedOn w:val="default"/>
    <w:rsid w:val="006D5C2D"/>
    <w:rPr>
      <w:rFonts w:ascii="Times New Roman" w:hAnsi="Times New Roman" w:cs="Miriam" w:hint="default"/>
      <w:sz w:val="20"/>
      <w:szCs w:val="32"/>
    </w:rPr>
  </w:style>
  <w:style w:type="paragraph" w:customStyle="1" w:styleId="P22">
    <w:name w:val="P22"/>
    <w:basedOn w:val="P00"/>
    <w:rsid w:val="007E3D99"/>
    <w:pPr>
      <w:tabs>
        <w:tab w:val="clear" w:pos="624"/>
        <w:tab w:val="clear" w:pos="1021"/>
      </w:tabs>
      <w:ind w:right="1021"/>
    </w:pPr>
    <w:rPr>
      <w:rFonts w:cs="Times New Roman"/>
    </w:rPr>
  </w:style>
  <w:style w:type="character" w:customStyle="1" w:styleId="Bodytext2Exact">
    <w:name w:val="Body text (2) Exact"/>
    <w:basedOn w:val="a4"/>
    <w:rsid w:val="007E3D99"/>
    <w:rPr>
      <w:rFonts w:ascii="Times New Roman" w:hAnsi="Times New Roman" w:cs="Times New Roman"/>
      <w:sz w:val="17"/>
      <w:szCs w:val="17"/>
      <w:u w:val="none"/>
    </w:rPr>
  </w:style>
  <w:style w:type="character" w:customStyle="1" w:styleId="QuoteChar1">
    <w:name w:val="Quote Char1"/>
    <w:basedOn w:val="a4"/>
    <w:uiPriority w:val="29"/>
    <w:rsid w:val="001746BB"/>
    <w:rPr>
      <w:rFonts w:ascii="Times New Roman" w:hAnsi="Times New Roman" w:cs="FrankRuehl"/>
      <w:i/>
      <w:color w:val="000000" w:themeColor="text1"/>
      <w:kern w:val="28"/>
      <w:sz w:val="22"/>
      <w:szCs w:val="28"/>
    </w:rPr>
  </w:style>
  <w:style w:type="paragraph" w:customStyle="1" w:styleId="1c">
    <w:name w:val="ציטוט1"/>
    <w:basedOn w:val="a3"/>
    <w:rsid w:val="001746BB"/>
    <w:pPr>
      <w:snapToGrid w:val="0"/>
      <w:spacing w:after="120"/>
      <w:ind w:left="851" w:right="851"/>
    </w:pPr>
    <w:rPr>
      <w:rFonts w:ascii="Calibri" w:eastAsia="Times New Roman" w:hAnsi="Calibri"/>
      <w:i/>
      <w:color w:val="000000"/>
      <w:kern w:val="28"/>
    </w:rPr>
  </w:style>
</w:styles>
</file>

<file path=word/webSettings.xml><?xml version="1.0" encoding="utf-8"?>
<w:webSettings xmlns:r="http://schemas.openxmlformats.org/officeDocument/2006/relationships" xmlns:w="http://schemas.openxmlformats.org/wordprocessingml/2006/main">
  <w:divs>
    <w:div w:id="175048571">
      <w:bodyDiv w:val="1"/>
      <w:marLeft w:val="0"/>
      <w:marRight w:val="0"/>
      <w:marTop w:val="0"/>
      <w:marBottom w:val="0"/>
      <w:divBdr>
        <w:top w:val="none" w:sz="0" w:space="0" w:color="auto"/>
        <w:left w:val="none" w:sz="0" w:space="0" w:color="auto"/>
        <w:bottom w:val="none" w:sz="0" w:space="0" w:color="auto"/>
        <w:right w:val="none" w:sz="0" w:space="0" w:color="auto"/>
      </w:divBdr>
    </w:div>
    <w:div w:id="20404296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1.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www.nevo.co.il/law/72138" TargetMode="External"/><Relationship Id="rId4" Type="http://schemas.openxmlformats.org/officeDocument/2006/relationships/styles" Target="styles.xml"/><Relationship Id="rId9" Type="http://schemas.openxmlformats.org/officeDocument/2006/relationships/hyperlink" Target="http://www.nevo.co.il/law/72138/2" TargetMode="Externa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AECAFA66EC524ABEBE0AC3B10121ECAB"/>
        <w:category>
          <w:name w:val="כללי"/>
          <w:gallery w:val="placeholder"/>
        </w:category>
        <w:types>
          <w:type w:val="bbPlcHdr"/>
        </w:types>
        <w:behaviors>
          <w:behavior w:val="content"/>
        </w:behaviors>
        <w:guid w:val="{C4BABE4D-51F4-4D7A-932D-42BEF61850D8}"/>
      </w:docPartPr>
      <w:docPartBody>
        <w:p w:rsidR="00C947B8" w:rsidRDefault="00D01455" w:rsidP="00D01455">
          <w:pPr>
            <w:pStyle w:val="AECAFA66EC524ABEBE0AC3B10121ECAB"/>
          </w:pPr>
          <w:r w:rsidRPr="00424C58">
            <w:rPr>
              <w:rStyle w:val="a3"/>
            </w:rPr>
            <w:t>Click here to enter text.</w:t>
          </w:r>
        </w:p>
      </w:docPartBody>
    </w:docPart>
  </w:docParts>
</w:glossaryDocument>
</file>

<file path=word/glossary/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FrankRuehl">
    <w:altName w:val="Times New Roman"/>
    <w:panose1 w:val="020E0503060101010101"/>
    <w:charset w:val="00"/>
    <w:family w:val="swiss"/>
    <w:pitch w:val="variable"/>
    <w:sig w:usb0="00000803" w:usb1="00000000" w:usb2="00000000" w:usb3="00000000" w:csb0="0000002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Narkisim">
    <w:altName w:val="Malgun Gothic Semilight"/>
    <w:panose1 w:val="020E0502050101010101"/>
    <w:charset w:val="00"/>
    <w:family w:val="swiss"/>
    <w:pitch w:val="variable"/>
    <w:sig w:usb0="00000803" w:usb1="00000000" w:usb2="00000000" w:usb3="00000000" w:csb0="00000021" w:csb1="00000000"/>
  </w:font>
  <w:font w:name="Miriam">
    <w:altName w:val="Malgun Gothic Semilight"/>
    <w:panose1 w:val="020B0502050101010101"/>
    <w:charset w:val="00"/>
    <w:family w:val="swiss"/>
    <w:pitch w:val="variable"/>
    <w:sig w:usb0="00000803" w:usb1="00000000" w:usb2="00000000" w:usb3="00000000" w:csb0="00000021" w:csb1="00000000"/>
  </w:font>
  <w:font w:name="Cambria">
    <w:panose1 w:val="02040503050406030204"/>
    <w:charset w:val="00"/>
    <w:family w:val="roman"/>
    <w:pitch w:val="variable"/>
    <w:sig w:usb0="E00006FF" w:usb1="420024FF" w:usb2="02000000" w:usb3="00000000" w:csb0="0000019F" w:csb1="00000000"/>
  </w:font>
  <w:font w:name="David">
    <w:panose1 w:val="020E0502060401010101"/>
    <w:charset w:val="00"/>
    <w:family w:val="swiss"/>
    <w:pitch w:val="variable"/>
    <w:sig w:usb0="00000803" w:usb1="00000000" w:usb2="00000000" w:usb3="00000000" w:csb0="0000002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B1"/>
    <w:family w:val="swiss"/>
    <w:notTrueType/>
    <w:pitch w:val="variable"/>
    <w:sig w:usb0="00000801" w:usb1="00000000" w:usb2="00000000" w:usb3="00000000" w:csb0="00000020" w:csb1="00000000"/>
  </w:font>
  <w:font w:name="Arial TUR">
    <w:altName w:val="Arial"/>
    <w:charset w:val="00"/>
    <w:family w:val="swiss"/>
    <w:pitch w:val="variable"/>
    <w:sig w:usb0="E0002EFF" w:usb1="C000785B" w:usb2="00000009" w:usb3="00000000" w:csb0="000001F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revisionView w:comments="0"/>
  <w:defaultTabStop w:val="720"/>
  <w:characterSpacingControl w:val="doNotCompress"/>
  <w:compat>
    <w:useFELayout/>
  </w:compat>
  <w:rsids>
    <w:rsidRoot w:val="00D01455"/>
    <w:rsid w:val="000522B7"/>
    <w:rsid w:val="001169E2"/>
    <w:rsid w:val="00140660"/>
    <w:rsid w:val="00180FC9"/>
    <w:rsid w:val="003D115C"/>
    <w:rsid w:val="003D13F4"/>
    <w:rsid w:val="00410C7A"/>
    <w:rsid w:val="004B34DE"/>
    <w:rsid w:val="0053113F"/>
    <w:rsid w:val="005E305E"/>
    <w:rsid w:val="00605458"/>
    <w:rsid w:val="00633F1F"/>
    <w:rsid w:val="006A5BE2"/>
    <w:rsid w:val="006B1D42"/>
    <w:rsid w:val="006C6492"/>
    <w:rsid w:val="00717A9C"/>
    <w:rsid w:val="007A1192"/>
    <w:rsid w:val="00822804"/>
    <w:rsid w:val="00895468"/>
    <w:rsid w:val="00906489"/>
    <w:rsid w:val="009E7144"/>
    <w:rsid w:val="00A54978"/>
    <w:rsid w:val="00A81849"/>
    <w:rsid w:val="00B304E4"/>
    <w:rsid w:val="00B751AD"/>
    <w:rsid w:val="00C947B8"/>
    <w:rsid w:val="00D01455"/>
    <w:rsid w:val="00E205E5"/>
    <w:rsid w:val="00E52CC3"/>
    <w:rsid w:val="00F06506"/>
    <w:rsid w:val="00F1226C"/>
    <w:rsid w:val="00F76A81"/>
    <w:rsid w:val="00F95473"/>
  </w:rsids>
  <m:mathPr>
    <m:mathFont m:val="Cambria Math"/>
    <m:brkBin m:val="before"/>
    <m:brkBinSub m:val="--"/>
    <m:smallFrac/>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01455"/>
    <w:pPr>
      <w:bidi/>
    </w:pPr>
    <w:rPr>
      <w:rFonts w:cs="Times New Roman"/>
      <w:sz w:val="3276"/>
      <w:szCs w:val="327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E52CC3"/>
    <w:rPr>
      <w:color w:val="808080"/>
    </w:rPr>
  </w:style>
  <w:style w:type="paragraph" w:customStyle="1" w:styleId="AECAFA66EC524ABEBE0AC3B10121ECAB">
    <w:name w:val="AECAFA66EC524ABEBE0AC3B10121ECAB"/>
    <w:rsid w:val="00D01455"/>
    <w:pPr>
      <w:bidi/>
    </w:pPr>
  </w:style>
</w:styles>
</file>

<file path=word/glossary/webSettings.xml><?xml version="1.0" encoding="utf-8"?>
<w:webSettings xmlns:r="http://schemas.openxmlformats.org/officeDocument/2006/relationships" xmlns:w="http://schemas.openxmlformats.org/wordprocessingml/2006/main">
  <w:optimizeForBrowser/>
  <w:allowPNG/>
</w:webSetting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2CE85A-E8DE-430B-B6A4-6E706F0A03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1844</Words>
  <Characters>9223</Characters>
  <Application>Microsoft Office Word</Application>
  <DocSecurity>0</DocSecurity>
  <Lines>76</Lines>
  <Paragraphs>22</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כתובה (ופיצויי גירושין)</vt:lpstr>
      <vt:lpstr>חלוקת רכוש</vt:lpstr>
    </vt:vector>
  </TitlesOfParts>
  <Company>HP</Company>
  <LinksUpToDate>false</LinksUpToDate>
  <CharactersWithSpaces>11045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כתובה (ופיצויי גירושין)</dc:title>
  <dc:creator>הרב אהרן דרשביץ – אב"ד;הרב עובדיה חפץ יעקב;הרב אברהם צבי גאופטמן</dc:creator>
  <cp:keywords>אישור הסכם, מחילה, וויתור, מתן הגט, תום לב, חזרה</cp:keywords>
  <cp:lastModifiedBy>pro</cp:lastModifiedBy>
  <cp:revision>2</cp:revision>
  <dcterms:created xsi:type="dcterms:W3CDTF">2021-09-12T17:38:00Z</dcterms:created>
  <dcterms:modified xsi:type="dcterms:W3CDTF">2021-09-12T17:38:00Z</dcterms:modified>
</cp:coreProperties>
</file>