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76" w:rsidRDefault="00F67E76">
      <w:pPr>
        <w:pStyle w:val="big-header"/>
        <w:ind w:left="0" w:right="1134"/>
        <w:rPr>
          <w:rFonts w:cs="FrankRuehl"/>
          <w:sz w:val="32"/>
          <w:rtl/>
        </w:rPr>
      </w:pPr>
      <w:r>
        <w:rPr>
          <w:rFonts w:cs="FrankRuehl"/>
          <w:sz w:val="32"/>
          <w:rtl/>
        </w:rPr>
        <w:t>נישואין וגירושין</w:t>
      </w:r>
    </w:p>
    <w:p w:rsidR="00F67E76" w:rsidRDefault="00F67E76">
      <w:pPr>
        <w:pStyle w:val="big-header"/>
        <w:ind w:left="0" w:right="1134"/>
        <w:rPr>
          <w:rFonts w:cs="FrankRuehl" w:hint="cs"/>
          <w:sz w:val="32"/>
          <w:rtl/>
        </w:rPr>
      </w:pPr>
      <w:r>
        <w:rPr>
          <w:rFonts w:cs="FrankRuehl"/>
          <w:sz w:val="32"/>
          <w:rtl/>
        </w:rPr>
        <w:t>חוק שיפוט בתי דין רבניים (נישואין וגירושין), תשי"ג-1953</w:t>
      </w:r>
    </w:p>
    <w:p w:rsidR="00F67E76" w:rsidRDefault="00F67E76">
      <w:pPr>
        <w:pStyle w:val="big-header"/>
        <w:ind w:left="0" w:right="1134"/>
        <w:rPr>
          <w:rFonts w:cs="FrankRuehl" w:hint="cs"/>
          <w:color w:val="008000"/>
          <w:sz w:val="32"/>
          <w:rtl/>
        </w:rPr>
      </w:pPr>
      <w:r>
        <w:rPr>
          <w:rFonts w:cs="FrankRuehl" w:hint="cs"/>
          <w:color w:val="008000"/>
          <w:sz w:val="32"/>
          <w:rtl/>
        </w:rPr>
        <w:t>רבדים בחקיקה</w:t>
      </w:r>
    </w:p>
    <w:p w:rsidR="00F67E76" w:rsidRDefault="00F67E76">
      <w:pPr>
        <w:pStyle w:val="big-header"/>
        <w:ind w:left="0" w:right="1134"/>
        <w:rPr>
          <w:rFonts w:cs="FrankRuehl"/>
          <w:sz w:val="32"/>
          <w:rtl/>
        </w:rPr>
      </w:pPr>
      <w:r>
        <w:rPr>
          <w:rFonts w:cs="FrankRuehl"/>
          <w:sz w:val="32"/>
          <w:rtl/>
        </w:rPr>
        <w:t>תוכן ענינים</w:t>
      </w:r>
    </w:p>
    <w:tbl>
      <w:tblPr>
        <w:tblW w:w="8333" w:type="dxa"/>
        <w:jc w:val="right"/>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67"/>
        <w:gridCol w:w="5669"/>
        <w:gridCol w:w="1247"/>
      </w:tblGrid>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Seif0</w:instrText>
            </w:r>
            <w:r>
              <w:rPr>
                <w:sz w:val="24"/>
                <w:rtl/>
              </w:rPr>
              <w:instrText xml:space="preserve"> </w:instrText>
            </w:r>
            <w:r>
              <w:rPr>
                <w:sz w:val="24"/>
                <w:rtl/>
              </w:rPr>
              <w:fldChar w:fldCharType="separate"/>
            </w:r>
            <w:r>
              <w:rPr>
                <w:sz w:val="24"/>
                <w:rtl/>
              </w:rPr>
              <w:t>2</w:t>
            </w:r>
            <w:r>
              <w:rPr>
                <w:sz w:val="24"/>
                <w:rtl/>
              </w:rPr>
              <w:fldChar w:fldCharType="end"/>
            </w:r>
          </w:p>
        </w:tc>
        <w:tc>
          <w:tcPr>
            <w:tcW w:w="567" w:type="dxa"/>
          </w:tcPr>
          <w:p w:rsidR="00F67E76" w:rsidRDefault="00F67E76">
            <w:pPr>
              <w:spacing w:line="240" w:lineRule="auto"/>
              <w:jc w:val="left"/>
              <w:rPr>
                <w:sz w:val="24"/>
              </w:rPr>
            </w:pPr>
            <w:hyperlink w:anchor="Seif0" w:tooltip="שיפוט בעניני  נישואין וגירושין" w:history="1">
              <w:r>
                <w:rPr>
                  <w:rStyle w:val="Hyperlink"/>
                </w:rPr>
                <w:t>Go</w:t>
              </w:r>
            </w:hyperlink>
          </w:p>
        </w:tc>
        <w:tc>
          <w:tcPr>
            <w:tcW w:w="5669" w:type="dxa"/>
          </w:tcPr>
          <w:p w:rsidR="00F67E76" w:rsidRDefault="00F67E76">
            <w:pPr>
              <w:spacing w:line="240" w:lineRule="auto"/>
              <w:jc w:val="left"/>
              <w:rPr>
                <w:sz w:val="24"/>
                <w:rtl/>
              </w:rPr>
            </w:pPr>
            <w:r>
              <w:rPr>
                <w:sz w:val="24"/>
                <w:rtl/>
              </w:rPr>
              <w:t>שיפוט בעניני  נישואין וגירושין</w:t>
            </w:r>
          </w:p>
        </w:tc>
        <w:tc>
          <w:tcPr>
            <w:tcW w:w="1247" w:type="dxa"/>
          </w:tcPr>
          <w:p w:rsidR="00F67E76" w:rsidRDefault="00F67E76">
            <w:pPr>
              <w:spacing w:line="240" w:lineRule="auto"/>
              <w:jc w:val="left"/>
              <w:rPr>
                <w:sz w:val="24"/>
              </w:rPr>
            </w:pPr>
            <w:r>
              <w:rPr>
                <w:sz w:val="24"/>
                <w:rtl/>
              </w:rPr>
              <w:t xml:space="preserve">סעיף 1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Seif1</w:instrText>
            </w:r>
            <w:r>
              <w:rPr>
                <w:sz w:val="24"/>
                <w:rtl/>
              </w:rPr>
              <w:instrText xml:space="preserve"> </w:instrText>
            </w:r>
            <w:r>
              <w:rPr>
                <w:sz w:val="24"/>
                <w:rtl/>
              </w:rPr>
              <w:fldChar w:fldCharType="separate"/>
            </w:r>
            <w:r>
              <w:rPr>
                <w:sz w:val="24"/>
                <w:rtl/>
              </w:rPr>
              <w:t>2</w:t>
            </w:r>
            <w:r>
              <w:rPr>
                <w:sz w:val="24"/>
                <w:rtl/>
              </w:rPr>
              <w:fldChar w:fldCharType="end"/>
            </w:r>
          </w:p>
        </w:tc>
        <w:tc>
          <w:tcPr>
            <w:tcW w:w="567" w:type="dxa"/>
          </w:tcPr>
          <w:p w:rsidR="00F67E76" w:rsidRDefault="00F67E76">
            <w:pPr>
              <w:spacing w:line="240" w:lineRule="auto"/>
              <w:jc w:val="left"/>
              <w:rPr>
                <w:sz w:val="24"/>
              </w:rPr>
            </w:pPr>
            <w:hyperlink w:anchor="Seif1" w:tooltip="עריכת נישואין וגירושין" w:history="1">
              <w:r>
                <w:rPr>
                  <w:rStyle w:val="Hyperlink"/>
                </w:rPr>
                <w:t>Go</w:t>
              </w:r>
            </w:hyperlink>
          </w:p>
        </w:tc>
        <w:tc>
          <w:tcPr>
            <w:tcW w:w="5669" w:type="dxa"/>
          </w:tcPr>
          <w:p w:rsidR="00F67E76" w:rsidRDefault="00F67E76">
            <w:pPr>
              <w:spacing w:line="240" w:lineRule="auto"/>
              <w:jc w:val="left"/>
              <w:rPr>
                <w:sz w:val="24"/>
                <w:rtl/>
              </w:rPr>
            </w:pPr>
            <w:r>
              <w:rPr>
                <w:sz w:val="24"/>
                <w:rtl/>
              </w:rPr>
              <w:t>עריכת נישואין וגירושין</w:t>
            </w:r>
          </w:p>
        </w:tc>
        <w:tc>
          <w:tcPr>
            <w:tcW w:w="1247" w:type="dxa"/>
          </w:tcPr>
          <w:p w:rsidR="00F67E76" w:rsidRDefault="00F67E76">
            <w:pPr>
              <w:spacing w:line="240" w:lineRule="auto"/>
              <w:jc w:val="left"/>
              <w:rPr>
                <w:sz w:val="24"/>
              </w:rPr>
            </w:pPr>
            <w:r>
              <w:rPr>
                <w:sz w:val="24"/>
                <w:rtl/>
              </w:rPr>
              <w:t xml:space="preserve">סעיף 2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Seif2</w:instrText>
            </w:r>
            <w:r>
              <w:rPr>
                <w:sz w:val="24"/>
                <w:rtl/>
              </w:rPr>
              <w:instrText xml:space="preserve"> </w:instrText>
            </w:r>
            <w:r>
              <w:rPr>
                <w:sz w:val="24"/>
                <w:rtl/>
              </w:rPr>
              <w:fldChar w:fldCharType="separate"/>
            </w:r>
            <w:r>
              <w:rPr>
                <w:sz w:val="24"/>
                <w:rtl/>
              </w:rPr>
              <w:t>2</w:t>
            </w:r>
            <w:r>
              <w:rPr>
                <w:sz w:val="24"/>
                <w:rtl/>
              </w:rPr>
              <w:fldChar w:fldCharType="end"/>
            </w:r>
          </w:p>
        </w:tc>
        <w:tc>
          <w:tcPr>
            <w:tcW w:w="567" w:type="dxa"/>
          </w:tcPr>
          <w:p w:rsidR="00F67E76" w:rsidRDefault="00F67E76">
            <w:pPr>
              <w:spacing w:line="240" w:lineRule="auto"/>
              <w:jc w:val="left"/>
              <w:rPr>
                <w:sz w:val="24"/>
              </w:rPr>
            </w:pPr>
            <w:hyperlink w:anchor="Seif2" w:tooltip="שיפוט אגב גירושין" w:history="1">
              <w:r>
                <w:rPr>
                  <w:rStyle w:val="Hyperlink"/>
                </w:rPr>
                <w:t>Go</w:t>
              </w:r>
            </w:hyperlink>
          </w:p>
        </w:tc>
        <w:tc>
          <w:tcPr>
            <w:tcW w:w="5669" w:type="dxa"/>
          </w:tcPr>
          <w:p w:rsidR="00F67E76" w:rsidRDefault="00F67E76">
            <w:pPr>
              <w:spacing w:line="240" w:lineRule="auto"/>
              <w:jc w:val="left"/>
              <w:rPr>
                <w:sz w:val="24"/>
                <w:rtl/>
              </w:rPr>
            </w:pPr>
            <w:r>
              <w:rPr>
                <w:sz w:val="24"/>
                <w:rtl/>
              </w:rPr>
              <w:t>שיפוט אגב גירושין</w:t>
            </w:r>
          </w:p>
        </w:tc>
        <w:tc>
          <w:tcPr>
            <w:tcW w:w="1247" w:type="dxa"/>
          </w:tcPr>
          <w:p w:rsidR="00F67E76" w:rsidRDefault="00F67E76">
            <w:pPr>
              <w:spacing w:line="240" w:lineRule="auto"/>
              <w:jc w:val="left"/>
              <w:rPr>
                <w:sz w:val="24"/>
              </w:rPr>
            </w:pPr>
            <w:r>
              <w:rPr>
                <w:sz w:val="24"/>
                <w:rtl/>
              </w:rPr>
              <w:t xml:space="preserve">סעיף 3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Seif3</w:instrText>
            </w:r>
            <w:r>
              <w:rPr>
                <w:sz w:val="24"/>
                <w:rtl/>
              </w:rPr>
              <w:instrText xml:space="preserve"> </w:instrText>
            </w:r>
            <w:r>
              <w:rPr>
                <w:sz w:val="24"/>
                <w:rtl/>
              </w:rPr>
              <w:fldChar w:fldCharType="separate"/>
            </w:r>
            <w:r>
              <w:rPr>
                <w:sz w:val="24"/>
                <w:rtl/>
              </w:rPr>
              <w:t>2</w:t>
            </w:r>
            <w:r>
              <w:rPr>
                <w:sz w:val="24"/>
                <w:rtl/>
              </w:rPr>
              <w:fldChar w:fldCharType="end"/>
            </w:r>
          </w:p>
        </w:tc>
        <w:tc>
          <w:tcPr>
            <w:tcW w:w="567" w:type="dxa"/>
          </w:tcPr>
          <w:p w:rsidR="00F67E76" w:rsidRDefault="00F67E76">
            <w:pPr>
              <w:spacing w:line="240" w:lineRule="auto"/>
              <w:jc w:val="left"/>
              <w:rPr>
                <w:sz w:val="24"/>
              </w:rPr>
            </w:pPr>
            <w:hyperlink w:anchor="Seif3" w:tooltip="שיפוט בעניני מזונות" w:history="1">
              <w:r>
                <w:rPr>
                  <w:rStyle w:val="Hyperlink"/>
                </w:rPr>
                <w:t>Go</w:t>
              </w:r>
            </w:hyperlink>
          </w:p>
        </w:tc>
        <w:tc>
          <w:tcPr>
            <w:tcW w:w="5669" w:type="dxa"/>
          </w:tcPr>
          <w:p w:rsidR="00F67E76" w:rsidRDefault="00F67E76">
            <w:pPr>
              <w:spacing w:line="240" w:lineRule="auto"/>
              <w:jc w:val="left"/>
              <w:rPr>
                <w:sz w:val="24"/>
                <w:rtl/>
              </w:rPr>
            </w:pPr>
            <w:r>
              <w:rPr>
                <w:sz w:val="24"/>
                <w:rtl/>
              </w:rPr>
              <w:t>שיפוט בעניני מזונות</w:t>
            </w:r>
          </w:p>
        </w:tc>
        <w:tc>
          <w:tcPr>
            <w:tcW w:w="1247" w:type="dxa"/>
          </w:tcPr>
          <w:p w:rsidR="00F67E76" w:rsidRDefault="00F67E76">
            <w:pPr>
              <w:spacing w:line="240" w:lineRule="auto"/>
              <w:jc w:val="left"/>
              <w:rPr>
                <w:sz w:val="24"/>
              </w:rPr>
            </w:pPr>
            <w:r>
              <w:rPr>
                <w:sz w:val="24"/>
                <w:rtl/>
              </w:rPr>
              <w:t xml:space="preserve">סעיף 4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Seif11</w:instrText>
            </w:r>
            <w:r>
              <w:rPr>
                <w:sz w:val="24"/>
                <w:rtl/>
              </w:rPr>
              <w:instrText xml:space="preserve"> </w:instrText>
            </w:r>
            <w:r>
              <w:rPr>
                <w:sz w:val="24"/>
                <w:rtl/>
              </w:rPr>
              <w:fldChar w:fldCharType="separate"/>
            </w:r>
            <w:r>
              <w:rPr>
                <w:sz w:val="24"/>
                <w:rtl/>
              </w:rPr>
              <w:t>2</w:t>
            </w:r>
            <w:r>
              <w:rPr>
                <w:sz w:val="24"/>
                <w:rtl/>
              </w:rPr>
              <w:fldChar w:fldCharType="end"/>
            </w:r>
          </w:p>
        </w:tc>
        <w:tc>
          <w:tcPr>
            <w:tcW w:w="567" w:type="dxa"/>
          </w:tcPr>
          <w:p w:rsidR="00F67E76" w:rsidRDefault="00F67E76">
            <w:pPr>
              <w:spacing w:line="240" w:lineRule="auto"/>
              <w:jc w:val="left"/>
              <w:rPr>
                <w:sz w:val="24"/>
              </w:rPr>
            </w:pPr>
            <w:hyperlink w:anchor="Seif11" w:tooltip="סמכות מבחינה בין לאומית בתביעה לגירושין" w:history="1">
              <w:r>
                <w:rPr>
                  <w:rStyle w:val="Hyperlink"/>
                </w:rPr>
                <w:t>Go</w:t>
              </w:r>
            </w:hyperlink>
          </w:p>
        </w:tc>
        <w:tc>
          <w:tcPr>
            <w:tcW w:w="5669" w:type="dxa"/>
          </w:tcPr>
          <w:p w:rsidR="00F67E76" w:rsidRDefault="00F67E76">
            <w:pPr>
              <w:spacing w:line="240" w:lineRule="auto"/>
              <w:jc w:val="left"/>
              <w:rPr>
                <w:sz w:val="24"/>
                <w:rtl/>
              </w:rPr>
            </w:pPr>
            <w:r>
              <w:rPr>
                <w:sz w:val="24"/>
                <w:rtl/>
              </w:rPr>
              <w:t>סמכות מבחינה בין לאומית בתביעה לגירושין</w:t>
            </w:r>
          </w:p>
        </w:tc>
        <w:tc>
          <w:tcPr>
            <w:tcW w:w="1247" w:type="dxa"/>
          </w:tcPr>
          <w:p w:rsidR="00F67E76" w:rsidRDefault="00F67E76">
            <w:pPr>
              <w:spacing w:line="240" w:lineRule="auto"/>
              <w:jc w:val="left"/>
              <w:rPr>
                <w:sz w:val="24"/>
              </w:rPr>
            </w:pPr>
            <w:r>
              <w:rPr>
                <w:sz w:val="24"/>
                <w:rtl/>
              </w:rPr>
              <w:t xml:space="preserve">סעיף 4א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Seif12</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12" w:tooltip="סדרי דין בענין נתבע שהוא תושב חוץ" w:history="1">
              <w:r>
                <w:rPr>
                  <w:rStyle w:val="Hyperlink"/>
                </w:rPr>
                <w:t>Go</w:t>
              </w:r>
            </w:hyperlink>
          </w:p>
        </w:tc>
        <w:tc>
          <w:tcPr>
            <w:tcW w:w="5669" w:type="dxa"/>
          </w:tcPr>
          <w:p w:rsidR="00F67E76" w:rsidRDefault="00F67E76">
            <w:pPr>
              <w:spacing w:line="240" w:lineRule="auto"/>
              <w:jc w:val="left"/>
              <w:rPr>
                <w:sz w:val="24"/>
                <w:rtl/>
              </w:rPr>
            </w:pPr>
            <w:r>
              <w:rPr>
                <w:sz w:val="24"/>
                <w:rtl/>
              </w:rPr>
              <w:t>סדרי דין בענין נתבע שהוא תושב חוץ</w:t>
            </w:r>
          </w:p>
        </w:tc>
        <w:tc>
          <w:tcPr>
            <w:tcW w:w="1247" w:type="dxa"/>
          </w:tcPr>
          <w:p w:rsidR="00F67E76" w:rsidRDefault="00F67E76">
            <w:pPr>
              <w:spacing w:line="240" w:lineRule="auto"/>
              <w:jc w:val="left"/>
              <w:rPr>
                <w:sz w:val="24"/>
              </w:rPr>
            </w:pPr>
            <w:r>
              <w:rPr>
                <w:sz w:val="24"/>
                <w:rtl/>
              </w:rPr>
              <w:t xml:space="preserve">סעיף 4ב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Seif13</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13" w:tooltip="חוות דעת הלכתיות בענין גט פיטורין או היתר נישואין במדינת חוץ" w:history="1">
              <w:r>
                <w:rPr>
                  <w:rStyle w:val="Hyperlink"/>
                </w:rPr>
                <w:t>Go</w:t>
              </w:r>
            </w:hyperlink>
          </w:p>
        </w:tc>
        <w:tc>
          <w:tcPr>
            <w:tcW w:w="5669" w:type="dxa"/>
          </w:tcPr>
          <w:p w:rsidR="00F67E76" w:rsidRDefault="00F67E76">
            <w:pPr>
              <w:spacing w:line="240" w:lineRule="auto"/>
              <w:jc w:val="left"/>
              <w:rPr>
                <w:sz w:val="24"/>
                <w:rtl/>
              </w:rPr>
            </w:pPr>
            <w:r>
              <w:rPr>
                <w:sz w:val="24"/>
                <w:rtl/>
              </w:rPr>
              <w:t>חוות דעת הלכתיות בענין גט פיטורין או היתר נישואין במדינת חוץ</w:t>
            </w:r>
          </w:p>
        </w:tc>
        <w:tc>
          <w:tcPr>
            <w:tcW w:w="1247" w:type="dxa"/>
          </w:tcPr>
          <w:p w:rsidR="00F67E76" w:rsidRDefault="00F67E76">
            <w:pPr>
              <w:spacing w:line="240" w:lineRule="auto"/>
              <w:jc w:val="left"/>
              <w:rPr>
                <w:sz w:val="24"/>
              </w:rPr>
            </w:pPr>
            <w:r>
              <w:rPr>
                <w:sz w:val="24"/>
                <w:rtl/>
              </w:rPr>
              <w:t xml:space="preserve">סעיף 4ג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Seif4</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4" w:tooltip="שיפוט בעניני חליצה" w:history="1">
              <w:r>
                <w:rPr>
                  <w:rStyle w:val="Hyperlink"/>
                </w:rPr>
                <w:t>Go</w:t>
              </w:r>
            </w:hyperlink>
          </w:p>
        </w:tc>
        <w:tc>
          <w:tcPr>
            <w:tcW w:w="5669" w:type="dxa"/>
          </w:tcPr>
          <w:p w:rsidR="00F67E76" w:rsidRDefault="00F67E76">
            <w:pPr>
              <w:spacing w:line="240" w:lineRule="auto"/>
              <w:jc w:val="left"/>
              <w:rPr>
                <w:sz w:val="24"/>
                <w:rtl/>
              </w:rPr>
            </w:pPr>
            <w:r>
              <w:rPr>
                <w:sz w:val="24"/>
                <w:rtl/>
              </w:rPr>
              <w:t>שיפוט בעניני חליצה</w:t>
            </w:r>
          </w:p>
        </w:tc>
        <w:tc>
          <w:tcPr>
            <w:tcW w:w="1247" w:type="dxa"/>
          </w:tcPr>
          <w:p w:rsidR="00F67E76" w:rsidRDefault="00F67E76">
            <w:pPr>
              <w:spacing w:line="240" w:lineRule="auto"/>
              <w:jc w:val="left"/>
              <w:rPr>
                <w:sz w:val="24"/>
              </w:rPr>
            </w:pPr>
            <w:r>
              <w:rPr>
                <w:sz w:val="24"/>
                <w:rtl/>
              </w:rPr>
              <w:t xml:space="preserve">סעיף 5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Seif5</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5" w:tooltip="כפיה למתן גט ולקבלתו" w:history="1">
              <w:r>
                <w:rPr>
                  <w:rStyle w:val="Hyperlink"/>
                </w:rPr>
                <w:t>Go</w:t>
              </w:r>
            </w:hyperlink>
          </w:p>
        </w:tc>
        <w:tc>
          <w:tcPr>
            <w:tcW w:w="5669" w:type="dxa"/>
          </w:tcPr>
          <w:p w:rsidR="00F67E76" w:rsidRDefault="00F67E76">
            <w:pPr>
              <w:spacing w:line="240" w:lineRule="auto"/>
              <w:jc w:val="left"/>
              <w:rPr>
                <w:sz w:val="24"/>
                <w:rtl/>
              </w:rPr>
            </w:pPr>
            <w:r>
              <w:rPr>
                <w:sz w:val="24"/>
                <w:rtl/>
              </w:rPr>
              <w:t>כפיה למתן גט ולקבלתו</w:t>
            </w:r>
          </w:p>
        </w:tc>
        <w:tc>
          <w:tcPr>
            <w:tcW w:w="1247" w:type="dxa"/>
          </w:tcPr>
          <w:p w:rsidR="00F67E76" w:rsidRDefault="00F67E76">
            <w:pPr>
              <w:spacing w:line="240" w:lineRule="auto"/>
              <w:jc w:val="left"/>
              <w:rPr>
                <w:sz w:val="24"/>
              </w:rPr>
            </w:pPr>
            <w:r>
              <w:rPr>
                <w:sz w:val="24"/>
                <w:rtl/>
              </w:rPr>
              <w:t xml:space="preserve">סעיף 6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Seif6</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6" w:tooltip="כפיה למתן חליצה" w:history="1">
              <w:r>
                <w:rPr>
                  <w:rStyle w:val="Hyperlink"/>
                </w:rPr>
                <w:t>Go</w:t>
              </w:r>
            </w:hyperlink>
          </w:p>
        </w:tc>
        <w:tc>
          <w:tcPr>
            <w:tcW w:w="5669" w:type="dxa"/>
          </w:tcPr>
          <w:p w:rsidR="00F67E76" w:rsidRDefault="00F67E76">
            <w:pPr>
              <w:spacing w:line="240" w:lineRule="auto"/>
              <w:jc w:val="left"/>
              <w:rPr>
                <w:sz w:val="24"/>
                <w:rtl/>
              </w:rPr>
            </w:pPr>
            <w:r>
              <w:rPr>
                <w:sz w:val="24"/>
                <w:rtl/>
              </w:rPr>
              <w:t>כפיה למתן חליצה</w:t>
            </w:r>
          </w:p>
        </w:tc>
        <w:tc>
          <w:tcPr>
            <w:tcW w:w="1247" w:type="dxa"/>
          </w:tcPr>
          <w:p w:rsidR="00F67E76" w:rsidRDefault="00F67E76">
            <w:pPr>
              <w:spacing w:line="240" w:lineRule="auto"/>
              <w:jc w:val="left"/>
              <w:rPr>
                <w:sz w:val="24"/>
              </w:rPr>
            </w:pPr>
            <w:r>
              <w:rPr>
                <w:sz w:val="24"/>
                <w:rtl/>
              </w:rPr>
              <w:t xml:space="preserve">סעיף 7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Seif7</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7" w:tooltip="סופיות של פסק דין" w:history="1">
              <w:r>
                <w:rPr>
                  <w:rStyle w:val="Hyperlink"/>
                </w:rPr>
                <w:t>Go</w:t>
              </w:r>
            </w:hyperlink>
          </w:p>
        </w:tc>
        <w:tc>
          <w:tcPr>
            <w:tcW w:w="5669" w:type="dxa"/>
          </w:tcPr>
          <w:p w:rsidR="00F67E76" w:rsidRDefault="00F67E76">
            <w:pPr>
              <w:spacing w:line="240" w:lineRule="auto"/>
              <w:jc w:val="left"/>
              <w:rPr>
                <w:sz w:val="24"/>
                <w:rtl/>
              </w:rPr>
            </w:pPr>
            <w:r>
              <w:rPr>
                <w:sz w:val="24"/>
                <w:rtl/>
              </w:rPr>
              <w:t>סופיות של פסק דין</w:t>
            </w:r>
          </w:p>
        </w:tc>
        <w:tc>
          <w:tcPr>
            <w:tcW w:w="1247" w:type="dxa"/>
          </w:tcPr>
          <w:p w:rsidR="00F67E76" w:rsidRDefault="00F67E76">
            <w:pPr>
              <w:spacing w:line="240" w:lineRule="auto"/>
              <w:jc w:val="left"/>
              <w:rPr>
                <w:sz w:val="24"/>
              </w:rPr>
            </w:pPr>
            <w:r>
              <w:rPr>
                <w:sz w:val="24"/>
                <w:rtl/>
              </w:rPr>
              <w:t xml:space="preserve">סעיף 8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Seif8</w:instrText>
            </w:r>
            <w:r>
              <w:rPr>
                <w:sz w:val="24"/>
                <w:rtl/>
              </w:rPr>
              <w:instrText xml:space="preserve"> </w:instrText>
            </w:r>
            <w:r>
              <w:rPr>
                <w:sz w:val="24"/>
                <w:rtl/>
              </w:rPr>
              <w:fldChar w:fldCharType="separate"/>
            </w:r>
            <w:r>
              <w:rPr>
                <w:sz w:val="24"/>
                <w:rtl/>
              </w:rPr>
              <w:t>3</w:t>
            </w:r>
            <w:r>
              <w:rPr>
                <w:sz w:val="24"/>
                <w:rtl/>
              </w:rPr>
              <w:fldChar w:fldCharType="end"/>
            </w:r>
          </w:p>
        </w:tc>
        <w:tc>
          <w:tcPr>
            <w:tcW w:w="567" w:type="dxa"/>
          </w:tcPr>
          <w:p w:rsidR="00F67E76" w:rsidRDefault="00F67E76">
            <w:pPr>
              <w:spacing w:line="240" w:lineRule="auto"/>
              <w:jc w:val="left"/>
              <w:rPr>
                <w:sz w:val="24"/>
              </w:rPr>
            </w:pPr>
            <w:hyperlink w:anchor="Seif8" w:tooltip="שיפוט על פי הסכמה" w:history="1">
              <w:r>
                <w:rPr>
                  <w:rStyle w:val="Hyperlink"/>
                </w:rPr>
                <w:t>Go</w:t>
              </w:r>
            </w:hyperlink>
          </w:p>
        </w:tc>
        <w:tc>
          <w:tcPr>
            <w:tcW w:w="5669" w:type="dxa"/>
          </w:tcPr>
          <w:p w:rsidR="00F67E76" w:rsidRDefault="00F67E76">
            <w:pPr>
              <w:spacing w:line="240" w:lineRule="auto"/>
              <w:jc w:val="left"/>
              <w:rPr>
                <w:sz w:val="24"/>
                <w:rtl/>
              </w:rPr>
            </w:pPr>
            <w:r>
              <w:rPr>
                <w:sz w:val="24"/>
                <w:rtl/>
              </w:rPr>
              <w:t>שיפוט על פי הסכמה</w:t>
            </w:r>
          </w:p>
        </w:tc>
        <w:tc>
          <w:tcPr>
            <w:tcW w:w="1247" w:type="dxa"/>
          </w:tcPr>
          <w:p w:rsidR="00F67E76" w:rsidRDefault="00F67E76">
            <w:pPr>
              <w:spacing w:line="240" w:lineRule="auto"/>
              <w:jc w:val="left"/>
              <w:rPr>
                <w:sz w:val="24"/>
              </w:rPr>
            </w:pPr>
            <w:r>
              <w:rPr>
                <w:sz w:val="24"/>
                <w:rtl/>
              </w:rPr>
              <w:t xml:space="preserve">סעיף 9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Seif9</w:instrText>
            </w:r>
            <w:r>
              <w:rPr>
                <w:sz w:val="24"/>
                <w:rtl/>
              </w:rPr>
              <w:instrText xml:space="preserve"> </w:instrText>
            </w:r>
            <w:r>
              <w:rPr>
                <w:sz w:val="24"/>
                <w:rtl/>
              </w:rPr>
              <w:fldChar w:fldCharType="separate"/>
            </w:r>
            <w:r>
              <w:rPr>
                <w:sz w:val="24"/>
                <w:rtl/>
              </w:rPr>
              <w:t>4</w:t>
            </w:r>
            <w:r>
              <w:rPr>
                <w:sz w:val="24"/>
                <w:rtl/>
              </w:rPr>
              <w:fldChar w:fldCharType="end"/>
            </w:r>
          </w:p>
        </w:tc>
        <w:tc>
          <w:tcPr>
            <w:tcW w:w="567" w:type="dxa"/>
          </w:tcPr>
          <w:p w:rsidR="00F67E76" w:rsidRDefault="00F67E76">
            <w:pPr>
              <w:spacing w:line="240" w:lineRule="auto"/>
              <w:jc w:val="left"/>
              <w:rPr>
                <w:sz w:val="24"/>
              </w:rPr>
            </w:pPr>
            <w:hyperlink w:anchor="Seif9" w:tooltip="תקפם של פסקי דין" w:history="1">
              <w:r>
                <w:rPr>
                  <w:rStyle w:val="Hyperlink"/>
                </w:rPr>
                <w:t>Go</w:t>
              </w:r>
            </w:hyperlink>
          </w:p>
        </w:tc>
        <w:tc>
          <w:tcPr>
            <w:tcW w:w="5669" w:type="dxa"/>
          </w:tcPr>
          <w:p w:rsidR="00F67E76" w:rsidRDefault="00F67E76">
            <w:pPr>
              <w:spacing w:line="240" w:lineRule="auto"/>
              <w:jc w:val="left"/>
              <w:rPr>
                <w:sz w:val="24"/>
                <w:rtl/>
              </w:rPr>
            </w:pPr>
            <w:r>
              <w:rPr>
                <w:sz w:val="24"/>
                <w:rtl/>
              </w:rPr>
              <w:t>תקפם של פסקי דין</w:t>
            </w:r>
          </w:p>
        </w:tc>
        <w:tc>
          <w:tcPr>
            <w:tcW w:w="1247" w:type="dxa"/>
          </w:tcPr>
          <w:p w:rsidR="00F67E76" w:rsidRDefault="00F67E76">
            <w:pPr>
              <w:spacing w:line="240" w:lineRule="auto"/>
              <w:jc w:val="left"/>
              <w:rPr>
                <w:sz w:val="24"/>
              </w:rPr>
            </w:pPr>
            <w:r>
              <w:rPr>
                <w:sz w:val="24"/>
                <w:rtl/>
              </w:rPr>
              <w:t xml:space="preserve">סעיף 10 </w:t>
            </w:r>
          </w:p>
        </w:tc>
      </w:tr>
      <w:tr w:rsidR="00F67E76">
        <w:tblPrEx>
          <w:tblCellMar>
            <w:top w:w="0" w:type="dxa"/>
            <w:bottom w:w="0" w:type="dxa"/>
          </w:tblCellMar>
        </w:tblPrEx>
        <w:trPr>
          <w:jc w:val="right"/>
        </w:trPr>
        <w:tc>
          <w:tcPr>
            <w:tcW w:w="850" w:type="dxa"/>
          </w:tcPr>
          <w:p w:rsidR="00F67E76" w:rsidRDefault="00F67E76">
            <w:pPr>
              <w:spacing w:line="240" w:lineRule="auto"/>
              <w:jc w:val="left"/>
              <w:rPr>
                <w:sz w:val="24"/>
              </w:rPr>
            </w:pPr>
            <w:r>
              <w:rPr>
                <w:sz w:val="24"/>
                <w:rtl/>
              </w:rPr>
              <w:fldChar w:fldCharType="begin"/>
            </w:r>
            <w:r>
              <w:rPr>
                <w:sz w:val="24"/>
                <w:rtl/>
              </w:rPr>
              <w:instrText xml:space="preserve"> </w:instrText>
            </w:r>
            <w:r>
              <w:rPr>
                <w:sz w:val="24"/>
              </w:rPr>
              <w:instrText>PAGEREF Seif10</w:instrText>
            </w:r>
            <w:r>
              <w:rPr>
                <w:sz w:val="24"/>
                <w:rtl/>
              </w:rPr>
              <w:instrText xml:space="preserve"> </w:instrText>
            </w:r>
            <w:r>
              <w:rPr>
                <w:sz w:val="24"/>
                <w:rtl/>
              </w:rPr>
              <w:fldChar w:fldCharType="separate"/>
            </w:r>
            <w:r>
              <w:rPr>
                <w:sz w:val="24"/>
                <w:rtl/>
              </w:rPr>
              <w:t>4</w:t>
            </w:r>
            <w:r>
              <w:rPr>
                <w:sz w:val="24"/>
                <w:rtl/>
              </w:rPr>
              <w:fldChar w:fldCharType="end"/>
            </w:r>
          </w:p>
        </w:tc>
        <w:tc>
          <w:tcPr>
            <w:tcW w:w="567" w:type="dxa"/>
          </w:tcPr>
          <w:p w:rsidR="00F67E76" w:rsidRDefault="00F67E76">
            <w:pPr>
              <w:spacing w:line="240" w:lineRule="auto"/>
              <w:jc w:val="left"/>
              <w:rPr>
                <w:sz w:val="24"/>
              </w:rPr>
            </w:pPr>
            <w:hyperlink w:anchor="Seif10" w:tooltip="ביצוע ותקנות" w:history="1">
              <w:r>
                <w:rPr>
                  <w:rStyle w:val="Hyperlink"/>
                </w:rPr>
                <w:t>Go</w:t>
              </w:r>
            </w:hyperlink>
          </w:p>
        </w:tc>
        <w:tc>
          <w:tcPr>
            <w:tcW w:w="5669" w:type="dxa"/>
          </w:tcPr>
          <w:p w:rsidR="00F67E76" w:rsidRDefault="00F67E76">
            <w:pPr>
              <w:spacing w:line="240" w:lineRule="auto"/>
              <w:jc w:val="left"/>
              <w:rPr>
                <w:sz w:val="24"/>
                <w:rtl/>
              </w:rPr>
            </w:pPr>
            <w:r>
              <w:rPr>
                <w:sz w:val="24"/>
                <w:rtl/>
              </w:rPr>
              <w:t>ביצוע ותקנות</w:t>
            </w:r>
          </w:p>
        </w:tc>
        <w:tc>
          <w:tcPr>
            <w:tcW w:w="1247" w:type="dxa"/>
          </w:tcPr>
          <w:p w:rsidR="00F67E76" w:rsidRDefault="00F67E76">
            <w:pPr>
              <w:spacing w:line="240" w:lineRule="auto"/>
              <w:jc w:val="left"/>
              <w:rPr>
                <w:sz w:val="24"/>
              </w:rPr>
            </w:pPr>
            <w:r>
              <w:rPr>
                <w:sz w:val="24"/>
                <w:rtl/>
              </w:rPr>
              <w:t xml:space="preserve">סעיף 11 </w:t>
            </w:r>
          </w:p>
        </w:tc>
      </w:tr>
    </w:tbl>
    <w:p w:rsidR="00F67E76" w:rsidRDefault="00F67E76">
      <w:pPr>
        <w:pStyle w:val="big-header"/>
        <w:ind w:left="0" w:right="1134"/>
        <w:rPr>
          <w:rFonts w:cs="FrankRuehl"/>
          <w:sz w:val="32"/>
          <w:rtl/>
        </w:rPr>
      </w:pPr>
    </w:p>
    <w:p w:rsidR="00F67E76" w:rsidRDefault="00F67E76">
      <w:pPr>
        <w:pStyle w:val="big-header"/>
        <w:ind w:left="0" w:right="1134"/>
        <w:rPr>
          <w:rFonts w:cs="FrankRuehl"/>
          <w:sz w:val="32"/>
          <w:rtl/>
        </w:rPr>
      </w:pPr>
      <w:r>
        <w:rPr>
          <w:rFonts w:cs="FrankRuehl"/>
          <w:sz w:val="32"/>
          <w:rtl/>
        </w:rPr>
        <w:br w:type="page"/>
      </w:r>
      <w:r>
        <w:rPr>
          <w:rFonts w:cs="FrankRuehl" w:hint="cs"/>
          <w:sz w:val="32"/>
          <w:rtl/>
        </w:rPr>
        <w:lastRenderedPageBreak/>
        <w:t>נ</w:t>
      </w:r>
      <w:r>
        <w:rPr>
          <w:rFonts w:cs="FrankRuehl"/>
          <w:sz w:val="32"/>
          <w:rtl/>
        </w:rPr>
        <w:t>י</w:t>
      </w:r>
      <w:r>
        <w:rPr>
          <w:rFonts w:cs="FrankRuehl" w:hint="cs"/>
          <w:sz w:val="32"/>
          <w:rtl/>
        </w:rPr>
        <w:t>שואין וגירושין</w:t>
      </w:r>
    </w:p>
    <w:p w:rsidR="00F67E76" w:rsidRDefault="00F67E76">
      <w:pPr>
        <w:pStyle w:val="big-header"/>
        <w:ind w:left="0" w:right="1134"/>
        <w:rPr>
          <w:rStyle w:val="default"/>
          <w:rFonts w:cs="FrankRuehl" w:hint="cs"/>
          <w:rtl/>
        </w:rPr>
      </w:pPr>
      <w:r>
        <w:rPr>
          <w:rFonts w:cs="FrankRuehl"/>
          <w:sz w:val="32"/>
          <w:rtl/>
        </w:rPr>
        <w:t>חו</w:t>
      </w:r>
      <w:r>
        <w:rPr>
          <w:rFonts w:cs="FrankRuehl" w:hint="cs"/>
          <w:sz w:val="32"/>
          <w:rtl/>
        </w:rPr>
        <w:t>ק שיפוט בתי דין רבניים (נישואין וגירושין), תשי"ג-1953</w:t>
      </w:r>
      <w:r>
        <w:rPr>
          <w:rStyle w:val="a6"/>
          <w:rFonts w:cs="FrankRuehl"/>
          <w:sz w:val="32"/>
          <w:rtl/>
        </w:rPr>
        <w:footnoteReference w:customMarkFollows="1" w:id="1"/>
        <w:t>*</w:t>
      </w:r>
    </w:p>
    <w:p w:rsidR="00F67E76" w:rsidRDefault="00F67E76">
      <w:pPr>
        <w:pStyle w:val="P00"/>
        <w:spacing w:before="72"/>
        <w:ind w:left="0" w:right="1134"/>
        <w:rPr>
          <w:rStyle w:val="default"/>
          <w:rFonts w:cs="FrankRuehl"/>
          <w:rtl/>
        </w:rPr>
      </w:pPr>
      <w:bookmarkStart w:id="0" w:name="Seif0"/>
      <w:bookmarkEnd w:id="0"/>
      <w:r>
        <w:rPr>
          <w:lang w:val="he-IL"/>
        </w:rPr>
        <w:pict>
          <v:rect id="_x0000_s1026" style="position:absolute;left:0;text-align:left;margin-left:464.5pt;margin-top:8.05pt;width:75.05pt;height:20pt;z-index:251651072" o:allowincell="f" filled="f" stroked="f" strokecolor="lime" strokeweight=".25pt">
            <v:textbox style="mso-next-textbox:#_x0000_s1026" inset="0,0,0,0">
              <w:txbxContent>
                <w:p w:rsidR="00F67E76" w:rsidRDefault="00F67E76">
                  <w:pPr>
                    <w:spacing w:line="160" w:lineRule="exact"/>
                    <w:jc w:val="left"/>
                    <w:rPr>
                      <w:rFonts w:cs="Miriam"/>
                      <w:sz w:val="18"/>
                      <w:szCs w:val="18"/>
                      <w:rtl/>
                    </w:rPr>
                  </w:pPr>
                  <w:r>
                    <w:rPr>
                      <w:rFonts w:cs="Miriam"/>
                      <w:sz w:val="18"/>
                      <w:szCs w:val="18"/>
                      <w:rtl/>
                    </w:rPr>
                    <w:t>שי</w:t>
                  </w:r>
                  <w:r>
                    <w:rPr>
                      <w:rFonts w:cs="Miriam" w:hint="cs"/>
                      <w:sz w:val="18"/>
                      <w:szCs w:val="18"/>
                      <w:rtl/>
                    </w:rPr>
                    <w:t xml:space="preserve">פוט בעניני </w:t>
                  </w:r>
                </w:p>
                <w:p w:rsidR="00F67E76" w:rsidRDefault="00F67E76">
                  <w:pPr>
                    <w:spacing w:line="160" w:lineRule="exact"/>
                    <w:jc w:val="left"/>
                    <w:rPr>
                      <w:rFonts w:cs="Miriam"/>
                      <w:noProof/>
                      <w:sz w:val="18"/>
                      <w:szCs w:val="18"/>
                      <w:rtl/>
                    </w:rPr>
                  </w:pPr>
                  <w:r>
                    <w:rPr>
                      <w:rFonts w:cs="Miriam" w:hint="cs"/>
                      <w:sz w:val="18"/>
                      <w:szCs w:val="18"/>
                      <w:rtl/>
                    </w:rPr>
                    <w:t>נ</w:t>
                  </w:r>
                  <w:r>
                    <w:rPr>
                      <w:rFonts w:cs="Miriam"/>
                      <w:sz w:val="18"/>
                      <w:szCs w:val="18"/>
                      <w:rtl/>
                    </w:rPr>
                    <w:t>י</w:t>
                  </w:r>
                  <w:r>
                    <w:rPr>
                      <w:rFonts w:cs="Miriam" w:hint="cs"/>
                      <w:sz w:val="18"/>
                      <w:szCs w:val="18"/>
                      <w:rtl/>
                    </w:rPr>
                    <w:t>שואין וגירושין</w:t>
                  </w:r>
                </w:p>
              </w:txbxContent>
            </v:textbox>
            <w10:anchorlock/>
          </v:rect>
        </w:pict>
      </w:r>
      <w:r>
        <w:rPr>
          <w:rStyle w:val="big-number"/>
          <w:rFonts w:cs="Miriam"/>
          <w:rtl/>
        </w:rPr>
        <w:t>1.</w:t>
      </w:r>
      <w:r>
        <w:rPr>
          <w:rStyle w:val="big-number"/>
          <w:rFonts w:cs="Miriam"/>
          <w:rtl/>
        </w:rPr>
        <w:tab/>
      </w:r>
      <w:r>
        <w:rPr>
          <w:rStyle w:val="default"/>
          <w:rFonts w:cs="FrankRuehl"/>
          <w:rtl/>
        </w:rPr>
        <w:t>ענ</w:t>
      </w:r>
      <w:r>
        <w:rPr>
          <w:rStyle w:val="default"/>
          <w:rFonts w:cs="FrankRuehl" w:hint="cs"/>
          <w:rtl/>
        </w:rPr>
        <w:t>יני נישואין וגירושין של יהודים בישראל אזרחי המדינה או</w:t>
      </w:r>
      <w:r>
        <w:rPr>
          <w:rStyle w:val="default"/>
          <w:rFonts w:cs="FrankRuehl"/>
          <w:rtl/>
        </w:rPr>
        <w:t xml:space="preserve"> ת</w:t>
      </w:r>
      <w:r>
        <w:rPr>
          <w:rStyle w:val="default"/>
          <w:rFonts w:cs="FrankRuehl" w:hint="cs"/>
          <w:rtl/>
        </w:rPr>
        <w:t>ושביה יהיו בשיפוטם היחודי של בתי דין רבניים.</w:t>
      </w:r>
    </w:p>
    <w:p w:rsidR="00F67E76" w:rsidRDefault="00F67E76">
      <w:pPr>
        <w:pStyle w:val="P00"/>
        <w:spacing w:before="72"/>
        <w:ind w:left="0" w:right="1134"/>
        <w:rPr>
          <w:rStyle w:val="default"/>
          <w:rFonts w:cs="FrankRuehl"/>
          <w:rtl/>
        </w:rPr>
      </w:pPr>
      <w:bookmarkStart w:id="1" w:name="Seif1"/>
      <w:bookmarkEnd w:id="1"/>
      <w:r>
        <w:rPr>
          <w:lang w:val="he-IL"/>
        </w:rPr>
        <w:pict>
          <v:rect id="_x0000_s1027" style="position:absolute;left:0;text-align:left;margin-left:464.5pt;margin-top:8.05pt;width:75.05pt;height:20.55pt;z-index:251652096" o:allowincell="f" filled="f" stroked="f" strokecolor="lime" strokeweight=".25pt">
            <v:textbox style="mso-next-textbox:#_x0000_s1027" inset="0,0,0,0">
              <w:txbxContent>
                <w:p w:rsidR="00F67E76" w:rsidRDefault="00F67E76">
                  <w:pPr>
                    <w:spacing w:line="160" w:lineRule="exact"/>
                    <w:jc w:val="left"/>
                    <w:rPr>
                      <w:rFonts w:cs="Miriam"/>
                      <w:noProof/>
                      <w:sz w:val="18"/>
                      <w:szCs w:val="18"/>
                      <w:rtl/>
                    </w:rPr>
                  </w:pPr>
                  <w:r>
                    <w:rPr>
                      <w:rFonts w:cs="Miriam"/>
                      <w:sz w:val="18"/>
                      <w:szCs w:val="18"/>
                      <w:rtl/>
                    </w:rPr>
                    <w:t>ער</w:t>
                  </w:r>
                  <w:r>
                    <w:rPr>
                      <w:rFonts w:cs="Miriam" w:hint="cs"/>
                      <w:sz w:val="18"/>
                      <w:szCs w:val="18"/>
                      <w:rtl/>
                    </w:rPr>
                    <w:t>יכת נישואין וגירושין</w:t>
                  </w:r>
                </w:p>
              </w:txbxContent>
            </v:textbox>
            <w10:anchorlock/>
          </v:rect>
        </w:pict>
      </w:r>
      <w:r>
        <w:rPr>
          <w:rStyle w:val="big-number"/>
          <w:rFonts w:cs="Miriam"/>
          <w:rtl/>
        </w:rPr>
        <w:t>2.</w:t>
      </w:r>
      <w:r>
        <w:rPr>
          <w:rStyle w:val="big-number"/>
          <w:rFonts w:cs="Miriam"/>
          <w:rtl/>
        </w:rPr>
        <w:tab/>
      </w:r>
      <w:r>
        <w:rPr>
          <w:rStyle w:val="default"/>
          <w:rFonts w:cs="FrankRuehl"/>
          <w:rtl/>
        </w:rPr>
        <w:t>ני</w:t>
      </w:r>
      <w:r>
        <w:rPr>
          <w:rStyle w:val="default"/>
          <w:rFonts w:cs="FrankRuehl" w:hint="cs"/>
          <w:rtl/>
        </w:rPr>
        <w:t>שואין וגירושין של יהודים ייערכו בישראל על פי דין תורה.</w:t>
      </w:r>
    </w:p>
    <w:p w:rsidR="00F67E76" w:rsidRDefault="00F67E76">
      <w:pPr>
        <w:pStyle w:val="P00"/>
        <w:spacing w:before="72"/>
        <w:ind w:left="0" w:right="1134"/>
        <w:rPr>
          <w:rStyle w:val="default"/>
          <w:rFonts w:cs="FrankRuehl"/>
          <w:rtl/>
        </w:rPr>
      </w:pPr>
      <w:bookmarkStart w:id="2" w:name="Seif2"/>
      <w:bookmarkEnd w:id="2"/>
      <w:r>
        <w:rPr>
          <w:lang w:val="he-IL"/>
        </w:rPr>
        <w:pict>
          <v:rect id="_x0000_s1028" style="position:absolute;left:0;text-align:left;margin-left:464.5pt;margin-top:8.05pt;width:75.05pt;height:15.35pt;z-index:251653120" o:allowincell="f" filled="f" stroked="f" strokecolor="lime" strokeweight=".25pt">
            <v:textbox style="mso-next-textbox:#_x0000_s1028" inset="0,0,0,0">
              <w:txbxContent>
                <w:p w:rsidR="00F67E76" w:rsidRDefault="00F67E76">
                  <w:pPr>
                    <w:spacing w:line="160" w:lineRule="exact"/>
                    <w:jc w:val="left"/>
                    <w:rPr>
                      <w:rFonts w:cs="Miriam"/>
                      <w:noProof/>
                      <w:sz w:val="18"/>
                      <w:szCs w:val="18"/>
                      <w:rtl/>
                    </w:rPr>
                  </w:pPr>
                  <w:r>
                    <w:rPr>
                      <w:rFonts w:cs="Miriam"/>
                      <w:sz w:val="18"/>
                      <w:szCs w:val="18"/>
                      <w:rtl/>
                    </w:rPr>
                    <w:t>שי</w:t>
                  </w:r>
                  <w:r>
                    <w:rPr>
                      <w:rFonts w:cs="Miriam" w:hint="cs"/>
                      <w:sz w:val="18"/>
                      <w:szCs w:val="18"/>
                      <w:rtl/>
                    </w:rPr>
                    <w:t>פוט אגב ג</w:t>
                  </w:r>
                  <w:r>
                    <w:rPr>
                      <w:rFonts w:cs="Miriam"/>
                      <w:sz w:val="18"/>
                      <w:szCs w:val="18"/>
                      <w:rtl/>
                    </w:rPr>
                    <w:t>י</w:t>
                  </w:r>
                  <w:r>
                    <w:rPr>
                      <w:rFonts w:cs="Miriam" w:hint="cs"/>
                      <w:sz w:val="18"/>
                      <w:szCs w:val="18"/>
                      <w:rtl/>
                    </w:rPr>
                    <w:t>רושין</w:t>
                  </w:r>
                </w:p>
              </w:txbxContent>
            </v:textbox>
            <w10:anchorlock/>
          </v:rect>
        </w:pict>
      </w:r>
      <w:r>
        <w:rPr>
          <w:rStyle w:val="big-number"/>
          <w:rFonts w:cs="Miriam"/>
          <w:rtl/>
        </w:rPr>
        <w:t>3.</w:t>
      </w:r>
      <w:r>
        <w:rPr>
          <w:rStyle w:val="big-number"/>
          <w:rFonts w:cs="Miriam"/>
          <w:rtl/>
        </w:rPr>
        <w:tab/>
      </w:r>
      <w:r>
        <w:rPr>
          <w:rStyle w:val="default"/>
          <w:rFonts w:cs="FrankRuehl"/>
          <w:rtl/>
        </w:rPr>
        <w:t>הו</w:t>
      </w:r>
      <w:r>
        <w:rPr>
          <w:rStyle w:val="default"/>
          <w:rFonts w:cs="FrankRuehl" w:hint="cs"/>
          <w:rtl/>
        </w:rPr>
        <w:t>גשה לבית דין רבני תביעת גירושין בין יהודים, אם על ידי האשה ואם על ידי האיש, יהא לבית דין רבני שיפוט יחודי בכל ענין הכרוך בתביעת הגירושין, לרבות מזונות לאשה ולילדי הזוג.</w:t>
      </w:r>
    </w:p>
    <w:p w:rsidR="00F67E76" w:rsidRDefault="00F67E76">
      <w:pPr>
        <w:pStyle w:val="P00"/>
        <w:spacing w:before="72"/>
        <w:ind w:left="0" w:right="1134"/>
        <w:rPr>
          <w:rStyle w:val="default"/>
          <w:rFonts w:cs="FrankRuehl" w:hint="cs"/>
          <w:rtl/>
        </w:rPr>
      </w:pPr>
      <w:bookmarkStart w:id="3" w:name="Seif3"/>
      <w:bookmarkEnd w:id="3"/>
      <w:r>
        <w:rPr>
          <w:lang w:val="he-IL"/>
        </w:rPr>
        <w:pict>
          <v:rect id="_x0000_s1029" style="position:absolute;left:0;text-align:left;margin-left:464.5pt;margin-top:8.05pt;width:75.05pt;height:20.15pt;z-index:251654144" o:allowincell="f" filled="f" stroked="f" strokecolor="lime" strokeweight=".25pt">
            <v:textbox style="mso-next-textbox:#_x0000_s1029" inset="0,0,0,0">
              <w:txbxContent>
                <w:p w:rsidR="00F67E76" w:rsidRDefault="00F67E76">
                  <w:pPr>
                    <w:spacing w:line="160" w:lineRule="exact"/>
                    <w:jc w:val="left"/>
                    <w:rPr>
                      <w:rFonts w:cs="Miriam"/>
                      <w:noProof/>
                      <w:sz w:val="18"/>
                      <w:szCs w:val="18"/>
                      <w:rtl/>
                    </w:rPr>
                  </w:pPr>
                  <w:r>
                    <w:rPr>
                      <w:rFonts w:cs="Miriam"/>
                      <w:sz w:val="18"/>
                      <w:szCs w:val="18"/>
                      <w:rtl/>
                    </w:rPr>
                    <w:t>שי</w:t>
                  </w:r>
                  <w:r>
                    <w:rPr>
                      <w:rFonts w:cs="Miriam" w:hint="cs"/>
                      <w:sz w:val="18"/>
                      <w:szCs w:val="18"/>
                      <w:rtl/>
                    </w:rPr>
                    <w:t>פוט בעניני מ</w:t>
                  </w:r>
                  <w:r>
                    <w:rPr>
                      <w:rFonts w:cs="Miriam"/>
                      <w:sz w:val="18"/>
                      <w:szCs w:val="18"/>
                      <w:rtl/>
                    </w:rPr>
                    <w:t>ז</w:t>
                  </w:r>
                  <w:r>
                    <w:rPr>
                      <w:rFonts w:cs="Miriam" w:hint="cs"/>
                      <w:sz w:val="18"/>
                      <w:szCs w:val="18"/>
                      <w:rtl/>
                    </w:rPr>
                    <w:t>ונות</w:t>
                  </w:r>
                </w:p>
              </w:txbxContent>
            </v:textbox>
            <w10:anchorlock/>
          </v:rect>
        </w:pict>
      </w:r>
      <w:r>
        <w:rPr>
          <w:rStyle w:val="big-number"/>
          <w:rFonts w:cs="Miriam"/>
          <w:rtl/>
        </w:rPr>
        <w:t>4.</w:t>
      </w:r>
      <w:r>
        <w:rPr>
          <w:rStyle w:val="big-number"/>
          <w:rFonts w:cs="Miriam"/>
          <w:rtl/>
        </w:rPr>
        <w:tab/>
      </w:r>
      <w:r>
        <w:rPr>
          <w:rStyle w:val="default"/>
          <w:rFonts w:cs="FrankRuehl"/>
          <w:rtl/>
        </w:rPr>
        <w:t>הג</w:t>
      </w:r>
      <w:r>
        <w:rPr>
          <w:rStyle w:val="default"/>
          <w:rFonts w:cs="FrankRuehl" w:hint="cs"/>
          <w:rtl/>
        </w:rPr>
        <w:t>ישה אשה יהודיה לבית דין רבני תביעת מזונות, שלא אגב גירושין, נגד אישה היהודי א</w:t>
      </w:r>
      <w:r>
        <w:rPr>
          <w:rStyle w:val="default"/>
          <w:rFonts w:cs="FrankRuehl"/>
          <w:rtl/>
        </w:rPr>
        <w:t xml:space="preserve">ו </w:t>
      </w:r>
      <w:r>
        <w:rPr>
          <w:rStyle w:val="default"/>
          <w:rFonts w:cs="FrankRuehl" w:hint="cs"/>
          <w:rtl/>
        </w:rPr>
        <w:t>נגד עזבונו, לא תישמע טענת הנתבע שאין לבית דין רבני שיפוט בענין.</w:t>
      </w:r>
    </w:p>
    <w:p w:rsidR="00F67E76" w:rsidRDefault="00F67E76">
      <w:pPr>
        <w:pStyle w:val="P00"/>
        <w:spacing w:before="72"/>
        <w:ind w:left="0" w:right="1134"/>
        <w:rPr>
          <w:rStyle w:val="default"/>
          <w:rFonts w:cs="FrankRuehl" w:hint="cs"/>
          <w:rtl/>
        </w:rPr>
      </w:pPr>
      <w:bookmarkStart w:id="4" w:name="Seif11"/>
      <w:bookmarkEnd w:id="4"/>
      <w:r>
        <w:rPr>
          <w:rFonts w:cs="Miriam"/>
          <w:szCs w:val="32"/>
          <w:rtl/>
          <w:lang w:val="he-IL"/>
        </w:rPr>
        <w:pict>
          <v:shapetype id="_x0000_t202" coordsize="21600,21600" o:spt="202" path="m,l,21600r21600,l21600,xe">
            <v:stroke joinstyle="miter"/>
            <v:path gradientshapeok="t" o:connecttype="rect"/>
          </v:shapetype>
          <v:shape id="_x0000_s1037" type="#_x0000_t202" style="position:absolute;left:0;text-align:left;margin-left:462pt;margin-top:7.1pt;width:80.25pt;height:40.45pt;z-index:251662336" filled="f" stroked="f">
            <v:textbox inset="1mm,0,1mm,0">
              <w:txbxContent>
                <w:p w:rsidR="00F67E76" w:rsidRDefault="00F67E76">
                  <w:pPr>
                    <w:spacing w:line="160" w:lineRule="exact"/>
                    <w:jc w:val="left"/>
                    <w:rPr>
                      <w:rFonts w:cs="Miriam" w:hint="cs"/>
                      <w:sz w:val="18"/>
                      <w:szCs w:val="18"/>
                      <w:rtl/>
                    </w:rPr>
                  </w:pPr>
                  <w:r>
                    <w:rPr>
                      <w:rFonts w:cs="Miriam" w:hint="cs"/>
                      <w:sz w:val="18"/>
                      <w:szCs w:val="18"/>
                      <w:rtl/>
                    </w:rPr>
                    <w:t>סמכות מבחינה בין-לאומית בתביעה לגירושין</w:t>
                  </w:r>
                </w:p>
                <w:p w:rsidR="00F67E76" w:rsidRDefault="00F67E76">
                  <w:pPr>
                    <w:spacing w:line="160" w:lineRule="exact"/>
                    <w:jc w:val="left"/>
                    <w:rPr>
                      <w:rFonts w:cs="Miriam" w:hint="cs"/>
                      <w:sz w:val="18"/>
                      <w:szCs w:val="18"/>
                      <w:rtl/>
                    </w:rPr>
                  </w:pPr>
                  <w:r>
                    <w:rPr>
                      <w:rFonts w:cs="Miriam" w:hint="cs"/>
                      <w:sz w:val="18"/>
                      <w:szCs w:val="18"/>
                      <w:rtl/>
                    </w:rPr>
                    <w:t>(תיקון מס' 3) תשס"ה-2005</w:t>
                  </w:r>
                </w:p>
              </w:txbxContent>
            </v:textbox>
            <w10:anchorlock/>
          </v:shape>
        </w:pict>
      </w:r>
      <w:r>
        <w:rPr>
          <w:rStyle w:val="big-number"/>
          <w:rFonts w:cs="Miriam"/>
          <w:rtl/>
        </w:rPr>
        <w:t>4</w:t>
      </w:r>
      <w:r>
        <w:rPr>
          <w:rStyle w:val="default"/>
          <w:rFonts w:cs="FrankRuehl"/>
          <w:rtl/>
        </w:rPr>
        <w:t>א.</w:t>
      </w:r>
      <w:r>
        <w:rPr>
          <w:rStyle w:val="default"/>
          <w:rFonts w:cs="FrankRuehl" w:hint="cs"/>
          <w:rtl/>
        </w:rPr>
        <w:tab/>
      </w:r>
      <w:r>
        <w:rPr>
          <w:rStyle w:val="default"/>
          <w:rFonts w:cs="FrankRuehl"/>
          <w:rtl/>
        </w:rPr>
        <w:t>(א)</w:t>
      </w:r>
      <w:r>
        <w:rPr>
          <w:rStyle w:val="default"/>
          <w:rFonts w:cs="FrankRuehl" w:hint="cs"/>
          <w:rtl/>
        </w:rPr>
        <w:tab/>
      </w:r>
      <w:r>
        <w:rPr>
          <w:rStyle w:val="default"/>
          <w:rFonts w:cs="FrankRuehl"/>
          <w:rtl/>
        </w:rPr>
        <w:t>בלי לגרוע מסמכויות השיפוט לפי סעיף 1, לבית דין רבני יהיה</w:t>
      </w:r>
      <w:r>
        <w:rPr>
          <w:rStyle w:val="default"/>
          <w:rFonts w:cs="FrankRuehl" w:hint="cs"/>
          <w:rtl/>
        </w:rPr>
        <w:t xml:space="preserve"> </w:t>
      </w:r>
      <w:r>
        <w:rPr>
          <w:rStyle w:val="default"/>
          <w:rFonts w:cs="FrankRuehl"/>
          <w:rtl/>
        </w:rPr>
        <w:t>שיפוט ייחודי בתביעה לגירושין בין בני זוג יהודים שנישאו על פי דין תורה, בהתקיים אחת מהזיקות האלה:</w:t>
      </w:r>
    </w:p>
    <w:p w:rsidR="00F67E76" w:rsidRDefault="00F67E76">
      <w:pPr>
        <w:pStyle w:val="P00"/>
        <w:spacing w:before="72"/>
        <w:ind w:left="1021" w:right="1134"/>
        <w:rPr>
          <w:rStyle w:val="default"/>
          <w:rFonts w:cs="FrankRuehl" w:hint="cs"/>
          <w:rtl/>
        </w:rPr>
      </w:pPr>
      <w:r>
        <w:rPr>
          <w:rStyle w:val="default"/>
          <w:rFonts w:cs="FrankRuehl"/>
          <w:rtl/>
        </w:rPr>
        <w:t>(1)</w:t>
      </w:r>
      <w:r>
        <w:rPr>
          <w:rStyle w:val="default"/>
          <w:rFonts w:cs="FrankRuehl" w:hint="cs"/>
          <w:rtl/>
        </w:rPr>
        <w:tab/>
      </w:r>
      <w:r>
        <w:rPr>
          <w:rStyle w:val="default"/>
          <w:rFonts w:cs="FrankRuehl"/>
          <w:rtl/>
        </w:rPr>
        <w:t>מקום מושבו של הנתבע בישראל;</w:t>
      </w:r>
    </w:p>
    <w:p w:rsidR="00F67E76" w:rsidRDefault="00F67E76">
      <w:pPr>
        <w:pStyle w:val="P00"/>
        <w:spacing w:before="72"/>
        <w:ind w:left="1021" w:right="1134"/>
        <w:rPr>
          <w:rStyle w:val="default"/>
          <w:rFonts w:cs="FrankRuehl" w:hint="cs"/>
          <w:rtl/>
        </w:rPr>
      </w:pPr>
      <w:r>
        <w:rPr>
          <w:rStyle w:val="default"/>
          <w:rFonts w:cs="FrankRuehl"/>
          <w:rtl/>
        </w:rPr>
        <w:t>(2)</w:t>
      </w:r>
      <w:r>
        <w:rPr>
          <w:rStyle w:val="default"/>
          <w:rFonts w:cs="FrankRuehl" w:hint="cs"/>
          <w:rtl/>
        </w:rPr>
        <w:tab/>
      </w:r>
      <w:r>
        <w:rPr>
          <w:rStyle w:val="default"/>
          <w:rFonts w:cs="FrankRuehl"/>
          <w:rtl/>
        </w:rPr>
        <w:t>שני בני הזוג הם אזרחים ישראלים;</w:t>
      </w:r>
    </w:p>
    <w:p w:rsidR="00F67E76" w:rsidRDefault="00F67E76">
      <w:pPr>
        <w:pStyle w:val="P00"/>
        <w:spacing w:before="72"/>
        <w:ind w:left="1021" w:right="1134"/>
        <w:rPr>
          <w:rStyle w:val="default"/>
          <w:rFonts w:cs="FrankRuehl" w:hint="cs"/>
          <w:rtl/>
        </w:rPr>
      </w:pPr>
      <w:r>
        <w:rPr>
          <w:rStyle w:val="default"/>
          <w:rFonts w:cs="FrankRuehl"/>
          <w:rtl/>
        </w:rPr>
        <w:t>(3)</w:t>
      </w:r>
      <w:r>
        <w:rPr>
          <w:rStyle w:val="default"/>
          <w:rFonts w:cs="FrankRuehl" w:hint="cs"/>
          <w:rtl/>
        </w:rPr>
        <w:tab/>
      </w:r>
      <w:r>
        <w:rPr>
          <w:rStyle w:val="default"/>
          <w:rFonts w:cs="FrankRuehl"/>
          <w:rtl/>
        </w:rPr>
        <w:t>מקום מושבו של התובע בישראל, ובלבד שהתגורר בה במשך שנה לפחות בסמוך להגשת התביעה;</w:t>
      </w:r>
    </w:p>
    <w:p w:rsidR="00F67E76" w:rsidRDefault="00F67E76">
      <w:pPr>
        <w:pStyle w:val="P00"/>
        <w:spacing w:before="72"/>
        <w:ind w:left="1021" w:right="1134"/>
        <w:rPr>
          <w:rStyle w:val="default"/>
          <w:rFonts w:cs="FrankRuehl" w:hint="cs"/>
          <w:rtl/>
        </w:rPr>
      </w:pPr>
      <w:r>
        <w:rPr>
          <w:rStyle w:val="default"/>
          <w:rFonts w:cs="FrankRuehl"/>
          <w:rtl/>
        </w:rPr>
        <w:t>(4)</w:t>
      </w:r>
      <w:r>
        <w:rPr>
          <w:rStyle w:val="default"/>
          <w:rFonts w:cs="FrankRuehl" w:hint="cs"/>
          <w:rtl/>
        </w:rPr>
        <w:tab/>
      </w:r>
      <w:r>
        <w:rPr>
          <w:rStyle w:val="default"/>
          <w:rFonts w:cs="FrankRuehl"/>
          <w:rtl/>
        </w:rPr>
        <w:t>מקום מושבו של התובע בישראל, ובלבד שמקום מושבם המשותף האחרון של בני הזוג היה בישראל;</w:t>
      </w:r>
    </w:p>
    <w:p w:rsidR="00F67E76" w:rsidRDefault="00F67E76">
      <w:pPr>
        <w:pStyle w:val="P00"/>
        <w:spacing w:before="72"/>
        <w:ind w:left="1021" w:right="1134"/>
        <w:rPr>
          <w:rStyle w:val="default"/>
          <w:rFonts w:cs="FrankRuehl" w:hint="cs"/>
          <w:rtl/>
        </w:rPr>
      </w:pPr>
      <w:r>
        <w:rPr>
          <w:rStyle w:val="default"/>
          <w:rFonts w:cs="FrankRuehl"/>
          <w:rtl/>
        </w:rPr>
        <w:t>(5)</w:t>
      </w:r>
      <w:r>
        <w:rPr>
          <w:rStyle w:val="default"/>
          <w:rFonts w:cs="FrankRuehl" w:hint="cs"/>
          <w:rtl/>
        </w:rPr>
        <w:tab/>
      </w:r>
      <w:r>
        <w:rPr>
          <w:rStyle w:val="default"/>
          <w:rFonts w:cs="FrankRuehl"/>
          <w:rtl/>
        </w:rPr>
        <w:t>התובע הוא אזרח ישראלי ומקום מושבו בישראל;</w:t>
      </w:r>
    </w:p>
    <w:p w:rsidR="00F67E76" w:rsidRDefault="00F67E76">
      <w:pPr>
        <w:pStyle w:val="P00"/>
        <w:spacing w:before="72"/>
        <w:ind w:left="1021" w:right="1134"/>
        <w:rPr>
          <w:rStyle w:val="default"/>
          <w:rFonts w:cs="FrankRuehl" w:hint="cs"/>
          <w:rtl/>
        </w:rPr>
      </w:pPr>
      <w:r>
        <w:rPr>
          <w:rStyle w:val="default"/>
          <w:rFonts w:cs="FrankRuehl"/>
          <w:rtl/>
        </w:rPr>
        <w:t>(6)</w:t>
      </w:r>
      <w:r>
        <w:rPr>
          <w:rStyle w:val="default"/>
          <w:rFonts w:cs="FrankRuehl" w:hint="cs"/>
          <w:rtl/>
        </w:rPr>
        <w:tab/>
      </w:r>
      <w:r>
        <w:rPr>
          <w:rStyle w:val="default"/>
          <w:rFonts w:cs="FrankRuehl"/>
          <w:rtl/>
        </w:rPr>
        <w:t>התובע הוא אזרח ישראלי והתגורר בה במשך שנה במהלך השנתיים שקדמו למועד הגשת התביעה.</w:t>
      </w:r>
    </w:p>
    <w:p w:rsidR="00F67E76" w:rsidRDefault="00F67E76">
      <w:pPr>
        <w:pStyle w:val="P00"/>
        <w:spacing w:before="72"/>
        <w:ind w:left="0" w:right="1134"/>
        <w:rPr>
          <w:rStyle w:val="default"/>
          <w:rFonts w:cs="FrankRuehl" w:hint="cs"/>
          <w:rtl/>
        </w:rPr>
      </w:pPr>
      <w:r>
        <w:rPr>
          <w:rStyle w:val="default"/>
          <w:rFonts w:cs="FrankRuehl" w:hint="cs"/>
          <w:rtl/>
        </w:rPr>
        <w:tab/>
      </w:r>
      <w:r>
        <w:rPr>
          <w:rStyle w:val="default"/>
          <w:rFonts w:cs="FrankRuehl"/>
          <w:rtl/>
        </w:rPr>
        <w:t>(ב)</w:t>
      </w:r>
      <w:r>
        <w:rPr>
          <w:rStyle w:val="default"/>
          <w:rFonts w:cs="FrankRuehl" w:hint="cs"/>
          <w:rtl/>
        </w:rPr>
        <w:tab/>
      </w:r>
      <w:r>
        <w:rPr>
          <w:rStyle w:val="default"/>
          <w:rFonts w:cs="FrankRuehl"/>
          <w:rtl/>
        </w:rPr>
        <w:t>הוגשה לבית דין רבני תביעה לפי סעיף קטן (א) –</w:t>
      </w:r>
    </w:p>
    <w:p w:rsidR="00F67E76" w:rsidRDefault="00F67E76">
      <w:pPr>
        <w:pStyle w:val="P00"/>
        <w:spacing w:before="72"/>
        <w:ind w:left="1021" w:right="1134"/>
        <w:rPr>
          <w:rStyle w:val="default"/>
          <w:rFonts w:cs="FrankRuehl" w:hint="cs"/>
          <w:rtl/>
        </w:rPr>
      </w:pPr>
      <w:r>
        <w:rPr>
          <w:rStyle w:val="default"/>
          <w:rFonts w:cs="FrankRuehl"/>
          <w:rtl/>
        </w:rPr>
        <w:t>(1)</w:t>
      </w:r>
      <w:r>
        <w:rPr>
          <w:rStyle w:val="default"/>
          <w:rFonts w:cs="FrankRuehl" w:hint="cs"/>
          <w:rtl/>
        </w:rPr>
        <w:tab/>
      </w:r>
      <w:r>
        <w:rPr>
          <w:rStyle w:val="default"/>
          <w:rFonts w:cs="FrankRuehl"/>
          <w:rtl/>
        </w:rPr>
        <w:t>לא יהיה בכך כדי למנוע מבית משפט מוסמך במדינת חוץ לדון בתביעה לגירושין אזרחיים בין בני הזוג;</w:t>
      </w:r>
    </w:p>
    <w:p w:rsidR="00F67E76" w:rsidRDefault="00F67E76">
      <w:pPr>
        <w:pStyle w:val="P00"/>
        <w:spacing w:before="72"/>
        <w:ind w:left="1021" w:right="1134"/>
        <w:rPr>
          <w:rStyle w:val="default"/>
          <w:rFonts w:cs="FrankRuehl" w:hint="cs"/>
          <w:rtl/>
        </w:rPr>
      </w:pPr>
      <w:r>
        <w:rPr>
          <w:rStyle w:val="default"/>
          <w:rFonts w:cs="FrankRuehl"/>
          <w:rtl/>
        </w:rPr>
        <w:t>(2)</w:t>
      </w:r>
      <w:r>
        <w:rPr>
          <w:rStyle w:val="default"/>
          <w:rFonts w:cs="FrankRuehl" w:hint="cs"/>
          <w:rtl/>
        </w:rPr>
        <w:tab/>
      </w:r>
      <w:r>
        <w:rPr>
          <w:rStyle w:val="default"/>
          <w:rFonts w:cs="FrankRuehl"/>
          <w:rtl/>
        </w:rPr>
        <w:t>הוגשה תביעה לגירושין אזרחיים בין בני הזוג לבית משפט</w:t>
      </w:r>
      <w:r>
        <w:rPr>
          <w:rStyle w:val="default"/>
          <w:rFonts w:cs="FrankRuehl" w:hint="cs"/>
          <w:rtl/>
        </w:rPr>
        <w:t xml:space="preserve"> </w:t>
      </w:r>
      <w:r>
        <w:rPr>
          <w:rStyle w:val="default"/>
          <w:rFonts w:cs="FrankRuehl"/>
          <w:rtl/>
        </w:rPr>
        <w:t>מוסמך במדינת חוץ בטרם ניתן גט פיטורין, לא יהיה בית הדין הרבני מוסמך לדון ולהכריע בגירושין האזרחיים.</w:t>
      </w:r>
    </w:p>
    <w:p w:rsidR="00F67E76" w:rsidRDefault="00F67E76">
      <w:pPr>
        <w:pStyle w:val="P00"/>
        <w:spacing w:before="72"/>
        <w:ind w:left="0" w:right="1134"/>
        <w:rPr>
          <w:rStyle w:val="default"/>
          <w:rFonts w:cs="FrankRuehl" w:hint="cs"/>
          <w:rtl/>
        </w:rPr>
      </w:pPr>
      <w:r>
        <w:rPr>
          <w:rStyle w:val="default"/>
          <w:rFonts w:cs="FrankRuehl" w:hint="cs"/>
          <w:rtl/>
        </w:rPr>
        <w:tab/>
      </w:r>
      <w:r>
        <w:rPr>
          <w:rStyle w:val="default"/>
          <w:rFonts w:cs="FrankRuehl"/>
          <w:rtl/>
        </w:rPr>
        <w:t>(ג)</w:t>
      </w:r>
      <w:r>
        <w:rPr>
          <w:rStyle w:val="default"/>
          <w:rFonts w:cs="FrankRuehl" w:hint="cs"/>
          <w:rtl/>
        </w:rPr>
        <w:tab/>
      </w:r>
      <w:r>
        <w:rPr>
          <w:rStyle w:val="default"/>
          <w:rFonts w:cs="FrankRuehl"/>
          <w:rtl/>
        </w:rPr>
        <w:t>היו בני זוג יהודים שנישאו על פי דין תורה, גרושים לפי דין של מדינת חוץ, יהיה בית הדין מוסמך לדון בתביעה לגירושין כדין תורה או</w:t>
      </w:r>
      <w:r>
        <w:rPr>
          <w:rStyle w:val="default"/>
          <w:rFonts w:cs="FrankRuehl" w:hint="cs"/>
          <w:rtl/>
        </w:rPr>
        <w:t xml:space="preserve"> </w:t>
      </w:r>
      <w:r>
        <w:rPr>
          <w:rStyle w:val="default"/>
          <w:rFonts w:cs="FrankRuehl"/>
          <w:rtl/>
        </w:rPr>
        <w:t>בתביעה להסרת מניעה להינשא כדין תורה, אף אם התובע בלבד הוא אזרח ישראלי.</w:t>
      </w:r>
    </w:p>
    <w:p w:rsidR="00F67E76" w:rsidRDefault="00F67E76">
      <w:pPr>
        <w:pStyle w:val="P00"/>
        <w:spacing w:before="72"/>
        <w:ind w:left="0" w:right="1134"/>
        <w:rPr>
          <w:rStyle w:val="default"/>
          <w:rFonts w:cs="FrankRuehl" w:hint="cs"/>
          <w:rtl/>
        </w:rPr>
      </w:pPr>
      <w:r>
        <w:rPr>
          <w:rStyle w:val="default"/>
          <w:rFonts w:cs="FrankRuehl" w:hint="cs"/>
          <w:rtl/>
        </w:rPr>
        <w:tab/>
      </w:r>
      <w:r>
        <w:rPr>
          <w:rStyle w:val="default"/>
          <w:rFonts w:cs="FrankRuehl"/>
          <w:rtl/>
        </w:rPr>
        <w:t>(ד)</w:t>
      </w:r>
      <w:r>
        <w:rPr>
          <w:rStyle w:val="default"/>
          <w:rFonts w:cs="FrankRuehl" w:hint="cs"/>
          <w:rtl/>
        </w:rPr>
        <w:tab/>
      </w:r>
      <w:r>
        <w:rPr>
          <w:rStyle w:val="default"/>
          <w:rFonts w:cs="FrankRuehl"/>
          <w:rtl/>
        </w:rPr>
        <w:t>לבית דין רבני יהיה שיפוט ייחודי בתביעה לגירושין בין בני זוג יהודים שנישאו על פי דין תורה אם התובע הוא אזרח ישראלי הנמצא</w:t>
      </w:r>
      <w:r>
        <w:rPr>
          <w:rStyle w:val="default"/>
          <w:rFonts w:cs="FrankRuehl" w:hint="cs"/>
          <w:rtl/>
        </w:rPr>
        <w:t xml:space="preserve"> </w:t>
      </w:r>
      <w:r>
        <w:rPr>
          <w:rStyle w:val="default"/>
          <w:rFonts w:cs="FrankRuehl"/>
          <w:rtl/>
        </w:rPr>
        <w:t>בישראל במועד הגשת התביעה, ובמועד זה במקום מושבם האחרון של בני הזוג, לא ניתן לערוך גירושין על פי כל דין.</w:t>
      </w:r>
    </w:p>
    <w:p w:rsidR="00F67E76" w:rsidRDefault="00F67E76">
      <w:pPr>
        <w:pStyle w:val="P00"/>
        <w:spacing w:before="72"/>
        <w:ind w:left="0" w:right="1134"/>
        <w:rPr>
          <w:rStyle w:val="default"/>
          <w:rFonts w:cs="FrankRuehl" w:hint="cs"/>
          <w:rtl/>
        </w:rPr>
      </w:pPr>
      <w:r>
        <w:rPr>
          <w:rStyle w:val="default"/>
          <w:rFonts w:cs="FrankRuehl" w:hint="cs"/>
          <w:rtl/>
        </w:rPr>
        <w:lastRenderedPageBreak/>
        <w:tab/>
      </w:r>
      <w:r>
        <w:rPr>
          <w:rStyle w:val="default"/>
          <w:rFonts w:cs="FrankRuehl"/>
          <w:rtl/>
        </w:rPr>
        <w:t>(ה)</w:t>
      </w:r>
      <w:r>
        <w:rPr>
          <w:rStyle w:val="default"/>
          <w:rFonts w:cs="FrankRuehl" w:hint="cs"/>
          <w:rtl/>
        </w:rPr>
        <w:tab/>
      </w:r>
      <w:r>
        <w:rPr>
          <w:rStyle w:val="default"/>
          <w:rFonts w:cs="FrankRuehl"/>
          <w:rtl/>
        </w:rPr>
        <w:t>אין בהוראות סעיף זה כדי להקנות לבית הדין הרבני סמכות שיפוט בענינים הכרוכים בגירושין.</w:t>
      </w:r>
    </w:p>
    <w:p w:rsidR="00F67E76" w:rsidRDefault="00F67E76">
      <w:pPr>
        <w:pStyle w:val="P00"/>
        <w:spacing w:before="72"/>
        <w:ind w:left="0" w:right="1134"/>
        <w:rPr>
          <w:rStyle w:val="default"/>
          <w:rFonts w:cs="FrankRuehl" w:hint="cs"/>
          <w:rtl/>
        </w:rPr>
      </w:pPr>
      <w:r>
        <w:rPr>
          <w:rStyle w:val="default"/>
          <w:rFonts w:cs="FrankRuehl" w:hint="cs"/>
          <w:rtl/>
        </w:rPr>
        <w:tab/>
      </w:r>
      <w:r>
        <w:rPr>
          <w:rStyle w:val="default"/>
          <w:rFonts w:cs="FrankRuehl"/>
          <w:rtl/>
        </w:rPr>
        <w:t>(ו)</w:t>
      </w:r>
      <w:r>
        <w:rPr>
          <w:rStyle w:val="default"/>
          <w:rFonts w:cs="FrankRuehl" w:hint="cs"/>
          <w:rtl/>
        </w:rPr>
        <w:tab/>
      </w:r>
      <w:r>
        <w:rPr>
          <w:rStyle w:val="default"/>
          <w:rFonts w:cs="FrankRuehl"/>
          <w:rtl/>
        </w:rPr>
        <w:t>לענין סעיף זה, "מקום מושב", של אדם – המקום שבו נמצא מרכז חייו או מקום מגוריו הרגיל.</w:t>
      </w:r>
    </w:p>
    <w:p w:rsidR="00F67E76" w:rsidRDefault="00F67E76">
      <w:pPr>
        <w:pStyle w:val="P00"/>
        <w:spacing w:before="0"/>
        <w:ind w:left="0" w:right="1134"/>
        <w:rPr>
          <w:rStyle w:val="default"/>
          <w:rFonts w:cs="FrankRuehl" w:hint="cs"/>
          <w:vanish/>
          <w:color w:val="FF0000"/>
          <w:sz w:val="20"/>
          <w:szCs w:val="20"/>
          <w:shd w:val="clear" w:color="auto" w:fill="FFFF99"/>
          <w:rtl/>
        </w:rPr>
      </w:pPr>
      <w:bookmarkStart w:id="5" w:name="Rov16"/>
      <w:r>
        <w:rPr>
          <w:rStyle w:val="default"/>
          <w:rFonts w:cs="FrankRuehl" w:hint="cs"/>
          <w:vanish/>
          <w:color w:val="FF0000"/>
          <w:sz w:val="20"/>
          <w:szCs w:val="20"/>
          <w:shd w:val="clear" w:color="auto" w:fill="FFFF99"/>
          <w:rtl/>
        </w:rPr>
        <w:t>מיום 10.8.2005</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תיקון מס' 3</w:t>
      </w:r>
    </w:p>
    <w:p w:rsidR="00F67E76" w:rsidRDefault="00F67E76">
      <w:pPr>
        <w:pStyle w:val="P00"/>
        <w:spacing w:before="0"/>
        <w:ind w:left="0" w:right="1134"/>
        <w:rPr>
          <w:rStyle w:val="default"/>
          <w:rFonts w:cs="FrankRuehl" w:hint="cs"/>
          <w:vanish/>
          <w:sz w:val="20"/>
          <w:szCs w:val="20"/>
          <w:shd w:val="clear" w:color="auto" w:fill="FFFF99"/>
          <w:rtl/>
        </w:rPr>
      </w:pPr>
      <w:hyperlink r:id="rId10" w:history="1">
        <w:r>
          <w:rPr>
            <w:rStyle w:val="Hyperlink"/>
            <w:rFonts w:cs="FrankRuehl" w:hint="cs"/>
            <w:vanish/>
            <w:szCs w:val="20"/>
            <w:shd w:val="clear" w:color="auto" w:fill="FFFF99"/>
            <w:rtl/>
          </w:rPr>
          <w:t>ס"ח תשס"ה מס' 2025</w:t>
        </w:r>
      </w:hyperlink>
      <w:r>
        <w:rPr>
          <w:rStyle w:val="default"/>
          <w:rFonts w:cs="FrankRuehl" w:hint="cs"/>
          <w:vanish/>
          <w:sz w:val="20"/>
          <w:szCs w:val="20"/>
          <w:shd w:val="clear" w:color="auto" w:fill="FFFF99"/>
          <w:rtl/>
        </w:rPr>
        <w:t xml:space="preserve"> מיום 10.8.2005 עמ' 945 (</w:t>
      </w:r>
      <w:hyperlink r:id="rId11" w:history="1">
        <w:r>
          <w:rPr>
            <w:rStyle w:val="Hyperlink"/>
            <w:rFonts w:cs="FrankRuehl" w:hint="cs"/>
            <w:vanish/>
            <w:szCs w:val="20"/>
            <w:shd w:val="clear" w:color="auto" w:fill="FFFF99"/>
            <w:rtl/>
          </w:rPr>
          <w:t>ה"ח 12</w:t>
        </w:r>
      </w:hyperlink>
      <w:r>
        <w:rPr>
          <w:rStyle w:val="default"/>
          <w:rFonts w:cs="FrankRuehl" w:hint="cs"/>
          <w:vanish/>
          <w:sz w:val="20"/>
          <w:szCs w:val="20"/>
          <w:shd w:val="clear" w:color="auto" w:fill="FFFF99"/>
          <w:rtl/>
        </w:rPr>
        <w:t>)</w:t>
      </w:r>
    </w:p>
    <w:p w:rsidR="00F67E76" w:rsidRDefault="00F67E76">
      <w:pPr>
        <w:pStyle w:val="P00"/>
        <w:spacing w:before="0"/>
        <w:ind w:left="0" w:right="1134"/>
        <w:rPr>
          <w:rStyle w:val="default"/>
          <w:rFonts w:cs="FrankRuehl" w:hint="cs"/>
          <w:b/>
          <w:bCs/>
          <w:sz w:val="2"/>
          <w:szCs w:val="2"/>
          <w:rtl/>
        </w:rPr>
      </w:pPr>
      <w:r>
        <w:rPr>
          <w:rStyle w:val="default"/>
          <w:rFonts w:cs="FrankRuehl" w:hint="cs"/>
          <w:b/>
          <w:bCs/>
          <w:vanish/>
          <w:sz w:val="20"/>
          <w:szCs w:val="20"/>
          <w:shd w:val="clear" w:color="auto" w:fill="FFFF99"/>
          <w:rtl/>
        </w:rPr>
        <w:t>הוספת סעיף 4א</w:t>
      </w:r>
      <w:bookmarkEnd w:id="5"/>
    </w:p>
    <w:p w:rsidR="00F67E76" w:rsidRDefault="00F67E76">
      <w:pPr>
        <w:pStyle w:val="P00"/>
        <w:spacing w:before="72"/>
        <w:ind w:left="0" w:right="1134"/>
        <w:rPr>
          <w:rStyle w:val="default"/>
          <w:rFonts w:cs="FrankRuehl" w:hint="cs"/>
          <w:rtl/>
        </w:rPr>
      </w:pPr>
      <w:bookmarkStart w:id="6" w:name="Seif12"/>
      <w:bookmarkEnd w:id="6"/>
      <w:r>
        <w:rPr>
          <w:rFonts w:cs="Miriam"/>
          <w:szCs w:val="32"/>
          <w:rtl/>
          <w:lang w:val="he-IL"/>
        </w:rPr>
        <w:pict>
          <v:shape id="_x0000_s1038" type="#_x0000_t202" style="position:absolute;left:0;text-align:left;margin-left:462pt;margin-top:7.1pt;width:80.25pt;height:39.2pt;z-index:251663360" filled="f" stroked="f">
            <v:textbox inset="1mm,0,1mm,0">
              <w:txbxContent>
                <w:p w:rsidR="00F67E76" w:rsidRDefault="00F67E76">
                  <w:pPr>
                    <w:spacing w:line="160" w:lineRule="exact"/>
                    <w:jc w:val="left"/>
                    <w:rPr>
                      <w:rFonts w:cs="Miriam" w:hint="cs"/>
                      <w:sz w:val="18"/>
                      <w:szCs w:val="18"/>
                      <w:rtl/>
                    </w:rPr>
                  </w:pPr>
                  <w:r>
                    <w:rPr>
                      <w:rFonts w:cs="Miriam" w:hint="cs"/>
                      <w:sz w:val="18"/>
                      <w:szCs w:val="18"/>
                      <w:rtl/>
                    </w:rPr>
                    <w:t>סדרי דין בענין נתבע שהוא תושב חוץ</w:t>
                  </w:r>
                </w:p>
                <w:p w:rsidR="00F67E76" w:rsidRDefault="00F67E76">
                  <w:pPr>
                    <w:spacing w:line="160" w:lineRule="exact"/>
                    <w:jc w:val="left"/>
                    <w:rPr>
                      <w:rFonts w:cs="Miriam" w:hint="cs"/>
                      <w:sz w:val="18"/>
                      <w:szCs w:val="18"/>
                      <w:rtl/>
                    </w:rPr>
                  </w:pPr>
                  <w:r>
                    <w:rPr>
                      <w:rFonts w:cs="Miriam" w:hint="cs"/>
                      <w:sz w:val="18"/>
                      <w:szCs w:val="18"/>
                      <w:rtl/>
                    </w:rPr>
                    <w:t>(תיקון מס' 3) תשס"ה-2005</w:t>
                  </w:r>
                </w:p>
              </w:txbxContent>
            </v:textbox>
            <w10:anchorlock/>
          </v:shape>
        </w:pict>
      </w:r>
      <w:r>
        <w:rPr>
          <w:rStyle w:val="big-number"/>
          <w:rFonts w:cs="Miriam"/>
          <w:rtl/>
        </w:rPr>
        <w:t>4</w:t>
      </w:r>
      <w:r>
        <w:rPr>
          <w:rStyle w:val="default"/>
          <w:rFonts w:cs="FrankRuehl"/>
          <w:rtl/>
        </w:rPr>
        <w:t>ב.</w:t>
      </w:r>
      <w:r>
        <w:rPr>
          <w:rStyle w:val="default"/>
          <w:rFonts w:cs="FrankRuehl" w:hint="cs"/>
          <w:rtl/>
        </w:rPr>
        <w:tab/>
      </w:r>
      <w:r>
        <w:rPr>
          <w:rStyle w:val="default"/>
          <w:rFonts w:cs="FrankRuehl"/>
          <w:rtl/>
        </w:rPr>
        <w:t>הוגשה לבית דין רבני תביעה לפי סעיף 4א כנגד נתבע שמקום מושבו</w:t>
      </w:r>
      <w:r>
        <w:rPr>
          <w:rStyle w:val="default"/>
          <w:rFonts w:cs="FrankRuehl" w:hint="cs"/>
          <w:rtl/>
        </w:rPr>
        <w:t xml:space="preserve"> </w:t>
      </w:r>
      <w:r>
        <w:rPr>
          <w:rStyle w:val="default"/>
          <w:rFonts w:cs="FrankRuehl"/>
          <w:rtl/>
        </w:rPr>
        <w:t>אינו בישראל, וקבע בית הדין כי התקיימו תנאי הסמכות שלפי אותו סעיף, יחולו הוראות אלה:</w:t>
      </w:r>
    </w:p>
    <w:p w:rsidR="00F67E76" w:rsidRDefault="00F67E76">
      <w:pPr>
        <w:pStyle w:val="P00"/>
        <w:spacing w:before="72"/>
        <w:ind w:left="624" w:right="1134"/>
        <w:rPr>
          <w:rStyle w:val="default"/>
          <w:rFonts w:cs="FrankRuehl" w:hint="cs"/>
          <w:rtl/>
        </w:rPr>
      </w:pPr>
      <w:r>
        <w:rPr>
          <w:rStyle w:val="default"/>
          <w:rFonts w:cs="FrankRuehl"/>
          <w:rtl/>
        </w:rPr>
        <w:t>(1)</w:t>
      </w:r>
      <w:r>
        <w:rPr>
          <w:rStyle w:val="default"/>
          <w:rFonts w:cs="FrankRuehl" w:hint="cs"/>
          <w:rtl/>
        </w:rPr>
        <w:tab/>
      </w:r>
      <w:r>
        <w:rPr>
          <w:rStyle w:val="default"/>
          <w:rFonts w:cs="FrankRuehl"/>
          <w:rtl/>
        </w:rPr>
        <w:t>בית הדין יהיה רשאי לפסוק בתביעה רק לאחר שכתב</w:t>
      </w:r>
      <w:r>
        <w:rPr>
          <w:rStyle w:val="default"/>
          <w:rFonts w:cs="FrankRuehl" w:hint="cs"/>
          <w:rtl/>
        </w:rPr>
        <w:t xml:space="preserve"> </w:t>
      </w:r>
      <w:r>
        <w:rPr>
          <w:rStyle w:val="default"/>
          <w:rFonts w:cs="FrankRuehl"/>
          <w:rtl/>
        </w:rPr>
        <w:t>התביעה הומצא לנתבע בצירוף הזמנה והעתק מאושר של ההחלטה בענין סמכותו של בית הדין;</w:t>
      </w:r>
    </w:p>
    <w:p w:rsidR="00F67E76" w:rsidRDefault="00F67E76">
      <w:pPr>
        <w:pStyle w:val="P00"/>
        <w:spacing w:before="72"/>
        <w:ind w:left="624" w:right="1134"/>
        <w:rPr>
          <w:rStyle w:val="default"/>
          <w:rFonts w:cs="FrankRuehl" w:hint="cs"/>
          <w:rtl/>
        </w:rPr>
      </w:pPr>
      <w:r>
        <w:rPr>
          <w:rStyle w:val="default"/>
          <w:rFonts w:cs="FrankRuehl"/>
          <w:rtl/>
        </w:rPr>
        <w:t>(2)</w:t>
      </w:r>
      <w:r>
        <w:rPr>
          <w:rStyle w:val="default"/>
          <w:rFonts w:cs="FrankRuehl" w:hint="cs"/>
          <w:rtl/>
        </w:rPr>
        <w:tab/>
      </w:r>
      <w:r>
        <w:rPr>
          <w:rStyle w:val="default"/>
          <w:rFonts w:cs="FrankRuehl"/>
          <w:rtl/>
        </w:rPr>
        <w:t>פסק בית הדין בתביעה לטובת התובע בהעדר התייצבות</w:t>
      </w:r>
      <w:r>
        <w:rPr>
          <w:rStyle w:val="default"/>
          <w:rFonts w:cs="FrankRuehl" w:hint="cs"/>
          <w:rtl/>
        </w:rPr>
        <w:t xml:space="preserve"> </w:t>
      </w:r>
      <w:r>
        <w:rPr>
          <w:rStyle w:val="default"/>
          <w:rFonts w:cs="FrankRuehl"/>
          <w:rtl/>
        </w:rPr>
        <w:t>מטעם הנתבע, רשאי הנתבע להגיש לבית הדין בקשה לעיון חוזר בתביעה בתוך מועד שייקבע בתקנות;</w:t>
      </w:r>
    </w:p>
    <w:p w:rsidR="00F67E76" w:rsidRDefault="00F67E76">
      <w:pPr>
        <w:pStyle w:val="P00"/>
        <w:spacing w:before="72"/>
        <w:ind w:left="624" w:right="1134"/>
        <w:rPr>
          <w:rStyle w:val="default"/>
          <w:rFonts w:cs="FrankRuehl" w:hint="cs"/>
          <w:rtl/>
        </w:rPr>
      </w:pPr>
      <w:r>
        <w:rPr>
          <w:rStyle w:val="default"/>
          <w:rFonts w:cs="FrankRuehl"/>
          <w:rtl/>
        </w:rPr>
        <w:t>(3)</w:t>
      </w:r>
      <w:r>
        <w:rPr>
          <w:rStyle w:val="default"/>
          <w:rFonts w:cs="FrankRuehl" w:hint="cs"/>
          <w:rtl/>
        </w:rPr>
        <w:tab/>
      </w:r>
      <w:r>
        <w:rPr>
          <w:rStyle w:val="default"/>
          <w:rFonts w:cs="FrankRuehl"/>
          <w:rtl/>
        </w:rPr>
        <w:t>נתן בית הדין פסק דין של גירושין כנגד הנתבע והנתבע לא</w:t>
      </w:r>
      <w:r>
        <w:rPr>
          <w:rStyle w:val="default"/>
          <w:rFonts w:cs="FrankRuehl" w:hint="cs"/>
          <w:rtl/>
        </w:rPr>
        <w:t xml:space="preserve"> </w:t>
      </w:r>
      <w:r>
        <w:rPr>
          <w:rStyle w:val="default"/>
          <w:rFonts w:cs="FrankRuehl"/>
          <w:rtl/>
        </w:rPr>
        <w:t>קיים את פסק הדין, יהיו לבית הדין הסמכויות הנתונות לו על פי</w:t>
      </w:r>
      <w:r>
        <w:rPr>
          <w:rStyle w:val="default"/>
          <w:rFonts w:cs="FrankRuehl" w:hint="cs"/>
          <w:rtl/>
        </w:rPr>
        <w:t xml:space="preserve"> </w:t>
      </w:r>
      <w:r>
        <w:rPr>
          <w:rStyle w:val="default"/>
          <w:rFonts w:cs="FrankRuehl"/>
          <w:rtl/>
        </w:rPr>
        <w:t>כל דין לשם קיום פסק הדין, ובלבד שאם פסק הדין ניתן בהעדר</w:t>
      </w:r>
      <w:r>
        <w:rPr>
          <w:rStyle w:val="default"/>
          <w:rFonts w:cs="FrankRuehl" w:hint="cs"/>
          <w:rtl/>
        </w:rPr>
        <w:t xml:space="preserve"> </w:t>
      </w:r>
      <w:r>
        <w:rPr>
          <w:rStyle w:val="default"/>
          <w:rFonts w:cs="FrankRuehl"/>
          <w:rtl/>
        </w:rPr>
        <w:t>התייצבות מטעם הנתבע, לא יינקטו אמצעים לפי חוק בתי דין רבניים (קיום פסקי דין של גירושין), התשנ"ה</w:t>
      </w:r>
      <w:r>
        <w:rPr>
          <w:rStyle w:val="default"/>
          <w:rFonts w:cs="FrankRuehl" w:hint="cs"/>
          <w:rtl/>
        </w:rPr>
        <w:t>-1995</w:t>
      </w:r>
      <w:r>
        <w:rPr>
          <w:rStyle w:val="default"/>
          <w:rFonts w:cs="FrankRuehl"/>
          <w:rtl/>
        </w:rPr>
        <w:t xml:space="preserve"> (בפסקה זו – החוק), אלא לאחר שהתובע המציא לנתבע עותק מאושר של</w:t>
      </w:r>
      <w:r>
        <w:rPr>
          <w:rStyle w:val="default"/>
          <w:rFonts w:cs="FrankRuehl" w:hint="cs"/>
          <w:rtl/>
        </w:rPr>
        <w:t xml:space="preserve"> </w:t>
      </w:r>
      <w:r>
        <w:rPr>
          <w:rStyle w:val="default"/>
          <w:rFonts w:cs="FrankRuehl"/>
          <w:rtl/>
        </w:rPr>
        <w:t>פסק הדין, הודעה על כך שהנתבע רשאי להגיש בקשה לעיון</w:t>
      </w:r>
      <w:r>
        <w:rPr>
          <w:rStyle w:val="default"/>
          <w:rFonts w:cs="FrankRuehl" w:hint="cs"/>
          <w:rtl/>
        </w:rPr>
        <w:t xml:space="preserve"> </w:t>
      </w:r>
      <w:r>
        <w:rPr>
          <w:rStyle w:val="default"/>
          <w:rFonts w:cs="FrankRuehl"/>
          <w:rtl/>
        </w:rPr>
        <w:t>חוזר בתביעת הגירושין והתראה על נקיטת אמצעים לפי החוק, בנוסח שנקבע בתקנות;</w:t>
      </w:r>
    </w:p>
    <w:p w:rsidR="00F67E76" w:rsidRDefault="00F67E76">
      <w:pPr>
        <w:pStyle w:val="P00"/>
        <w:spacing w:before="72"/>
        <w:ind w:left="624" w:right="1134"/>
        <w:rPr>
          <w:rStyle w:val="default"/>
          <w:rFonts w:cs="FrankRuehl" w:hint="cs"/>
          <w:rtl/>
        </w:rPr>
      </w:pPr>
      <w:r>
        <w:rPr>
          <w:rStyle w:val="default"/>
          <w:rFonts w:cs="FrankRuehl"/>
          <w:rtl/>
        </w:rPr>
        <w:t>(4)</w:t>
      </w:r>
      <w:r>
        <w:rPr>
          <w:rStyle w:val="default"/>
          <w:rFonts w:cs="FrankRuehl" w:hint="cs"/>
          <w:rtl/>
        </w:rPr>
        <w:tab/>
      </w:r>
      <w:r>
        <w:rPr>
          <w:rStyle w:val="default"/>
          <w:rFonts w:cs="FrankRuehl"/>
          <w:rtl/>
        </w:rPr>
        <w:t>המצאת מסמך אל מחוץ לישראל לפי סעיף זה תיעשה</w:t>
      </w:r>
      <w:r>
        <w:rPr>
          <w:rStyle w:val="default"/>
          <w:rFonts w:cs="FrankRuehl" w:hint="cs"/>
          <w:rtl/>
        </w:rPr>
        <w:t xml:space="preserve"> </w:t>
      </w:r>
      <w:r>
        <w:rPr>
          <w:rStyle w:val="default"/>
          <w:rFonts w:cs="FrankRuehl"/>
          <w:rtl/>
        </w:rPr>
        <w:t>בצירוף תרגום של המסמך לשפה רשמית במקום מושבו של הנתבע, כשהוא מאושר על ידי נוטריון.</w:t>
      </w:r>
    </w:p>
    <w:p w:rsidR="00F67E76" w:rsidRDefault="00F67E76">
      <w:pPr>
        <w:pStyle w:val="P00"/>
        <w:spacing w:before="0"/>
        <w:ind w:left="0" w:right="1134"/>
        <w:rPr>
          <w:rStyle w:val="default"/>
          <w:rFonts w:cs="FrankRuehl" w:hint="cs"/>
          <w:vanish/>
          <w:color w:val="FF0000"/>
          <w:sz w:val="20"/>
          <w:szCs w:val="20"/>
          <w:shd w:val="clear" w:color="auto" w:fill="FFFF99"/>
          <w:rtl/>
        </w:rPr>
      </w:pPr>
      <w:bookmarkStart w:id="7" w:name="Rov17"/>
      <w:r>
        <w:rPr>
          <w:rStyle w:val="default"/>
          <w:rFonts w:cs="FrankRuehl" w:hint="cs"/>
          <w:vanish/>
          <w:color w:val="FF0000"/>
          <w:sz w:val="20"/>
          <w:szCs w:val="20"/>
          <w:shd w:val="clear" w:color="auto" w:fill="FFFF99"/>
          <w:rtl/>
        </w:rPr>
        <w:t>מיום 10.8.2005</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תיקון מס' 3</w:t>
      </w:r>
    </w:p>
    <w:p w:rsidR="00F67E76" w:rsidRDefault="00F67E76">
      <w:pPr>
        <w:pStyle w:val="P00"/>
        <w:spacing w:before="0"/>
        <w:ind w:left="0" w:right="1134"/>
        <w:rPr>
          <w:rStyle w:val="default"/>
          <w:rFonts w:cs="FrankRuehl" w:hint="cs"/>
          <w:vanish/>
          <w:sz w:val="20"/>
          <w:szCs w:val="20"/>
          <w:shd w:val="clear" w:color="auto" w:fill="FFFF99"/>
          <w:rtl/>
        </w:rPr>
      </w:pPr>
      <w:hyperlink r:id="rId12" w:history="1">
        <w:r>
          <w:rPr>
            <w:rStyle w:val="Hyperlink"/>
            <w:rFonts w:cs="FrankRuehl" w:hint="cs"/>
            <w:vanish/>
            <w:szCs w:val="20"/>
            <w:shd w:val="clear" w:color="auto" w:fill="FFFF99"/>
            <w:rtl/>
          </w:rPr>
          <w:t>ס"ח תשס"ה מס' 2025</w:t>
        </w:r>
      </w:hyperlink>
      <w:r>
        <w:rPr>
          <w:rStyle w:val="default"/>
          <w:rFonts w:cs="FrankRuehl" w:hint="cs"/>
          <w:vanish/>
          <w:sz w:val="20"/>
          <w:szCs w:val="20"/>
          <w:shd w:val="clear" w:color="auto" w:fill="FFFF99"/>
          <w:rtl/>
        </w:rPr>
        <w:t xml:space="preserve"> מיום 10.8.2005 עמ' 946 (</w:t>
      </w:r>
      <w:hyperlink r:id="rId13" w:history="1">
        <w:r>
          <w:rPr>
            <w:rStyle w:val="Hyperlink"/>
            <w:rFonts w:cs="FrankRuehl" w:hint="cs"/>
            <w:vanish/>
            <w:szCs w:val="20"/>
            <w:shd w:val="clear" w:color="auto" w:fill="FFFF99"/>
            <w:rtl/>
          </w:rPr>
          <w:t>ה"ח 12</w:t>
        </w:r>
      </w:hyperlink>
      <w:r>
        <w:rPr>
          <w:rStyle w:val="default"/>
          <w:rFonts w:cs="FrankRuehl" w:hint="cs"/>
          <w:vanish/>
          <w:sz w:val="20"/>
          <w:szCs w:val="20"/>
          <w:shd w:val="clear" w:color="auto" w:fill="FFFF99"/>
          <w:rtl/>
        </w:rPr>
        <w:t>)</w:t>
      </w:r>
    </w:p>
    <w:p w:rsidR="00F67E76" w:rsidRDefault="00F67E76">
      <w:pPr>
        <w:pStyle w:val="P00"/>
        <w:spacing w:before="0"/>
        <w:ind w:left="0" w:right="1134"/>
        <w:rPr>
          <w:rStyle w:val="default"/>
          <w:rFonts w:cs="FrankRuehl" w:hint="cs"/>
          <w:b/>
          <w:bCs/>
          <w:sz w:val="2"/>
          <w:szCs w:val="2"/>
          <w:rtl/>
        </w:rPr>
      </w:pPr>
      <w:r>
        <w:rPr>
          <w:rStyle w:val="default"/>
          <w:rFonts w:cs="FrankRuehl" w:hint="cs"/>
          <w:b/>
          <w:bCs/>
          <w:vanish/>
          <w:sz w:val="20"/>
          <w:szCs w:val="20"/>
          <w:shd w:val="clear" w:color="auto" w:fill="FFFF99"/>
          <w:rtl/>
        </w:rPr>
        <w:t>הוספת סעיף 4ב</w:t>
      </w:r>
      <w:bookmarkEnd w:id="7"/>
    </w:p>
    <w:p w:rsidR="00F67E76" w:rsidRDefault="00F67E76">
      <w:pPr>
        <w:pStyle w:val="P00"/>
        <w:spacing w:before="72"/>
        <w:ind w:left="0" w:right="1134"/>
        <w:rPr>
          <w:rStyle w:val="default"/>
          <w:rFonts w:cs="FrankRuehl" w:hint="cs"/>
          <w:rtl/>
        </w:rPr>
      </w:pPr>
      <w:bookmarkStart w:id="8" w:name="Seif13"/>
      <w:bookmarkEnd w:id="8"/>
      <w:r>
        <w:rPr>
          <w:rFonts w:cs="Miriam"/>
          <w:szCs w:val="32"/>
          <w:rtl/>
          <w:lang w:val="he-IL"/>
        </w:rPr>
        <w:pict>
          <v:shape id="_x0000_s1039" type="#_x0000_t202" style="position:absolute;left:0;text-align:left;margin-left:462pt;margin-top:7.1pt;width:80.25pt;height:52.15pt;z-index:251664384" filled="f" stroked="f">
            <v:textbox inset="1mm,0,1mm,0">
              <w:txbxContent>
                <w:p w:rsidR="00F67E76" w:rsidRDefault="00F67E76">
                  <w:pPr>
                    <w:spacing w:line="160" w:lineRule="exact"/>
                    <w:jc w:val="left"/>
                    <w:rPr>
                      <w:rFonts w:cs="Miriam" w:hint="cs"/>
                      <w:sz w:val="18"/>
                      <w:szCs w:val="18"/>
                      <w:rtl/>
                    </w:rPr>
                  </w:pPr>
                  <w:r>
                    <w:rPr>
                      <w:rFonts w:cs="Miriam" w:hint="cs"/>
                      <w:sz w:val="18"/>
                      <w:szCs w:val="18"/>
                      <w:rtl/>
                    </w:rPr>
                    <w:t>חוות דעת הלכתיות בענין גט פיטורין או היתר נישואין במדינת חוץ</w:t>
                  </w:r>
                </w:p>
                <w:p w:rsidR="00F67E76" w:rsidRDefault="00F67E76">
                  <w:pPr>
                    <w:spacing w:line="160" w:lineRule="exact"/>
                    <w:jc w:val="left"/>
                    <w:rPr>
                      <w:rFonts w:cs="Miriam" w:hint="cs"/>
                      <w:sz w:val="18"/>
                      <w:szCs w:val="18"/>
                      <w:rtl/>
                    </w:rPr>
                  </w:pPr>
                  <w:r>
                    <w:rPr>
                      <w:rFonts w:cs="Miriam" w:hint="cs"/>
                      <w:sz w:val="18"/>
                      <w:szCs w:val="18"/>
                      <w:rtl/>
                    </w:rPr>
                    <w:t>(תיקון מס' 3) תשס"ה-2005</w:t>
                  </w:r>
                </w:p>
              </w:txbxContent>
            </v:textbox>
            <w10:anchorlock/>
          </v:shape>
        </w:pict>
      </w:r>
      <w:r>
        <w:rPr>
          <w:rStyle w:val="big-number"/>
          <w:rFonts w:cs="Miriam"/>
          <w:rtl/>
        </w:rPr>
        <w:t>4</w:t>
      </w:r>
      <w:r>
        <w:rPr>
          <w:rStyle w:val="default"/>
          <w:rFonts w:cs="FrankRuehl"/>
          <w:rtl/>
        </w:rPr>
        <w:t>ג.</w:t>
      </w:r>
      <w:r>
        <w:rPr>
          <w:rStyle w:val="default"/>
          <w:rFonts w:cs="FrankRuehl" w:hint="cs"/>
          <w:rtl/>
        </w:rPr>
        <w:tab/>
      </w:r>
      <w:r>
        <w:rPr>
          <w:rStyle w:val="default"/>
          <w:rFonts w:cs="FrankRuehl"/>
          <w:rtl/>
        </w:rPr>
        <w:t>בלי לגרוע מהוראות סעיף 9, התקבלה בבית דין רבני פניה לקבל חוות</w:t>
      </w:r>
      <w:r>
        <w:rPr>
          <w:rStyle w:val="default"/>
          <w:rFonts w:cs="FrankRuehl" w:hint="cs"/>
          <w:rtl/>
        </w:rPr>
        <w:t xml:space="preserve"> </w:t>
      </w:r>
      <w:r>
        <w:rPr>
          <w:rStyle w:val="default"/>
          <w:rFonts w:cs="FrankRuehl"/>
          <w:rtl/>
        </w:rPr>
        <w:t>דעת הלכתית בענין הסדרת גט פיטורין בין בני זוג יהודים הנשואים כדין</w:t>
      </w:r>
      <w:r>
        <w:rPr>
          <w:rStyle w:val="default"/>
          <w:rFonts w:cs="FrankRuehl" w:hint="cs"/>
          <w:rtl/>
        </w:rPr>
        <w:t xml:space="preserve"> </w:t>
      </w:r>
      <w:r>
        <w:rPr>
          <w:rStyle w:val="default"/>
          <w:rFonts w:cs="FrankRuehl"/>
          <w:rtl/>
        </w:rPr>
        <w:t>תורה שאינם נתונים לשיפוטו היחודי של בית הדין, או בענין היתר נישואין,</w:t>
      </w:r>
      <w:r>
        <w:rPr>
          <w:rStyle w:val="default"/>
          <w:rFonts w:cs="FrankRuehl" w:hint="cs"/>
          <w:rtl/>
        </w:rPr>
        <w:t xml:space="preserve"> </w:t>
      </w:r>
      <w:r>
        <w:rPr>
          <w:rStyle w:val="default"/>
          <w:rFonts w:cs="FrankRuehl"/>
          <w:rtl/>
        </w:rPr>
        <w:t>רשאי נשיא בית הדין הרבני הגדול למנות הרכב של דיין אחד או יותר לשם מתן חוות הדעת.</w:t>
      </w:r>
    </w:p>
    <w:p w:rsidR="00F67E76" w:rsidRDefault="00F67E76">
      <w:pPr>
        <w:pStyle w:val="P00"/>
        <w:spacing w:before="0"/>
        <w:ind w:left="0" w:right="1134"/>
        <w:rPr>
          <w:rStyle w:val="default"/>
          <w:rFonts w:cs="FrankRuehl" w:hint="cs"/>
          <w:vanish/>
          <w:color w:val="FF0000"/>
          <w:sz w:val="20"/>
          <w:szCs w:val="20"/>
          <w:shd w:val="clear" w:color="auto" w:fill="FFFF99"/>
          <w:rtl/>
        </w:rPr>
      </w:pPr>
      <w:bookmarkStart w:id="9" w:name="Rov18"/>
      <w:r>
        <w:rPr>
          <w:rStyle w:val="default"/>
          <w:rFonts w:cs="FrankRuehl" w:hint="cs"/>
          <w:vanish/>
          <w:color w:val="FF0000"/>
          <w:sz w:val="20"/>
          <w:szCs w:val="20"/>
          <w:shd w:val="clear" w:color="auto" w:fill="FFFF99"/>
          <w:rtl/>
        </w:rPr>
        <w:t>מיום 10.8.2005</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תיקון מס' 3</w:t>
      </w:r>
    </w:p>
    <w:p w:rsidR="00F67E76" w:rsidRDefault="00F67E76">
      <w:pPr>
        <w:pStyle w:val="P00"/>
        <w:spacing w:before="0"/>
        <w:ind w:left="0" w:right="1134"/>
        <w:rPr>
          <w:rStyle w:val="default"/>
          <w:rFonts w:cs="FrankRuehl" w:hint="cs"/>
          <w:vanish/>
          <w:sz w:val="20"/>
          <w:szCs w:val="20"/>
          <w:shd w:val="clear" w:color="auto" w:fill="FFFF99"/>
          <w:rtl/>
        </w:rPr>
      </w:pPr>
      <w:hyperlink r:id="rId14" w:history="1">
        <w:r>
          <w:rPr>
            <w:rStyle w:val="Hyperlink"/>
            <w:rFonts w:cs="FrankRuehl" w:hint="cs"/>
            <w:vanish/>
            <w:szCs w:val="20"/>
            <w:shd w:val="clear" w:color="auto" w:fill="FFFF99"/>
            <w:rtl/>
          </w:rPr>
          <w:t>ס"ח תשס"ה מס' 2025</w:t>
        </w:r>
      </w:hyperlink>
      <w:r>
        <w:rPr>
          <w:rStyle w:val="default"/>
          <w:rFonts w:cs="FrankRuehl" w:hint="cs"/>
          <w:vanish/>
          <w:sz w:val="20"/>
          <w:szCs w:val="20"/>
          <w:shd w:val="clear" w:color="auto" w:fill="FFFF99"/>
          <w:rtl/>
        </w:rPr>
        <w:t xml:space="preserve"> מיום 10.8.2005 עמ' 946 (</w:t>
      </w:r>
      <w:hyperlink r:id="rId15" w:history="1">
        <w:r>
          <w:rPr>
            <w:rStyle w:val="Hyperlink"/>
            <w:rFonts w:cs="FrankRuehl" w:hint="cs"/>
            <w:vanish/>
            <w:szCs w:val="20"/>
            <w:shd w:val="clear" w:color="auto" w:fill="FFFF99"/>
            <w:rtl/>
          </w:rPr>
          <w:t>ה"ח 12</w:t>
        </w:r>
      </w:hyperlink>
      <w:r>
        <w:rPr>
          <w:rStyle w:val="default"/>
          <w:rFonts w:cs="FrankRuehl" w:hint="cs"/>
          <w:vanish/>
          <w:sz w:val="20"/>
          <w:szCs w:val="20"/>
          <w:shd w:val="clear" w:color="auto" w:fill="FFFF99"/>
          <w:rtl/>
        </w:rPr>
        <w:t>)</w:t>
      </w:r>
    </w:p>
    <w:p w:rsidR="00F67E76" w:rsidRDefault="00F67E76">
      <w:pPr>
        <w:pStyle w:val="P00"/>
        <w:spacing w:before="0"/>
        <w:ind w:left="0" w:right="1134"/>
        <w:rPr>
          <w:rStyle w:val="default"/>
          <w:rFonts w:cs="FrankRuehl" w:hint="cs"/>
          <w:b/>
          <w:bCs/>
          <w:sz w:val="2"/>
          <w:szCs w:val="2"/>
          <w:rtl/>
        </w:rPr>
      </w:pPr>
      <w:r>
        <w:rPr>
          <w:rStyle w:val="default"/>
          <w:rFonts w:cs="FrankRuehl" w:hint="cs"/>
          <w:b/>
          <w:bCs/>
          <w:vanish/>
          <w:sz w:val="20"/>
          <w:szCs w:val="20"/>
          <w:shd w:val="clear" w:color="auto" w:fill="FFFF99"/>
          <w:rtl/>
        </w:rPr>
        <w:t>הוספת סעיף 4ג</w:t>
      </w:r>
      <w:bookmarkEnd w:id="9"/>
    </w:p>
    <w:p w:rsidR="00F67E76" w:rsidRDefault="00F67E76">
      <w:pPr>
        <w:pStyle w:val="P00"/>
        <w:spacing w:before="72"/>
        <w:ind w:left="0" w:right="1134"/>
        <w:rPr>
          <w:rStyle w:val="default"/>
          <w:rFonts w:cs="FrankRuehl"/>
          <w:rtl/>
        </w:rPr>
      </w:pPr>
      <w:bookmarkStart w:id="10" w:name="Seif4"/>
      <w:bookmarkEnd w:id="10"/>
      <w:r>
        <w:rPr>
          <w:lang w:val="he-IL"/>
        </w:rPr>
        <w:pict>
          <v:rect id="_x0000_s1030" style="position:absolute;left:0;text-align:left;margin-left:464.5pt;margin-top:8.05pt;width:75.05pt;height:17.75pt;z-index:251655168" o:allowincell="f" filled="f" stroked="f" strokecolor="lime" strokeweight=".25pt">
            <v:textbox style="mso-next-textbox:#_x0000_s1030" inset="0,0,0,0">
              <w:txbxContent>
                <w:p w:rsidR="00F67E76" w:rsidRDefault="00F67E76">
                  <w:pPr>
                    <w:spacing w:line="160" w:lineRule="exact"/>
                    <w:jc w:val="left"/>
                    <w:rPr>
                      <w:rFonts w:cs="Miriam"/>
                      <w:noProof/>
                      <w:sz w:val="18"/>
                      <w:szCs w:val="18"/>
                      <w:rtl/>
                    </w:rPr>
                  </w:pPr>
                  <w:r>
                    <w:rPr>
                      <w:rFonts w:cs="Miriam"/>
                      <w:sz w:val="18"/>
                      <w:szCs w:val="18"/>
                      <w:rtl/>
                    </w:rPr>
                    <w:t>שי</w:t>
                  </w:r>
                  <w:r>
                    <w:rPr>
                      <w:rFonts w:cs="Miriam" w:hint="cs"/>
                      <w:sz w:val="18"/>
                      <w:szCs w:val="18"/>
                      <w:rtl/>
                    </w:rPr>
                    <w:t>פוט בעניני ח</w:t>
                  </w:r>
                  <w:r>
                    <w:rPr>
                      <w:rFonts w:cs="Miriam"/>
                      <w:sz w:val="18"/>
                      <w:szCs w:val="18"/>
                      <w:rtl/>
                    </w:rPr>
                    <w:t>ל</w:t>
                  </w:r>
                  <w:r>
                    <w:rPr>
                      <w:rFonts w:cs="Miriam" w:hint="cs"/>
                      <w:sz w:val="18"/>
                      <w:szCs w:val="18"/>
                      <w:rtl/>
                    </w:rPr>
                    <w:t>יצה</w:t>
                  </w:r>
                </w:p>
              </w:txbxContent>
            </v:textbox>
            <w10:anchorlock/>
          </v:rect>
        </w:pict>
      </w:r>
      <w:r>
        <w:rPr>
          <w:rStyle w:val="big-number"/>
          <w:rFonts w:cs="Miriam"/>
          <w:rtl/>
        </w:rPr>
        <w:t>5.</w:t>
      </w:r>
      <w:r>
        <w:rPr>
          <w:rStyle w:val="big-number"/>
          <w:rFonts w:cs="Miriam"/>
          <w:rtl/>
        </w:rPr>
        <w:tab/>
      </w:r>
      <w:r>
        <w:rPr>
          <w:rStyle w:val="default"/>
          <w:rFonts w:cs="FrankRuehl"/>
          <w:rtl/>
        </w:rPr>
        <w:t>תב</w:t>
      </w:r>
      <w:r>
        <w:rPr>
          <w:rStyle w:val="default"/>
          <w:rFonts w:cs="FrankRuehl" w:hint="cs"/>
          <w:rtl/>
        </w:rPr>
        <w:t>עה אשה מיבמה בבית ד</w:t>
      </w:r>
      <w:r>
        <w:rPr>
          <w:rStyle w:val="default"/>
          <w:rFonts w:cs="FrankRuehl"/>
          <w:rtl/>
        </w:rPr>
        <w:t>י</w:t>
      </w:r>
      <w:r>
        <w:rPr>
          <w:rStyle w:val="default"/>
          <w:rFonts w:cs="FrankRuehl" w:hint="cs"/>
          <w:rtl/>
        </w:rPr>
        <w:t>ן רבני מתן חליצה, יהא לבית הדין הרבני שיפוט יחודי בענין התביעה, לרבות מזונות לאשה עד יום מתן החליצה.</w:t>
      </w:r>
    </w:p>
    <w:p w:rsidR="00F67E76" w:rsidRDefault="00F67E76">
      <w:pPr>
        <w:pStyle w:val="P00"/>
        <w:spacing w:before="72"/>
        <w:ind w:left="0" w:right="1134"/>
        <w:rPr>
          <w:rStyle w:val="default"/>
          <w:rFonts w:cs="FrankRuehl" w:hint="cs"/>
          <w:rtl/>
        </w:rPr>
      </w:pPr>
      <w:bookmarkStart w:id="11" w:name="Seif5"/>
      <w:bookmarkEnd w:id="11"/>
      <w:r>
        <w:rPr>
          <w:lang w:val="he-IL"/>
        </w:rPr>
        <w:pict>
          <v:rect id="_x0000_s1031" style="position:absolute;left:0;text-align:left;margin-left:464.5pt;margin-top:8.05pt;width:75.05pt;height:36.8pt;z-index:251656192" o:allowincell="f" filled="f" stroked="f" strokecolor="lime" strokeweight=".25pt">
            <v:textbox style="mso-next-textbox:#_x0000_s1031" inset="0,0,0,0">
              <w:txbxContent>
                <w:p w:rsidR="00F67E76" w:rsidRDefault="00F67E76">
                  <w:pPr>
                    <w:spacing w:line="160" w:lineRule="exact"/>
                    <w:jc w:val="left"/>
                    <w:rPr>
                      <w:rFonts w:cs="Miriam" w:hint="cs"/>
                      <w:sz w:val="18"/>
                      <w:szCs w:val="18"/>
                      <w:rtl/>
                    </w:rPr>
                  </w:pPr>
                  <w:r>
                    <w:rPr>
                      <w:rFonts w:cs="Miriam"/>
                      <w:sz w:val="18"/>
                      <w:szCs w:val="18"/>
                      <w:rtl/>
                    </w:rPr>
                    <w:t>כפ</w:t>
                  </w:r>
                  <w:r>
                    <w:rPr>
                      <w:rFonts w:cs="Miriam" w:hint="cs"/>
                      <w:sz w:val="18"/>
                      <w:szCs w:val="18"/>
                      <w:rtl/>
                    </w:rPr>
                    <w:t xml:space="preserve">יה למתן </w:t>
                  </w:r>
                  <w:r>
                    <w:rPr>
                      <w:rFonts w:cs="Miriam"/>
                      <w:sz w:val="18"/>
                      <w:szCs w:val="18"/>
                      <w:rtl/>
                    </w:rPr>
                    <w:t>גט</w:t>
                  </w:r>
                  <w:r>
                    <w:rPr>
                      <w:rFonts w:cs="Miriam" w:hint="cs"/>
                      <w:sz w:val="18"/>
                      <w:szCs w:val="18"/>
                      <w:rtl/>
                    </w:rPr>
                    <w:t xml:space="preserve"> ול</w:t>
                  </w:r>
                  <w:r>
                    <w:rPr>
                      <w:rFonts w:cs="Miriam"/>
                      <w:sz w:val="18"/>
                      <w:szCs w:val="18"/>
                      <w:rtl/>
                    </w:rPr>
                    <w:t>קב</w:t>
                  </w:r>
                  <w:r>
                    <w:rPr>
                      <w:rFonts w:cs="Miriam" w:hint="cs"/>
                      <w:sz w:val="18"/>
                      <w:szCs w:val="18"/>
                      <w:rtl/>
                    </w:rPr>
                    <w:t>לתו</w:t>
                  </w:r>
                </w:p>
                <w:p w:rsidR="00F67E76" w:rsidRDefault="00F67E76">
                  <w:pPr>
                    <w:spacing w:line="160" w:lineRule="exact"/>
                    <w:jc w:val="left"/>
                    <w:rPr>
                      <w:rFonts w:cs="Miriam" w:hint="cs"/>
                      <w:noProof/>
                      <w:sz w:val="18"/>
                      <w:szCs w:val="18"/>
                      <w:rtl/>
                    </w:rPr>
                  </w:pPr>
                  <w:r>
                    <w:rPr>
                      <w:rFonts w:cs="Miriam" w:hint="cs"/>
                      <w:sz w:val="18"/>
                      <w:szCs w:val="18"/>
                      <w:rtl/>
                    </w:rPr>
                    <w:t xml:space="preserve">(תיקון מס' 1) </w:t>
                  </w:r>
                </w:p>
                <w:p w:rsidR="00F67E76" w:rsidRDefault="00F67E76">
                  <w:pPr>
                    <w:spacing w:line="160" w:lineRule="exact"/>
                    <w:jc w:val="left"/>
                    <w:rPr>
                      <w:rFonts w:cs="Miriam"/>
                      <w:noProof/>
                      <w:sz w:val="18"/>
                      <w:szCs w:val="18"/>
                      <w:rtl/>
                    </w:rPr>
                  </w:pPr>
                  <w:r>
                    <w:rPr>
                      <w:rFonts w:cs="Miriam"/>
                      <w:sz w:val="18"/>
                      <w:szCs w:val="18"/>
                      <w:rtl/>
                    </w:rPr>
                    <w:t>תש</w:t>
                  </w:r>
                  <w:r>
                    <w:rPr>
                      <w:rFonts w:cs="Miriam" w:hint="cs"/>
                      <w:sz w:val="18"/>
                      <w:szCs w:val="18"/>
                      <w:rtl/>
                    </w:rPr>
                    <w:t>נ"ה-1995</w:t>
                  </w:r>
                </w:p>
              </w:txbxContent>
            </v:textbox>
            <w10:anchorlock/>
          </v:rect>
        </w:pict>
      </w:r>
      <w:r>
        <w:rPr>
          <w:rStyle w:val="big-number"/>
          <w:rFonts w:cs="Miriam"/>
          <w:rtl/>
        </w:rPr>
        <w:t>6.</w:t>
      </w:r>
      <w:r>
        <w:rPr>
          <w:rStyle w:val="big-number"/>
          <w:rFonts w:cs="Miriam"/>
          <w:rtl/>
        </w:rPr>
        <w:tab/>
      </w:r>
      <w:r>
        <w:rPr>
          <w:rStyle w:val="default"/>
          <w:rFonts w:cs="FrankRuehl"/>
          <w:rtl/>
        </w:rPr>
        <w:t>צי</w:t>
      </w:r>
      <w:r>
        <w:rPr>
          <w:rStyle w:val="default"/>
          <w:rFonts w:cs="FrankRuehl" w:hint="cs"/>
          <w:rtl/>
        </w:rPr>
        <w:t xml:space="preserve">ווה בית דין רבני בפסק- דין סופי לכפות איש לתת גט פיטורין </w:t>
      </w:r>
      <w:r>
        <w:rPr>
          <w:rStyle w:val="default"/>
          <w:rFonts w:cs="FrankRuehl"/>
          <w:rtl/>
        </w:rPr>
        <w:t>לא</w:t>
      </w:r>
      <w:r>
        <w:rPr>
          <w:rStyle w:val="default"/>
          <w:rFonts w:cs="FrankRuehl" w:hint="cs"/>
          <w:rtl/>
        </w:rPr>
        <w:t>שתו או לכפות אשה לקבל גט פיטורין מאישה, רשאי בית משפט מחוזי, כתום ששים ימים מיום מתן הצו, לפי בקשת היועץ המשפטי לממשלה, לכפות במאסר לציית לצו.</w:t>
      </w:r>
    </w:p>
    <w:p w:rsidR="00F67E76" w:rsidRDefault="00F67E76">
      <w:pPr>
        <w:pStyle w:val="P00"/>
        <w:spacing w:before="0"/>
        <w:ind w:left="0" w:right="1134"/>
        <w:rPr>
          <w:rStyle w:val="default"/>
          <w:rFonts w:cs="FrankRuehl" w:hint="cs"/>
          <w:vanish/>
          <w:color w:val="FF0000"/>
          <w:sz w:val="20"/>
          <w:szCs w:val="20"/>
          <w:shd w:val="clear" w:color="auto" w:fill="FFFF99"/>
          <w:rtl/>
        </w:rPr>
      </w:pPr>
      <w:bookmarkStart w:id="12" w:name="Rov19"/>
      <w:r>
        <w:rPr>
          <w:rStyle w:val="default"/>
          <w:rFonts w:cs="FrankRuehl" w:hint="cs"/>
          <w:vanish/>
          <w:color w:val="FF0000"/>
          <w:sz w:val="20"/>
          <w:szCs w:val="20"/>
          <w:shd w:val="clear" w:color="auto" w:fill="FFFF99"/>
          <w:rtl/>
        </w:rPr>
        <w:t>מיום 2.3.1995</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תיקון מס' 1</w:t>
      </w:r>
    </w:p>
    <w:p w:rsidR="00F67E76" w:rsidRDefault="00F67E76">
      <w:pPr>
        <w:pStyle w:val="P00"/>
        <w:spacing w:before="0"/>
        <w:ind w:left="0" w:right="1134"/>
        <w:rPr>
          <w:rStyle w:val="default"/>
          <w:rFonts w:cs="FrankRuehl" w:hint="cs"/>
          <w:vanish/>
          <w:sz w:val="20"/>
          <w:szCs w:val="20"/>
          <w:shd w:val="clear" w:color="auto" w:fill="FFFF99"/>
          <w:rtl/>
        </w:rPr>
      </w:pPr>
      <w:hyperlink r:id="rId16" w:history="1">
        <w:r>
          <w:rPr>
            <w:rStyle w:val="Hyperlink"/>
            <w:rFonts w:cs="FrankRuehl" w:hint="cs"/>
            <w:vanish/>
            <w:szCs w:val="20"/>
            <w:shd w:val="clear" w:color="auto" w:fill="FFFF99"/>
            <w:rtl/>
          </w:rPr>
          <w:t>ס"ח תשנ"ה מס' 1507</w:t>
        </w:r>
      </w:hyperlink>
      <w:r>
        <w:rPr>
          <w:rStyle w:val="default"/>
          <w:rFonts w:cs="FrankRuehl" w:hint="cs"/>
          <w:vanish/>
          <w:sz w:val="20"/>
          <w:szCs w:val="20"/>
          <w:shd w:val="clear" w:color="auto" w:fill="FFFF99"/>
          <w:rtl/>
        </w:rPr>
        <w:t xml:space="preserve"> מיום 2.3.1995 עמ' 140 (</w:t>
      </w:r>
      <w:hyperlink r:id="rId17" w:history="1">
        <w:r>
          <w:rPr>
            <w:rStyle w:val="Hyperlink"/>
            <w:rFonts w:cs="FrankRuehl" w:hint="cs"/>
            <w:vanish/>
            <w:szCs w:val="20"/>
            <w:shd w:val="clear" w:color="auto" w:fill="FFFF99"/>
            <w:rtl/>
          </w:rPr>
          <w:t>ה"ח 2281</w:t>
        </w:r>
      </w:hyperlink>
      <w:r>
        <w:rPr>
          <w:rStyle w:val="default"/>
          <w:rFonts w:cs="FrankRuehl" w:hint="cs"/>
          <w:vanish/>
          <w:sz w:val="20"/>
          <w:szCs w:val="20"/>
          <w:shd w:val="clear" w:color="auto" w:fill="FFFF99"/>
          <w:rtl/>
        </w:rPr>
        <w:t xml:space="preserve">, </w:t>
      </w:r>
      <w:hyperlink r:id="rId18" w:history="1">
        <w:r>
          <w:rPr>
            <w:rStyle w:val="Hyperlink"/>
            <w:rFonts w:cs="FrankRuehl" w:hint="cs"/>
            <w:vanish/>
            <w:szCs w:val="20"/>
            <w:shd w:val="clear" w:color="auto" w:fill="FFFF99"/>
            <w:rtl/>
          </w:rPr>
          <w:t>ה"ח 2322</w:t>
        </w:r>
      </w:hyperlink>
      <w:r>
        <w:rPr>
          <w:rStyle w:val="default"/>
          <w:rFonts w:cs="FrankRuehl" w:hint="cs"/>
          <w:vanish/>
          <w:sz w:val="20"/>
          <w:szCs w:val="20"/>
          <w:shd w:val="clear" w:color="auto" w:fill="FFFF99"/>
          <w:rtl/>
        </w:rPr>
        <w:t>)</w:t>
      </w:r>
    </w:p>
    <w:p w:rsidR="00F67E76" w:rsidRDefault="00F67E76">
      <w:pPr>
        <w:pStyle w:val="P00"/>
        <w:ind w:left="0" w:right="1134"/>
        <w:rPr>
          <w:rStyle w:val="default"/>
          <w:rFonts w:cs="FrankRuehl" w:hint="cs"/>
          <w:sz w:val="2"/>
          <w:szCs w:val="2"/>
          <w:rtl/>
        </w:rPr>
      </w:pPr>
      <w:r>
        <w:rPr>
          <w:rStyle w:val="big-number"/>
          <w:rFonts w:cs="FrankRuehl"/>
          <w:vanish/>
          <w:sz w:val="22"/>
          <w:szCs w:val="22"/>
          <w:shd w:val="clear" w:color="auto" w:fill="FFFF99"/>
          <w:rtl/>
        </w:rPr>
        <w:t>6.</w:t>
      </w:r>
      <w:r>
        <w:rPr>
          <w:rStyle w:val="big-number"/>
          <w:rFonts w:cs="FrankRuehl"/>
          <w:vanish/>
          <w:sz w:val="22"/>
          <w:szCs w:val="22"/>
          <w:shd w:val="clear" w:color="auto" w:fill="FFFF99"/>
          <w:rtl/>
        </w:rPr>
        <w:tab/>
      </w:r>
      <w:r>
        <w:rPr>
          <w:rStyle w:val="default"/>
          <w:rFonts w:cs="FrankRuehl"/>
          <w:vanish/>
          <w:sz w:val="22"/>
          <w:szCs w:val="22"/>
          <w:shd w:val="clear" w:color="auto" w:fill="FFFF99"/>
          <w:rtl/>
        </w:rPr>
        <w:t>צי</w:t>
      </w:r>
      <w:r>
        <w:rPr>
          <w:rStyle w:val="default"/>
          <w:rFonts w:cs="FrankRuehl" w:hint="cs"/>
          <w:vanish/>
          <w:sz w:val="22"/>
          <w:szCs w:val="22"/>
          <w:shd w:val="clear" w:color="auto" w:fill="FFFF99"/>
          <w:rtl/>
        </w:rPr>
        <w:t xml:space="preserve">ווה בית דין רבני בפסק-דין סופי לכפות איש לתת גט פיטורין </w:t>
      </w:r>
      <w:r>
        <w:rPr>
          <w:rStyle w:val="default"/>
          <w:rFonts w:cs="FrankRuehl"/>
          <w:vanish/>
          <w:sz w:val="22"/>
          <w:szCs w:val="22"/>
          <w:shd w:val="clear" w:color="auto" w:fill="FFFF99"/>
          <w:rtl/>
        </w:rPr>
        <w:t>לא</w:t>
      </w:r>
      <w:r>
        <w:rPr>
          <w:rStyle w:val="default"/>
          <w:rFonts w:cs="FrankRuehl" w:hint="cs"/>
          <w:vanish/>
          <w:sz w:val="22"/>
          <w:szCs w:val="22"/>
          <w:shd w:val="clear" w:color="auto" w:fill="FFFF99"/>
          <w:rtl/>
        </w:rPr>
        <w:t xml:space="preserve">שתו או לכפות אשה לקבל גט פיטורין מאישה, רשאי בית משפט מחוזי, כתום </w:t>
      </w:r>
      <w:r>
        <w:rPr>
          <w:rStyle w:val="default"/>
          <w:rFonts w:cs="FrankRuehl" w:hint="cs"/>
          <w:strike/>
          <w:vanish/>
          <w:sz w:val="22"/>
          <w:szCs w:val="22"/>
          <w:shd w:val="clear" w:color="auto" w:fill="FFFF99"/>
          <w:rtl/>
        </w:rPr>
        <w:t>ששה חודשים</w:t>
      </w:r>
      <w:r>
        <w:rPr>
          <w:rStyle w:val="default"/>
          <w:rFonts w:cs="FrankRuehl" w:hint="cs"/>
          <w:vanish/>
          <w:sz w:val="22"/>
          <w:szCs w:val="22"/>
          <w:shd w:val="clear" w:color="auto" w:fill="FFFF99"/>
          <w:rtl/>
        </w:rPr>
        <w:t xml:space="preserve"> </w:t>
      </w:r>
      <w:r>
        <w:rPr>
          <w:rStyle w:val="default"/>
          <w:rFonts w:cs="FrankRuehl" w:hint="cs"/>
          <w:vanish/>
          <w:sz w:val="22"/>
          <w:szCs w:val="22"/>
          <w:u w:val="single"/>
          <w:shd w:val="clear" w:color="auto" w:fill="FFFF99"/>
          <w:rtl/>
        </w:rPr>
        <w:t>ששים ימים</w:t>
      </w:r>
      <w:r>
        <w:rPr>
          <w:rStyle w:val="default"/>
          <w:rFonts w:cs="FrankRuehl" w:hint="cs"/>
          <w:vanish/>
          <w:sz w:val="22"/>
          <w:szCs w:val="22"/>
          <w:shd w:val="clear" w:color="auto" w:fill="FFFF99"/>
          <w:rtl/>
        </w:rPr>
        <w:t xml:space="preserve"> מיום מתן הצו, לפי בקשת היועץ המשפטי לממשלה, לכפות במאסר לציית לצו.</w:t>
      </w:r>
      <w:bookmarkEnd w:id="12"/>
    </w:p>
    <w:p w:rsidR="00F67E76" w:rsidRDefault="00F67E76">
      <w:pPr>
        <w:pStyle w:val="P00"/>
        <w:spacing w:before="72"/>
        <w:ind w:left="0" w:right="1134"/>
        <w:rPr>
          <w:rStyle w:val="default"/>
          <w:rFonts w:cs="FrankRuehl"/>
          <w:rtl/>
        </w:rPr>
      </w:pPr>
      <w:bookmarkStart w:id="13" w:name="Seif6"/>
      <w:bookmarkEnd w:id="13"/>
      <w:r>
        <w:rPr>
          <w:lang w:val="he-IL"/>
        </w:rPr>
        <w:pict>
          <v:rect id="_x0000_s1032" style="position:absolute;left:0;text-align:left;margin-left:464.5pt;margin-top:8.05pt;width:75.05pt;height:20pt;z-index:251657216" o:allowincell="f" filled="f" stroked="f" strokecolor="lime" strokeweight=".25pt">
            <v:textbox style="mso-next-textbox:#_x0000_s1032" inset="0,0,0,0">
              <w:txbxContent>
                <w:p w:rsidR="00F67E76" w:rsidRDefault="00F67E76">
                  <w:pPr>
                    <w:spacing w:line="160" w:lineRule="exact"/>
                    <w:jc w:val="left"/>
                    <w:rPr>
                      <w:rFonts w:cs="Miriam"/>
                      <w:noProof/>
                      <w:sz w:val="18"/>
                      <w:szCs w:val="18"/>
                      <w:rtl/>
                    </w:rPr>
                  </w:pPr>
                  <w:r>
                    <w:rPr>
                      <w:rFonts w:cs="Miriam"/>
                      <w:sz w:val="18"/>
                      <w:szCs w:val="18"/>
                      <w:rtl/>
                    </w:rPr>
                    <w:t>כפ</w:t>
                  </w:r>
                  <w:r>
                    <w:rPr>
                      <w:rFonts w:cs="Miriam" w:hint="cs"/>
                      <w:sz w:val="18"/>
                      <w:szCs w:val="18"/>
                      <w:rtl/>
                    </w:rPr>
                    <w:t xml:space="preserve">יה למתן </w:t>
                  </w:r>
                  <w:r>
                    <w:rPr>
                      <w:rFonts w:cs="Miriam"/>
                      <w:sz w:val="18"/>
                      <w:szCs w:val="18"/>
                      <w:rtl/>
                    </w:rPr>
                    <w:t>חל</w:t>
                  </w:r>
                  <w:r>
                    <w:rPr>
                      <w:rFonts w:cs="Miriam" w:hint="cs"/>
                      <w:sz w:val="18"/>
                      <w:szCs w:val="18"/>
                      <w:rtl/>
                    </w:rPr>
                    <w:t>יצה</w:t>
                  </w:r>
                </w:p>
              </w:txbxContent>
            </v:textbox>
            <w10:anchorlock/>
          </v:rect>
        </w:pict>
      </w:r>
      <w:r>
        <w:rPr>
          <w:rStyle w:val="big-number"/>
          <w:rFonts w:cs="Miriam"/>
          <w:rtl/>
        </w:rPr>
        <w:t>7.</w:t>
      </w:r>
      <w:r>
        <w:rPr>
          <w:rStyle w:val="big-number"/>
          <w:rFonts w:cs="Miriam"/>
          <w:rtl/>
        </w:rPr>
        <w:tab/>
      </w:r>
      <w:r>
        <w:rPr>
          <w:rStyle w:val="default"/>
          <w:rFonts w:cs="FrankRuehl"/>
          <w:rtl/>
        </w:rPr>
        <w:t>צי</w:t>
      </w:r>
      <w:r>
        <w:rPr>
          <w:rStyle w:val="default"/>
          <w:rFonts w:cs="FrankRuehl" w:hint="cs"/>
          <w:rtl/>
        </w:rPr>
        <w:t>ווה בית דין רבני בפסק דין סופי לכפות איש לתת חליצה לאלמנת אחיו, רשאי בית משפט מחוזי, כתום שלושה חדשים מיו</w:t>
      </w:r>
      <w:r>
        <w:rPr>
          <w:rStyle w:val="default"/>
          <w:rFonts w:cs="FrankRuehl"/>
          <w:rtl/>
        </w:rPr>
        <w:t xml:space="preserve">ם </w:t>
      </w:r>
      <w:r>
        <w:rPr>
          <w:rStyle w:val="default"/>
          <w:rFonts w:cs="FrankRuehl" w:hint="cs"/>
          <w:rtl/>
        </w:rPr>
        <w:t>מתן הצו, לפי בקשת</w:t>
      </w:r>
      <w:r>
        <w:rPr>
          <w:rStyle w:val="default"/>
          <w:rFonts w:cs="FrankRuehl"/>
          <w:rtl/>
        </w:rPr>
        <w:t xml:space="preserve"> </w:t>
      </w:r>
      <w:r>
        <w:rPr>
          <w:rStyle w:val="default"/>
          <w:rFonts w:cs="FrankRuehl" w:hint="cs"/>
          <w:rtl/>
        </w:rPr>
        <w:t>היועץ המשפטי לממשלה, לכפות במאסר לציית לצו.</w:t>
      </w:r>
    </w:p>
    <w:p w:rsidR="00F67E76" w:rsidRDefault="00F67E76">
      <w:pPr>
        <w:pStyle w:val="P00"/>
        <w:spacing w:before="72"/>
        <w:ind w:left="0" w:right="1134"/>
        <w:rPr>
          <w:rStyle w:val="default"/>
          <w:rFonts w:cs="FrankRuehl"/>
          <w:rtl/>
        </w:rPr>
      </w:pPr>
      <w:bookmarkStart w:id="14" w:name="Seif7"/>
      <w:bookmarkEnd w:id="14"/>
      <w:r>
        <w:rPr>
          <w:lang w:val="he-IL"/>
        </w:rPr>
        <w:pict>
          <v:rect id="_x0000_s1033" style="position:absolute;left:0;text-align:left;margin-left:464.5pt;margin-top:8.05pt;width:75.05pt;height:20pt;z-index:251658240" o:allowincell="f" filled="f" stroked="f" strokecolor="lime" strokeweight=".25pt">
            <v:textbox style="mso-next-textbox:#_x0000_s1033" inset="0,0,0,0">
              <w:txbxContent>
                <w:p w:rsidR="00F67E76" w:rsidRDefault="00F67E76">
                  <w:pPr>
                    <w:spacing w:line="160" w:lineRule="exact"/>
                    <w:jc w:val="left"/>
                    <w:rPr>
                      <w:rFonts w:cs="Miriam"/>
                      <w:noProof/>
                      <w:sz w:val="18"/>
                      <w:szCs w:val="18"/>
                      <w:rtl/>
                    </w:rPr>
                  </w:pPr>
                  <w:r>
                    <w:rPr>
                      <w:rFonts w:cs="Miriam"/>
                      <w:sz w:val="18"/>
                      <w:szCs w:val="18"/>
                      <w:rtl/>
                    </w:rPr>
                    <w:t>סו</w:t>
                  </w:r>
                  <w:r>
                    <w:rPr>
                      <w:rFonts w:cs="Miriam" w:hint="cs"/>
                      <w:sz w:val="18"/>
                      <w:szCs w:val="18"/>
                      <w:rtl/>
                    </w:rPr>
                    <w:t xml:space="preserve">פיות של </w:t>
                  </w:r>
                  <w:r>
                    <w:rPr>
                      <w:rFonts w:cs="Miriam"/>
                      <w:sz w:val="18"/>
                      <w:szCs w:val="18"/>
                      <w:rtl/>
                    </w:rPr>
                    <w:t>פס</w:t>
                  </w:r>
                  <w:r>
                    <w:rPr>
                      <w:rFonts w:cs="Miriam" w:hint="cs"/>
                      <w:sz w:val="18"/>
                      <w:szCs w:val="18"/>
                      <w:rtl/>
                    </w:rPr>
                    <w:t>ק דין</w:t>
                  </w:r>
                </w:p>
              </w:txbxContent>
            </v:textbox>
            <w10:anchorlock/>
          </v:rect>
        </w:pict>
      </w:r>
      <w:r>
        <w:rPr>
          <w:rStyle w:val="big-number"/>
          <w:rFonts w:cs="Miriam"/>
          <w:rtl/>
        </w:rPr>
        <w:t>8.</w:t>
      </w:r>
      <w:r>
        <w:rPr>
          <w:rStyle w:val="big-number"/>
          <w:rFonts w:cs="Miriam"/>
          <w:rtl/>
        </w:rPr>
        <w:tab/>
      </w:r>
      <w:r>
        <w:rPr>
          <w:rStyle w:val="default"/>
          <w:rFonts w:cs="FrankRuehl"/>
          <w:rtl/>
        </w:rPr>
        <w:t>לצ</w:t>
      </w:r>
      <w:r>
        <w:rPr>
          <w:rStyle w:val="default"/>
          <w:rFonts w:cs="FrankRuehl" w:hint="cs"/>
          <w:rtl/>
        </w:rPr>
        <w:t>ורך הסעיפים 6 ו-7 יראו פסק דין כסופי כשאין עוד ערעור עליו.</w:t>
      </w:r>
    </w:p>
    <w:p w:rsidR="00F67E76" w:rsidRDefault="00F67E76">
      <w:pPr>
        <w:pStyle w:val="P00"/>
        <w:spacing w:before="72"/>
        <w:ind w:left="0" w:right="1134"/>
        <w:rPr>
          <w:rStyle w:val="default"/>
          <w:rFonts w:cs="FrankRuehl"/>
          <w:rtl/>
        </w:rPr>
      </w:pPr>
      <w:bookmarkStart w:id="15" w:name="Seif8"/>
      <w:bookmarkEnd w:id="15"/>
      <w:r>
        <w:rPr>
          <w:lang w:val="he-IL"/>
        </w:rPr>
        <w:pict>
          <v:rect id="_x0000_s1034" style="position:absolute;left:0;text-align:left;margin-left:464.5pt;margin-top:8.05pt;width:75.05pt;height:20pt;z-index:251659264" o:allowincell="f" filled="f" stroked="f" strokecolor="lime" strokeweight=".25pt">
            <v:textbox style="mso-next-textbox:#_x0000_s1034" inset="0,0,0,0">
              <w:txbxContent>
                <w:p w:rsidR="00F67E76" w:rsidRDefault="00F67E76">
                  <w:pPr>
                    <w:spacing w:line="160" w:lineRule="exact"/>
                    <w:jc w:val="left"/>
                    <w:rPr>
                      <w:rFonts w:cs="Miriam"/>
                      <w:noProof/>
                      <w:sz w:val="18"/>
                      <w:szCs w:val="18"/>
                      <w:rtl/>
                    </w:rPr>
                  </w:pPr>
                  <w:r>
                    <w:rPr>
                      <w:rFonts w:cs="Miriam"/>
                      <w:sz w:val="18"/>
                      <w:szCs w:val="18"/>
                      <w:rtl/>
                    </w:rPr>
                    <w:t>שי</w:t>
                  </w:r>
                  <w:r>
                    <w:rPr>
                      <w:rFonts w:cs="Miriam" w:hint="cs"/>
                      <w:sz w:val="18"/>
                      <w:szCs w:val="18"/>
                      <w:rtl/>
                    </w:rPr>
                    <w:t xml:space="preserve">פוט על </w:t>
                  </w:r>
                  <w:r>
                    <w:rPr>
                      <w:rFonts w:cs="Miriam"/>
                      <w:sz w:val="18"/>
                      <w:szCs w:val="18"/>
                      <w:rtl/>
                    </w:rPr>
                    <w:t>פי</w:t>
                  </w:r>
                  <w:r>
                    <w:rPr>
                      <w:rFonts w:cs="Miriam" w:hint="cs"/>
                      <w:sz w:val="18"/>
                      <w:szCs w:val="18"/>
                      <w:rtl/>
                    </w:rPr>
                    <w:t xml:space="preserve"> הסכמה</w:t>
                  </w:r>
                </w:p>
              </w:txbxContent>
            </v:textbox>
            <w10:anchorlock/>
          </v:rect>
        </w:pict>
      </w:r>
      <w:r>
        <w:rPr>
          <w:rStyle w:val="big-number"/>
          <w:rFonts w:cs="Miriam"/>
          <w:rtl/>
        </w:rPr>
        <w:t>9.</w:t>
      </w:r>
      <w:r>
        <w:rPr>
          <w:rStyle w:val="big-number"/>
          <w:rFonts w:cs="Miriam"/>
          <w:rtl/>
        </w:rPr>
        <w:tab/>
      </w:r>
      <w:r>
        <w:rPr>
          <w:rStyle w:val="default"/>
          <w:rFonts w:cs="FrankRuehl"/>
          <w:rtl/>
        </w:rPr>
        <w:t>בע</w:t>
      </w:r>
      <w:r>
        <w:rPr>
          <w:rStyle w:val="default"/>
          <w:rFonts w:cs="FrankRuehl" w:hint="cs"/>
          <w:rtl/>
        </w:rPr>
        <w:t>ניני המעמד האישי של יהודים כמפורט בסעיף 51 ל"דבר המלך במועצתו על ארץ-ישראל 1922-1947" או בפקודת הירושה, אשר בהם אין לב</w:t>
      </w:r>
      <w:r>
        <w:rPr>
          <w:rStyle w:val="default"/>
          <w:rFonts w:cs="FrankRuehl"/>
          <w:rtl/>
        </w:rPr>
        <w:t>ית</w:t>
      </w:r>
      <w:r>
        <w:rPr>
          <w:rStyle w:val="default"/>
          <w:rFonts w:cs="FrankRuehl" w:hint="cs"/>
          <w:rtl/>
        </w:rPr>
        <w:t xml:space="preserve"> דין רבני שיפוט יחודי לפי חוק זה, יהא לבית דין רבני שיפוט לאחר שכל הצדדים הנוגעים בדבר הביעו הסכמתם לכך.</w:t>
      </w:r>
    </w:p>
    <w:p w:rsidR="00F67E76" w:rsidRDefault="00F67E76">
      <w:pPr>
        <w:pStyle w:val="P00"/>
        <w:spacing w:before="72"/>
        <w:ind w:left="0" w:right="1134"/>
        <w:rPr>
          <w:rStyle w:val="default"/>
          <w:rFonts w:cs="FrankRuehl"/>
          <w:rtl/>
        </w:rPr>
      </w:pPr>
      <w:bookmarkStart w:id="16" w:name="Seif9"/>
      <w:bookmarkEnd w:id="16"/>
      <w:r>
        <w:rPr>
          <w:lang w:val="he-IL"/>
        </w:rPr>
        <w:pict>
          <v:rect id="_x0000_s1035" style="position:absolute;left:0;text-align:left;margin-left:464.5pt;margin-top:8.05pt;width:75.05pt;height:20pt;z-index:251660288" o:allowincell="f" filled="f" stroked="f" strokecolor="lime" strokeweight=".25pt">
            <v:textbox style="mso-next-textbox:#_x0000_s1035" inset="0,0,0,0">
              <w:txbxContent>
                <w:p w:rsidR="00F67E76" w:rsidRDefault="00F67E76">
                  <w:pPr>
                    <w:spacing w:line="160" w:lineRule="exact"/>
                    <w:jc w:val="left"/>
                    <w:rPr>
                      <w:rFonts w:cs="Miriam"/>
                      <w:noProof/>
                      <w:sz w:val="18"/>
                      <w:szCs w:val="18"/>
                      <w:rtl/>
                    </w:rPr>
                  </w:pPr>
                  <w:r>
                    <w:rPr>
                      <w:rFonts w:cs="Miriam"/>
                      <w:sz w:val="18"/>
                      <w:szCs w:val="18"/>
                      <w:rtl/>
                    </w:rPr>
                    <w:t>תק</w:t>
                  </w:r>
                  <w:r>
                    <w:rPr>
                      <w:rFonts w:cs="Miriam" w:hint="cs"/>
                      <w:sz w:val="18"/>
                      <w:szCs w:val="18"/>
                      <w:rtl/>
                    </w:rPr>
                    <w:t xml:space="preserve">פם של </w:t>
                  </w:r>
                  <w:r>
                    <w:rPr>
                      <w:rFonts w:cs="Miriam"/>
                      <w:sz w:val="18"/>
                      <w:szCs w:val="18"/>
                      <w:rtl/>
                    </w:rPr>
                    <w:t>פס</w:t>
                  </w:r>
                  <w:r>
                    <w:rPr>
                      <w:rFonts w:cs="Miriam" w:hint="cs"/>
                      <w:sz w:val="18"/>
                      <w:szCs w:val="18"/>
                      <w:rtl/>
                    </w:rPr>
                    <w:t>קי דין</w:t>
                  </w:r>
                </w:p>
              </w:txbxContent>
            </v:textbox>
            <w10:anchorlock/>
          </v:rect>
        </w:pict>
      </w:r>
      <w:r>
        <w:rPr>
          <w:rStyle w:val="big-number"/>
          <w:rFonts w:cs="Miriam"/>
          <w:rtl/>
        </w:rPr>
        <w:t>10.</w:t>
      </w:r>
      <w:r>
        <w:rPr>
          <w:rStyle w:val="big-number"/>
          <w:rFonts w:cs="Miriam"/>
          <w:rtl/>
        </w:rPr>
        <w:tab/>
      </w:r>
      <w:r>
        <w:rPr>
          <w:rStyle w:val="default"/>
          <w:rFonts w:cs="FrankRuehl"/>
          <w:rtl/>
        </w:rPr>
        <w:t>פס</w:t>
      </w:r>
      <w:r>
        <w:rPr>
          <w:rStyle w:val="default"/>
          <w:rFonts w:cs="FrankRuehl" w:hint="cs"/>
          <w:rtl/>
        </w:rPr>
        <w:t>ק דין שניתן, אחרי הקמת המדינה ולפני תחילת תקפו של חוק זה, על ידי בית דין רבני לאחר דיון במעמד בעלי הדין, וש</w:t>
      </w:r>
      <w:r>
        <w:rPr>
          <w:rStyle w:val="default"/>
          <w:rFonts w:cs="FrankRuehl"/>
          <w:rtl/>
        </w:rPr>
        <w:t>הי</w:t>
      </w:r>
      <w:r>
        <w:rPr>
          <w:rStyle w:val="default"/>
          <w:rFonts w:cs="FrankRuehl" w:hint="cs"/>
          <w:rtl/>
        </w:rPr>
        <w:t>ה ניתן כדין אילו אותה שעה היה חוק זה בתוקף, רואים אותו כאילו ניתן כדין.</w:t>
      </w:r>
    </w:p>
    <w:p w:rsidR="00F67E76" w:rsidRDefault="00F67E76">
      <w:pPr>
        <w:pStyle w:val="P00"/>
        <w:spacing w:before="72"/>
        <w:ind w:left="0" w:right="1134"/>
        <w:rPr>
          <w:rStyle w:val="default"/>
          <w:rFonts w:cs="FrankRuehl" w:hint="cs"/>
          <w:rtl/>
        </w:rPr>
      </w:pPr>
      <w:bookmarkStart w:id="17" w:name="Seif10"/>
      <w:bookmarkEnd w:id="17"/>
      <w:r>
        <w:rPr>
          <w:lang w:val="he-IL"/>
        </w:rPr>
        <w:pict>
          <v:rect id="_x0000_s1036" style="position:absolute;left:0;text-align:left;margin-left:470.25pt;margin-top:8.05pt;width:69.3pt;height:23.85pt;z-index:251661312" o:allowincell="f" filled="f" stroked="f" strokecolor="lime" strokeweight=".25pt">
            <v:textbox style="mso-next-textbox:#_x0000_s1036" inset="0,0,0,0">
              <w:txbxContent>
                <w:p w:rsidR="00F67E76" w:rsidRDefault="00F67E76">
                  <w:pPr>
                    <w:spacing w:line="160" w:lineRule="exact"/>
                    <w:jc w:val="left"/>
                    <w:rPr>
                      <w:rFonts w:cs="Miriam" w:hint="cs"/>
                      <w:sz w:val="18"/>
                      <w:szCs w:val="18"/>
                      <w:rtl/>
                    </w:rPr>
                  </w:pPr>
                  <w:r>
                    <w:rPr>
                      <w:rFonts w:cs="Miriam"/>
                      <w:sz w:val="18"/>
                      <w:szCs w:val="18"/>
                      <w:rtl/>
                    </w:rPr>
                    <w:t>בי</w:t>
                  </w:r>
                  <w:r>
                    <w:rPr>
                      <w:rFonts w:cs="Miriam" w:hint="cs"/>
                      <w:sz w:val="18"/>
                      <w:szCs w:val="18"/>
                      <w:rtl/>
                    </w:rPr>
                    <w:t>צוע ותקנות</w:t>
                  </w:r>
                </w:p>
                <w:p w:rsidR="00F67E76" w:rsidRDefault="00F67E76">
                  <w:pPr>
                    <w:spacing w:line="160" w:lineRule="exact"/>
                    <w:jc w:val="left"/>
                    <w:rPr>
                      <w:rFonts w:cs="Miriam"/>
                      <w:noProof/>
                      <w:sz w:val="18"/>
                      <w:szCs w:val="18"/>
                      <w:rtl/>
                    </w:rPr>
                  </w:pPr>
                  <w:r>
                    <w:rPr>
                      <w:rFonts w:cs="Miriam" w:hint="cs"/>
                      <w:sz w:val="18"/>
                      <w:szCs w:val="18"/>
                      <w:rtl/>
                    </w:rPr>
                    <w:t>(תיקון מס' 2) תשס"ד-2004</w:t>
                  </w:r>
                </w:p>
              </w:txbxContent>
            </v:textbox>
            <w10:anchorlock/>
          </v:rect>
        </w:pict>
      </w:r>
      <w:r>
        <w:rPr>
          <w:rStyle w:val="big-number"/>
          <w:rFonts w:cs="Miriam"/>
          <w:rtl/>
        </w:rPr>
        <w:t>11.</w:t>
      </w:r>
      <w:r>
        <w:rPr>
          <w:rStyle w:val="big-number"/>
          <w:rFonts w:cs="Miriam"/>
          <w:rtl/>
        </w:rPr>
        <w:tab/>
      </w:r>
      <w:r>
        <w:rPr>
          <w:rStyle w:val="default"/>
          <w:rFonts w:cs="FrankRuehl" w:hint="cs"/>
          <w:rtl/>
        </w:rPr>
        <w:t>שר המשפטים ממונה על ביצוע חוק זה והוא רשאי, בהסכמת נשיא בית הדין הרבני הגדול ובאישור ועדת החוקה חוק ומשפט של הכנסת, להתקין תקנות לביצועו.</w:t>
      </w:r>
    </w:p>
    <w:p w:rsidR="00F67E76" w:rsidRDefault="00F67E76">
      <w:pPr>
        <w:pStyle w:val="P00"/>
        <w:spacing w:before="0"/>
        <w:ind w:left="0" w:right="1134"/>
        <w:rPr>
          <w:rStyle w:val="default"/>
          <w:rFonts w:cs="FrankRuehl" w:hint="cs"/>
          <w:vanish/>
          <w:color w:val="FF0000"/>
          <w:sz w:val="20"/>
          <w:szCs w:val="20"/>
          <w:shd w:val="clear" w:color="auto" w:fill="FFFF99"/>
          <w:rtl/>
        </w:rPr>
      </w:pPr>
      <w:bookmarkStart w:id="18" w:name="Rov20"/>
      <w:r>
        <w:rPr>
          <w:rStyle w:val="default"/>
          <w:rFonts w:cs="FrankRuehl" w:hint="cs"/>
          <w:vanish/>
          <w:color w:val="FF0000"/>
          <w:sz w:val="20"/>
          <w:szCs w:val="20"/>
          <w:shd w:val="clear" w:color="auto" w:fill="FFFF99"/>
          <w:rtl/>
        </w:rPr>
        <w:t>מיום 9.2.2004</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תיקון מס' 2</w:t>
      </w:r>
    </w:p>
    <w:p w:rsidR="00F67E76" w:rsidRDefault="00F67E76">
      <w:pPr>
        <w:pStyle w:val="P00"/>
        <w:spacing w:before="0"/>
        <w:ind w:left="0" w:right="1134"/>
        <w:rPr>
          <w:rStyle w:val="default"/>
          <w:rFonts w:cs="FrankRuehl" w:hint="cs"/>
          <w:vanish/>
          <w:sz w:val="20"/>
          <w:szCs w:val="20"/>
          <w:shd w:val="clear" w:color="auto" w:fill="FFFF99"/>
          <w:rtl/>
        </w:rPr>
      </w:pPr>
      <w:hyperlink r:id="rId19" w:history="1">
        <w:r>
          <w:rPr>
            <w:rStyle w:val="Hyperlink"/>
            <w:rFonts w:cs="FrankRuehl" w:hint="cs"/>
            <w:vanish/>
            <w:szCs w:val="20"/>
            <w:shd w:val="clear" w:color="auto" w:fill="FFFF99"/>
            <w:rtl/>
          </w:rPr>
          <w:t>ס"ח תשס"ד מס' 1925</w:t>
        </w:r>
      </w:hyperlink>
      <w:r>
        <w:rPr>
          <w:rStyle w:val="default"/>
          <w:rFonts w:cs="FrankRuehl" w:hint="cs"/>
          <w:vanish/>
          <w:sz w:val="20"/>
          <w:szCs w:val="20"/>
          <w:shd w:val="clear" w:color="auto" w:fill="FFFF99"/>
          <w:rtl/>
        </w:rPr>
        <w:t xml:space="preserve"> מיום 9.2.2004 עמ' 298 (</w:t>
      </w:r>
      <w:hyperlink r:id="rId20" w:history="1">
        <w:r>
          <w:rPr>
            <w:rStyle w:val="Hyperlink"/>
            <w:rFonts w:cs="FrankRuehl" w:hint="cs"/>
            <w:vanish/>
            <w:szCs w:val="20"/>
            <w:shd w:val="clear" w:color="auto" w:fill="FFFF99"/>
            <w:rtl/>
          </w:rPr>
          <w:t>ה"ח 71</w:t>
        </w:r>
      </w:hyperlink>
      <w:r>
        <w:rPr>
          <w:rStyle w:val="default"/>
          <w:rFonts w:cs="FrankRuehl" w:hint="cs"/>
          <w:vanish/>
          <w:sz w:val="20"/>
          <w:szCs w:val="20"/>
          <w:shd w:val="clear" w:color="auto" w:fill="FFFF99"/>
          <w:rtl/>
        </w:rPr>
        <w:t>)</w:t>
      </w:r>
    </w:p>
    <w:p w:rsidR="00F67E76" w:rsidRDefault="00F67E76">
      <w:pPr>
        <w:pStyle w:val="P00"/>
        <w:spacing w:before="0"/>
        <w:ind w:left="0" w:right="1134"/>
        <w:rPr>
          <w:rStyle w:val="default"/>
          <w:rFonts w:cs="FrankRuehl" w:hint="cs"/>
          <w:b/>
          <w:bCs/>
          <w:vanish/>
          <w:sz w:val="20"/>
          <w:szCs w:val="20"/>
          <w:shd w:val="clear" w:color="auto" w:fill="FFFF99"/>
          <w:rtl/>
        </w:rPr>
      </w:pPr>
      <w:r>
        <w:rPr>
          <w:rStyle w:val="default"/>
          <w:rFonts w:cs="FrankRuehl" w:hint="cs"/>
          <w:b/>
          <w:bCs/>
          <w:vanish/>
          <w:sz w:val="20"/>
          <w:szCs w:val="20"/>
          <w:shd w:val="clear" w:color="auto" w:fill="FFFF99"/>
          <w:rtl/>
        </w:rPr>
        <w:t>החלפת סעיף 11</w:t>
      </w:r>
    </w:p>
    <w:p w:rsidR="00F67E76" w:rsidRDefault="00F67E76">
      <w:pPr>
        <w:pStyle w:val="P00"/>
        <w:ind w:left="0" w:right="1134"/>
        <w:rPr>
          <w:rStyle w:val="default"/>
          <w:rFonts w:cs="FrankRuehl" w:hint="cs"/>
          <w:vanish/>
          <w:sz w:val="20"/>
          <w:szCs w:val="20"/>
          <w:shd w:val="clear" w:color="auto" w:fill="FFFF99"/>
          <w:rtl/>
        </w:rPr>
      </w:pPr>
      <w:r>
        <w:rPr>
          <w:rStyle w:val="default"/>
          <w:rFonts w:cs="FrankRuehl" w:hint="cs"/>
          <w:vanish/>
          <w:sz w:val="20"/>
          <w:szCs w:val="20"/>
          <w:shd w:val="clear" w:color="auto" w:fill="FFFF99"/>
          <w:rtl/>
        </w:rPr>
        <w:t>הנוסח הקודם:</w:t>
      </w:r>
    </w:p>
    <w:p w:rsidR="00F67E76" w:rsidRDefault="00F67E76">
      <w:pPr>
        <w:pStyle w:val="P00"/>
        <w:spacing w:before="0"/>
        <w:ind w:left="0" w:right="1134"/>
        <w:rPr>
          <w:rStyle w:val="default"/>
          <w:rFonts w:cs="FrankRuehl" w:hint="cs"/>
          <w:strike/>
          <w:sz w:val="2"/>
          <w:szCs w:val="2"/>
          <w:rtl/>
        </w:rPr>
      </w:pPr>
      <w:r>
        <w:rPr>
          <w:rStyle w:val="default"/>
          <w:rFonts w:cs="FrankRuehl" w:hint="cs"/>
          <w:strike/>
          <w:vanish/>
          <w:sz w:val="22"/>
          <w:szCs w:val="22"/>
          <w:shd w:val="clear" w:color="auto" w:fill="FFFF99"/>
          <w:rtl/>
        </w:rPr>
        <w:t>11.</w:t>
      </w:r>
      <w:r>
        <w:rPr>
          <w:rStyle w:val="default"/>
          <w:rFonts w:cs="FrankRuehl" w:hint="cs"/>
          <w:strike/>
          <w:vanish/>
          <w:sz w:val="22"/>
          <w:szCs w:val="22"/>
          <w:shd w:val="clear" w:color="auto" w:fill="FFFF99"/>
          <w:rtl/>
        </w:rPr>
        <w:tab/>
        <w:t>שר הדתות ממונה על ביצוע חוק זה.</w:t>
      </w:r>
      <w:bookmarkEnd w:id="18"/>
    </w:p>
    <w:p w:rsidR="00F67E76" w:rsidRDefault="00F67E76">
      <w:pPr>
        <w:pStyle w:val="P00"/>
        <w:spacing w:before="72"/>
        <w:ind w:left="0" w:right="1134"/>
        <w:rPr>
          <w:rStyle w:val="default"/>
          <w:rFonts w:cs="FrankRuehl" w:hint="cs"/>
          <w:rtl/>
        </w:rPr>
      </w:pPr>
    </w:p>
    <w:p w:rsidR="00F67E76" w:rsidRDefault="00F67E76">
      <w:pPr>
        <w:pStyle w:val="P00"/>
        <w:spacing w:before="72"/>
        <w:ind w:left="0" w:right="1134"/>
        <w:rPr>
          <w:rStyle w:val="default"/>
          <w:rFonts w:cs="FrankRuehl" w:hint="cs"/>
          <w:rtl/>
        </w:rPr>
      </w:pPr>
    </w:p>
    <w:p w:rsidR="00F67E76" w:rsidRDefault="00F67E76">
      <w:pPr>
        <w:pStyle w:val="sig-1"/>
        <w:widowControl/>
        <w:ind w:left="0" w:right="1134"/>
        <w:rPr>
          <w:rFonts w:cs="FrankRuehl"/>
          <w:sz w:val="26"/>
          <w:szCs w:val="26"/>
          <w:rtl/>
        </w:rPr>
      </w:pPr>
      <w:r>
        <w:rPr>
          <w:rFonts w:cs="FrankRuehl"/>
          <w:sz w:val="26"/>
          <w:szCs w:val="26"/>
          <w:rtl/>
        </w:rPr>
        <w:tab/>
      </w:r>
      <w:r>
        <w:rPr>
          <w:rFonts w:cs="FrankRuehl"/>
          <w:sz w:val="26"/>
          <w:szCs w:val="26"/>
          <w:rtl/>
        </w:rPr>
        <w:tab/>
        <w:t>מ</w:t>
      </w:r>
      <w:r>
        <w:rPr>
          <w:rFonts w:cs="FrankRuehl" w:hint="cs"/>
          <w:sz w:val="26"/>
          <w:szCs w:val="26"/>
          <w:rtl/>
        </w:rPr>
        <w:t>שה שרת</w:t>
      </w:r>
      <w:r>
        <w:rPr>
          <w:rFonts w:cs="FrankRuehl"/>
          <w:sz w:val="26"/>
          <w:szCs w:val="26"/>
          <w:rtl/>
        </w:rPr>
        <w:tab/>
        <w:t>מ</w:t>
      </w:r>
      <w:r>
        <w:rPr>
          <w:rFonts w:cs="FrankRuehl" w:hint="cs"/>
          <w:sz w:val="26"/>
          <w:szCs w:val="26"/>
          <w:rtl/>
        </w:rPr>
        <w:t>שה שפירא</w:t>
      </w:r>
    </w:p>
    <w:p w:rsidR="00F67E76" w:rsidRDefault="00F67E76">
      <w:pPr>
        <w:pStyle w:val="sig-1"/>
        <w:widowControl/>
        <w:ind w:left="0" w:right="1134"/>
        <w:rPr>
          <w:rFonts w:cs="FrankRuehl"/>
          <w:sz w:val="22"/>
          <w:rtl/>
        </w:rPr>
      </w:pPr>
      <w:r>
        <w:rPr>
          <w:rFonts w:cs="FrankRuehl"/>
          <w:sz w:val="22"/>
          <w:rtl/>
        </w:rPr>
        <w:tab/>
      </w:r>
      <w:r>
        <w:rPr>
          <w:rFonts w:cs="FrankRuehl"/>
          <w:sz w:val="22"/>
          <w:rtl/>
        </w:rPr>
        <w:tab/>
        <w:t>ש</w:t>
      </w:r>
      <w:r>
        <w:rPr>
          <w:rFonts w:cs="FrankRuehl" w:hint="cs"/>
          <w:sz w:val="22"/>
          <w:rtl/>
        </w:rPr>
        <w:t>ר החוץ</w:t>
      </w:r>
      <w:r>
        <w:rPr>
          <w:rFonts w:cs="FrankRuehl"/>
          <w:sz w:val="22"/>
          <w:rtl/>
        </w:rPr>
        <w:tab/>
        <w:t>ש</w:t>
      </w:r>
      <w:r>
        <w:rPr>
          <w:rFonts w:cs="FrankRuehl" w:hint="cs"/>
          <w:sz w:val="22"/>
          <w:rtl/>
        </w:rPr>
        <w:t>ר הדתות</w:t>
      </w:r>
    </w:p>
    <w:p w:rsidR="00F67E76" w:rsidRDefault="00F67E76">
      <w:pPr>
        <w:pStyle w:val="sig-1"/>
        <w:widowControl/>
        <w:ind w:left="0" w:right="1134"/>
        <w:rPr>
          <w:rFonts w:cs="FrankRuehl"/>
          <w:sz w:val="22"/>
          <w:rtl/>
        </w:rPr>
      </w:pPr>
      <w:r>
        <w:rPr>
          <w:rFonts w:cs="FrankRuehl"/>
          <w:sz w:val="22"/>
          <w:rtl/>
        </w:rPr>
        <w:tab/>
      </w:r>
      <w:r>
        <w:rPr>
          <w:rFonts w:cs="FrankRuehl"/>
          <w:sz w:val="22"/>
          <w:rtl/>
        </w:rPr>
        <w:tab/>
        <w:t>מ</w:t>
      </w:r>
      <w:r>
        <w:rPr>
          <w:rFonts w:cs="FrankRuehl" w:hint="cs"/>
          <w:sz w:val="22"/>
          <w:rtl/>
        </w:rPr>
        <w:t>מלא מקום ראש הממשלה</w:t>
      </w:r>
    </w:p>
    <w:p w:rsidR="00F67E76" w:rsidRDefault="00F67E76">
      <w:pPr>
        <w:pStyle w:val="sig-1"/>
        <w:widowControl/>
        <w:ind w:left="0" w:right="1134"/>
        <w:rPr>
          <w:rFonts w:cs="FrankRuehl"/>
          <w:sz w:val="26"/>
          <w:szCs w:val="26"/>
          <w:rtl/>
        </w:rPr>
      </w:pPr>
    </w:p>
    <w:p w:rsidR="00F67E76" w:rsidRDefault="00F67E76">
      <w:pPr>
        <w:pStyle w:val="sig-1"/>
        <w:widowControl/>
        <w:ind w:left="0" w:right="1134"/>
        <w:rPr>
          <w:rFonts w:cs="FrankRuehl"/>
          <w:sz w:val="26"/>
          <w:szCs w:val="26"/>
          <w:rtl/>
        </w:rPr>
      </w:pPr>
      <w:r>
        <w:rPr>
          <w:rFonts w:cs="FrankRuehl"/>
          <w:sz w:val="26"/>
          <w:szCs w:val="26"/>
          <w:rtl/>
        </w:rPr>
        <w:tab/>
        <w:t>י</w:t>
      </w:r>
      <w:r>
        <w:rPr>
          <w:rFonts w:cs="FrankRuehl" w:hint="cs"/>
          <w:sz w:val="26"/>
          <w:szCs w:val="26"/>
          <w:rtl/>
        </w:rPr>
        <w:t>צחק בן- צבי</w:t>
      </w:r>
    </w:p>
    <w:p w:rsidR="00F67E76" w:rsidRDefault="00F67E76">
      <w:pPr>
        <w:pStyle w:val="sig-1"/>
        <w:widowControl/>
        <w:ind w:left="0" w:right="1134"/>
        <w:rPr>
          <w:rFonts w:cs="FrankRuehl"/>
          <w:sz w:val="22"/>
          <w:rtl/>
        </w:rPr>
      </w:pPr>
      <w:r>
        <w:rPr>
          <w:rFonts w:cs="FrankRuehl"/>
          <w:sz w:val="22"/>
          <w:rtl/>
        </w:rPr>
        <w:lastRenderedPageBreak/>
        <w:tab/>
        <w:t>נ</w:t>
      </w:r>
      <w:r>
        <w:rPr>
          <w:rFonts w:cs="FrankRuehl" w:hint="cs"/>
          <w:sz w:val="22"/>
          <w:rtl/>
        </w:rPr>
        <w:t>שיא המדינה</w:t>
      </w:r>
    </w:p>
    <w:p w:rsidR="00F67E76" w:rsidRDefault="00F67E76">
      <w:pPr>
        <w:pStyle w:val="P00"/>
        <w:spacing w:before="72"/>
        <w:ind w:left="0" w:right="1134"/>
        <w:rPr>
          <w:rStyle w:val="default"/>
          <w:rFonts w:cs="FrankRuehl"/>
          <w:rtl/>
        </w:rPr>
      </w:pPr>
    </w:p>
    <w:p w:rsidR="00F67E76" w:rsidRDefault="00F67E76">
      <w:pPr>
        <w:pStyle w:val="P00"/>
        <w:spacing w:before="72"/>
        <w:ind w:left="0" w:right="1134"/>
        <w:rPr>
          <w:rStyle w:val="default"/>
          <w:rFonts w:cs="FrankRuehl"/>
          <w:rtl/>
        </w:rPr>
      </w:pPr>
    </w:p>
    <w:p w:rsidR="00F67E76" w:rsidRDefault="00F67E76">
      <w:pPr>
        <w:pStyle w:val="P00"/>
        <w:spacing w:before="72"/>
        <w:ind w:left="0" w:right="1134"/>
        <w:rPr>
          <w:rStyle w:val="default"/>
          <w:rFonts w:cs="FrankRuehl"/>
          <w:rtl/>
        </w:rPr>
      </w:pPr>
      <w:bookmarkStart w:id="19" w:name="LawPartEnd"/>
    </w:p>
    <w:bookmarkEnd w:id="19"/>
    <w:p w:rsidR="00F67E76" w:rsidRDefault="00F67E76">
      <w:pPr>
        <w:pStyle w:val="P00"/>
        <w:spacing w:before="72"/>
        <w:ind w:left="0" w:right="1134"/>
        <w:rPr>
          <w:rStyle w:val="default"/>
          <w:rFonts w:cs="FrankRuehl"/>
          <w:rtl/>
        </w:rPr>
      </w:pPr>
    </w:p>
    <w:sectPr w:rsidR="00F67E76">
      <w:headerReference w:type="even" r:id="rId21"/>
      <w:headerReference w:type="default" r:id="rId22"/>
      <w:footerReference w:type="even" r:id="rId23"/>
      <w:footerReference w:type="default" r:id="rId24"/>
      <w:pgSz w:w="11906" w:h="16838"/>
      <w:pgMar w:top="1200" w:right="2267" w:bottom="400" w:left="567" w:header="709" w:footer="709" w:gutter="0"/>
      <w:pgNumType w:start="1"/>
      <w:cols w:space="709"/>
      <w:bidi/>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8F" w:rsidRDefault="009A158F">
      <w:r>
        <w:separator/>
      </w:r>
    </w:p>
  </w:endnote>
  <w:endnote w:type="continuationSeparator" w:id="0">
    <w:p w:rsidR="009A158F" w:rsidRDefault="009A1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opType Jerushalm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6" w:rsidRDefault="00F67E76">
    <w:pPr>
      <w:pStyle w:val="a4"/>
      <w:ind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Pr>
        <w:rFonts w:hAnsi="FrankRuehl" w:cs="FrankRuehl"/>
        <w:sz w:val="24"/>
        <w:szCs w:val="24"/>
        <w:rtl/>
      </w:rPr>
      <w:t>1</w:t>
    </w:r>
    <w:r>
      <w:rPr>
        <w:rFonts w:hAnsi="FrankRuehl" w:cs="FrankRuehl"/>
        <w:sz w:val="24"/>
        <w:szCs w:val="24"/>
        <w:rtl/>
      </w:rPr>
      <w:fldChar w:fldCharType="end"/>
    </w:r>
  </w:p>
  <w:p w:rsidR="00F67E76" w:rsidRDefault="00F67E76">
    <w:pPr>
      <w:pStyle w:val="a4"/>
      <w:pBdr>
        <w:top w:val="single" w:sz="4" w:space="1" w:color="auto"/>
        <w:between w:val="single" w:sz="4" w:space="0" w:color="auto"/>
      </w:pBdr>
      <w:spacing w:after="60" w:line="240" w:lineRule="auto"/>
      <w:ind w:right="1134"/>
      <w:jc w:val="center"/>
      <w:rPr>
        <w:rFonts w:cs="TopType Jerushalmi"/>
        <w:color w:val="000000"/>
        <w:sz w:val="28"/>
        <w:rtl/>
      </w:rPr>
    </w:pPr>
    <w:r>
      <w:rPr>
        <w:rFonts w:cs="TopType Jerushalmi"/>
        <w:color w:val="000000"/>
        <w:sz w:val="28"/>
        <w:rtl/>
      </w:rPr>
      <w:t xml:space="preserve">נבו הוצאה לאור בע"מ  </w:t>
    </w:r>
    <w:r>
      <w:rPr>
        <w:rFonts w:cs="TopType Jerushalmi"/>
        <w:color w:val="000000"/>
        <w:sz w:val="28"/>
      </w:rPr>
      <w:t>nevo.co.il</w:t>
    </w:r>
    <w:r>
      <w:rPr>
        <w:rFonts w:cs="TopType Jerushalmi"/>
        <w:color w:val="000000"/>
        <w:sz w:val="28"/>
        <w:rtl/>
      </w:rPr>
      <w:t xml:space="preserve">   המאגר המשפטי הישראלי</w:t>
    </w:r>
  </w:p>
  <w:p w:rsidR="00F67E76" w:rsidRDefault="00F67E76">
    <w:pPr>
      <w:pStyle w:val="a4"/>
      <w:pBdr>
        <w:top w:val="single" w:sz="4" w:space="1" w:color="auto"/>
        <w:between w:val="single" w:sz="4" w:space="0" w:color="auto"/>
      </w:pBdr>
      <w:spacing w:line="240" w:lineRule="auto"/>
      <w:ind w:right="1134"/>
      <w:jc w:val="left"/>
      <w:rPr>
        <w:rFonts w:cs="TopType Jerushalmi"/>
        <w:color w:val="000000"/>
        <w:sz w:val="14"/>
        <w:szCs w:val="14"/>
        <w:rtl/>
      </w:rPr>
    </w:pPr>
    <w:fldSimple w:instr=" FILENAME \p  \* MERGEFORMAT ">
      <w:r>
        <w:rPr>
          <w:rFonts w:cs="TopType Jerushalmi"/>
          <w:color w:val="000000"/>
          <w:sz w:val="14"/>
          <w:szCs w:val="14"/>
        </w:rPr>
        <w:t>F:\Yael\hakika\Revadim\317_003.doc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6" w:rsidRDefault="00F67E76">
    <w:pPr>
      <w:pStyle w:val="a4"/>
      <w:ind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sidR="00E32F7A">
      <w:rPr>
        <w:rFonts w:hAnsi="FrankRuehl" w:cs="FrankRuehl"/>
        <w:noProof/>
        <w:sz w:val="24"/>
        <w:szCs w:val="24"/>
        <w:rtl/>
      </w:rPr>
      <w:t>1</w:t>
    </w:r>
    <w:r>
      <w:rPr>
        <w:rFonts w:hAnsi="FrankRuehl" w:cs="FrankRuehl"/>
        <w:sz w:val="24"/>
        <w:szCs w:val="24"/>
        <w:rtl/>
      </w:rPr>
      <w:fldChar w:fldCharType="end"/>
    </w:r>
  </w:p>
  <w:p w:rsidR="00F67E76" w:rsidRDefault="00F67E76">
    <w:pPr>
      <w:pStyle w:val="a4"/>
      <w:pBdr>
        <w:top w:val="single" w:sz="4" w:space="1" w:color="auto"/>
        <w:between w:val="single" w:sz="4" w:space="0" w:color="auto"/>
      </w:pBdr>
      <w:spacing w:after="60" w:line="240" w:lineRule="auto"/>
      <w:ind w:right="1134"/>
      <w:jc w:val="center"/>
      <w:rPr>
        <w:rFonts w:cs="TopType Jerushalmi"/>
        <w:color w:val="000000"/>
        <w:sz w:val="28"/>
        <w:rtl/>
      </w:rPr>
    </w:pPr>
    <w:r>
      <w:rPr>
        <w:rFonts w:cs="TopType Jerushalmi"/>
        <w:color w:val="000000"/>
        <w:sz w:val="28"/>
        <w:rtl/>
      </w:rPr>
      <w:t xml:space="preserve">נבו הוצאה לאור בע"מ  </w:t>
    </w:r>
    <w:r>
      <w:rPr>
        <w:rFonts w:cs="TopType Jerushalmi"/>
        <w:color w:val="000000"/>
        <w:sz w:val="28"/>
      </w:rPr>
      <w:t>nevo.co.il</w:t>
    </w:r>
    <w:r>
      <w:rPr>
        <w:rFonts w:cs="TopType Jerushalmi"/>
        <w:color w:val="000000"/>
        <w:sz w:val="28"/>
        <w:rtl/>
      </w:rPr>
      <w:t xml:space="preserve">   המאגר המשפטי הישראלי</w:t>
    </w:r>
  </w:p>
  <w:p w:rsidR="00F67E76" w:rsidRDefault="00F67E76">
    <w:pPr>
      <w:pStyle w:val="a4"/>
      <w:pBdr>
        <w:top w:val="single" w:sz="4" w:space="1" w:color="auto"/>
        <w:between w:val="single" w:sz="4" w:space="0" w:color="auto"/>
      </w:pBdr>
      <w:spacing w:line="240" w:lineRule="auto"/>
      <w:ind w:right="1134"/>
      <w:jc w:val="left"/>
      <w:rPr>
        <w:rFonts w:cs="TopType Jerushalmi"/>
        <w:color w:val="000000"/>
        <w:sz w:val="14"/>
        <w:szCs w:val="14"/>
        <w:rtl/>
      </w:rPr>
    </w:pPr>
    <w:fldSimple w:instr=" FILENAME \p  \* MERGEFORMAT ">
      <w:r>
        <w:rPr>
          <w:rFonts w:cs="TopType Jerushalmi"/>
          <w:color w:val="000000"/>
          <w:sz w:val="14"/>
          <w:szCs w:val="14"/>
        </w:rPr>
        <w:t>F:\Yael\hakika\Revadim\317_003.doc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8F" w:rsidRDefault="009A158F">
      <w:r>
        <w:separator/>
      </w:r>
    </w:p>
  </w:footnote>
  <w:footnote w:type="continuationSeparator" w:id="0">
    <w:p w:rsidR="009A158F" w:rsidRDefault="009A158F">
      <w:r>
        <w:continuationSeparator/>
      </w:r>
    </w:p>
  </w:footnote>
  <w:footnote w:id="1">
    <w:p w:rsidR="00F67E76" w:rsidRDefault="00F67E7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rtl/>
        </w:rPr>
      </w:pPr>
      <w:r>
        <w:rPr>
          <w:rFonts w:cs="FrankRuehl"/>
        </w:rPr>
        <w:t>*</w:t>
      </w:r>
      <w:r>
        <w:rPr>
          <w:rFonts w:cs="FrankRuehl" w:hint="cs"/>
          <w:rtl/>
        </w:rPr>
        <w:t xml:space="preserve"> </w:t>
      </w:r>
      <w:r>
        <w:rPr>
          <w:rFonts w:cs="FrankRuehl"/>
          <w:rtl/>
        </w:rPr>
        <w:t>פו</w:t>
      </w:r>
      <w:r>
        <w:rPr>
          <w:rFonts w:cs="FrankRuehl" w:hint="cs"/>
          <w:rtl/>
        </w:rPr>
        <w:t xml:space="preserve">רסם </w:t>
      </w:r>
      <w:hyperlink r:id="rId1" w:history="1">
        <w:r>
          <w:rPr>
            <w:rStyle w:val="Hyperlink"/>
            <w:rFonts w:cs="FrankRuehl" w:hint="cs"/>
            <w:rtl/>
          </w:rPr>
          <w:t>ס"ח תשי"ג מס' 134</w:t>
        </w:r>
      </w:hyperlink>
      <w:r>
        <w:rPr>
          <w:rFonts w:cs="FrankRuehl" w:hint="cs"/>
          <w:rtl/>
        </w:rPr>
        <w:t xml:space="preserve"> מיום 4.9.1953 עמ' 165 (</w:t>
      </w:r>
      <w:hyperlink r:id="rId2" w:history="1">
        <w:r>
          <w:rPr>
            <w:rStyle w:val="Hyperlink"/>
            <w:rFonts w:cs="FrankRuehl" w:hint="cs"/>
            <w:rtl/>
          </w:rPr>
          <w:t>ה"ח תשי"ג מס' 163</w:t>
        </w:r>
      </w:hyperlink>
      <w:r>
        <w:rPr>
          <w:rFonts w:cs="FrankRuehl" w:hint="cs"/>
          <w:rtl/>
        </w:rPr>
        <w:t xml:space="preserve"> עמ' 186).</w:t>
      </w:r>
    </w:p>
    <w:p w:rsidR="00F67E76" w:rsidRDefault="00F67E7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r>
        <w:rPr>
          <w:rFonts w:cs="FrankRuehl" w:hint="cs"/>
          <w:rtl/>
        </w:rPr>
        <w:t>ת</w:t>
      </w:r>
      <w:r>
        <w:rPr>
          <w:rFonts w:cs="FrankRuehl"/>
          <w:rtl/>
        </w:rPr>
        <w:t>ו</w:t>
      </w:r>
      <w:r>
        <w:rPr>
          <w:rFonts w:cs="FrankRuehl" w:hint="cs"/>
          <w:rtl/>
        </w:rPr>
        <w:t xml:space="preserve">קן </w:t>
      </w:r>
      <w:hyperlink r:id="rId3" w:history="1">
        <w:r>
          <w:rPr>
            <w:rStyle w:val="Hyperlink"/>
            <w:rFonts w:cs="FrankRuehl" w:hint="cs"/>
            <w:rtl/>
          </w:rPr>
          <w:t>ס"ח תשנ"ה מס' 1507</w:t>
        </w:r>
      </w:hyperlink>
      <w:r>
        <w:rPr>
          <w:rFonts w:cs="FrankRuehl" w:hint="cs"/>
          <w:rtl/>
        </w:rPr>
        <w:t xml:space="preserve"> מיום 2.3.1995 עמ' 140 (</w:t>
      </w:r>
      <w:hyperlink r:id="rId4" w:history="1">
        <w:r>
          <w:rPr>
            <w:rStyle w:val="Hyperlink"/>
            <w:rFonts w:cs="FrankRuehl" w:hint="cs"/>
            <w:rtl/>
          </w:rPr>
          <w:t xml:space="preserve">ה"ח תשנ"ד </w:t>
        </w:r>
        <w:r>
          <w:rPr>
            <w:rStyle w:val="Hyperlink"/>
            <w:rFonts w:cs="FrankRuehl" w:hint="cs"/>
            <w:rtl/>
          </w:rPr>
          <w:t>מ</w:t>
        </w:r>
        <w:r>
          <w:rPr>
            <w:rStyle w:val="Hyperlink"/>
            <w:rFonts w:cs="FrankRuehl" w:hint="cs"/>
            <w:rtl/>
          </w:rPr>
          <w:t>ס' 2281</w:t>
        </w:r>
      </w:hyperlink>
      <w:r>
        <w:rPr>
          <w:rFonts w:cs="FrankRuehl" w:hint="cs"/>
          <w:rtl/>
        </w:rPr>
        <w:t xml:space="preserve"> עמ' 495, </w:t>
      </w:r>
      <w:hyperlink r:id="rId5" w:history="1">
        <w:r>
          <w:rPr>
            <w:rStyle w:val="Hyperlink"/>
            <w:rFonts w:cs="FrankRuehl" w:hint="cs"/>
            <w:rtl/>
          </w:rPr>
          <w:t>ה"ח תשנ"ה מס' 2322</w:t>
        </w:r>
      </w:hyperlink>
      <w:r>
        <w:rPr>
          <w:rFonts w:cs="FrankRuehl" w:hint="cs"/>
          <w:rtl/>
        </w:rPr>
        <w:t xml:space="preserve"> עמ' 116) </w:t>
      </w:r>
      <w:r>
        <w:rPr>
          <w:rFonts w:cs="FrankRuehl"/>
          <w:rtl/>
        </w:rPr>
        <w:t>–</w:t>
      </w:r>
      <w:r>
        <w:rPr>
          <w:rFonts w:cs="FrankRuehl" w:hint="cs"/>
          <w:rtl/>
        </w:rPr>
        <w:t xml:space="preserve"> תיקון מס' 1</w:t>
      </w:r>
      <w:r>
        <w:rPr>
          <w:rFonts w:cs="FrankRuehl"/>
          <w:rtl/>
        </w:rPr>
        <w:t xml:space="preserve"> </w:t>
      </w:r>
      <w:r>
        <w:rPr>
          <w:rFonts w:cs="FrankRuehl" w:hint="cs"/>
          <w:rtl/>
        </w:rPr>
        <w:t>בסעיף</w:t>
      </w:r>
      <w:r>
        <w:rPr>
          <w:rFonts w:cs="FrankRuehl"/>
          <w:rtl/>
        </w:rPr>
        <w:t xml:space="preserve"> 11 </w:t>
      </w:r>
      <w:r>
        <w:rPr>
          <w:rFonts w:cs="FrankRuehl" w:hint="cs"/>
          <w:rtl/>
        </w:rPr>
        <w:t>לחוק בתי דין רבני</w:t>
      </w:r>
      <w:r>
        <w:rPr>
          <w:rFonts w:cs="FrankRuehl"/>
          <w:rtl/>
        </w:rPr>
        <w:t>ים</w:t>
      </w:r>
      <w:r>
        <w:rPr>
          <w:rFonts w:cs="FrankRuehl" w:hint="cs"/>
          <w:rtl/>
        </w:rPr>
        <w:t xml:space="preserve"> (קיום פסקי דין של גירושין) (הוראת שעה), תשנ"ה-</w:t>
      </w:r>
      <w:r>
        <w:rPr>
          <w:rFonts w:cs="FrankRuehl"/>
          <w:rtl/>
        </w:rPr>
        <w:t>1995</w:t>
      </w:r>
      <w:r>
        <w:rPr>
          <w:rFonts w:cs="FrankRuehl" w:hint="cs"/>
          <w:rtl/>
        </w:rPr>
        <w:t>.</w:t>
      </w:r>
    </w:p>
    <w:p w:rsidR="00F67E76" w:rsidRDefault="00F67E7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6" w:history="1">
        <w:r>
          <w:rPr>
            <w:rStyle w:val="Hyperlink"/>
            <w:rFonts w:cs="FrankRuehl" w:hint="cs"/>
            <w:rtl/>
          </w:rPr>
          <w:t>ס"ח תשס"ד מס' 1925</w:t>
        </w:r>
      </w:hyperlink>
      <w:r>
        <w:rPr>
          <w:rFonts w:cs="FrankRuehl" w:hint="cs"/>
          <w:rtl/>
        </w:rPr>
        <w:t xml:space="preserve"> מיום 9.2.2004 עמ' 298 (</w:t>
      </w:r>
      <w:hyperlink r:id="rId7" w:history="1">
        <w:r>
          <w:rPr>
            <w:rStyle w:val="Hyperlink"/>
            <w:rFonts w:cs="FrankRuehl" w:hint="cs"/>
            <w:rtl/>
          </w:rPr>
          <w:t>ה"ח הממשלה תשס"ד מס' 71</w:t>
        </w:r>
      </w:hyperlink>
      <w:r>
        <w:rPr>
          <w:rFonts w:cs="FrankRuehl" w:hint="cs"/>
          <w:rtl/>
        </w:rPr>
        <w:t xml:space="preserve"> עמ' 262) </w:t>
      </w:r>
      <w:r>
        <w:rPr>
          <w:rFonts w:cs="FrankRuehl"/>
          <w:rtl/>
        </w:rPr>
        <w:t>–</w:t>
      </w:r>
      <w:r>
        <w:rPr>
          <w:rFonts w:cs="FrankRuehl" w:hint="cs"/>
          <w:rtl/>
        </w:rPr>
        <w:t xml:space="preserve"> תיקון מס' 2 בסעיף 17 לחוק הדיינים (תיקון מס' 20), תשס"ד-2004.</w:t>
      </w:r>
    </w:p>
    <w:p w:rsidR="00F67E76" w:rsidRDefault="00F67E7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8" w:history="1">
        <w:r>
          <w:rPr>
            <w:rStyle w:val="Hyperlink"/>
            <w:rFonts w:cs="FrankRuehl" w:hint="cs"/>
            <w:rtl/>
          </w:rPr>
          <w:t>ס"ח תשס"ה מס' 2025</w:t>
        </w:r>
      </w:hyperlink>
      <w:r>
        <w:rPr>
          <w:rFonts w:cs="FrankRuehl" w:hint="cs"/>
          <w:rtl/>
        </w:rPr>
        <w:t xml:space="preserve"> מיום 10.8.2005 עמ' 945 (ה</w:t>
      </w:r>
      <w:hyperlink r:id="rId9" w:history="1">
        <w:r>
          <w:rPr>
            <w:rStyle w:val="Hyperlink"/>
            <w:rFonts w:cs="FrankRuehl" w:hint="cs"/>
            <w:rtl/>
          </w:rPr>
          <w:t>"ח הממשלה תשס"ג מס' 12</w:t>
        </w:r>
      </w:hyperlink>
      <w:r>
        <w:rPr>
          <w:rFonts w:cs="FrankRuehl" w:hint="cs"/>
          <w:rtl/>
        </w:rPr>
        <w:t xml:space="preserve"> עמ' 162) </w:t>
      </w:r>
      <w:r>
        <w:rPr>
          <w:rFonts w:cs="FrankRuehl"/>
          <w:rtl/>
        </w:rPr>
        <w:t>–</w:t>
      </w:r>
      <w:r>
        <w:rPr>
          <w:rFonts w:cs="FrankRuehl" w:hint="cs"/>
          <w:rtl/>
        </w:rPr>
        <w:t xml:space="preserve"> תיקון מס' 3 בסעיף 2 לחוק שיפוט בעניני התרת נישואין (מקרים מיוחדים וסמכות בין-לאומית) (תיקוני חקיקה), תשס"ה-2005.</w:t>
      </w:r>
    </w:p>
    <w:p w:rsidR="00F67E76" w:rsidRDefault="00F67E7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6" w:rsidRDefault="00F67E76">
    <w:pPr>
      <w:pStyle w:val="a3"/>
      <w:spacing w:line="220" w:lineRule="exact"/>
      <w:ind w:right="1134"/>
      <w:jc w:val="center"/>
      <w:rPr>
        <w:rFonts w:hAnsi="FrankRuehl" w:cs="FrankRuehl"/>
        <w:color w:val="000000"/>
        <w:sz w:val="28"/>
        <w:szCs w:val="28"/>
        <w:rtl/>
      </w:rPr>
    </w:pPr>
    <w:r>
      <w:rPr>
        <w:rFonts w:hAnsi="FrankRuehl" w:cs="FrankRuehl"/>
        <w:color w:val="000000"/>
        <w:sz w:val="28"/>
        <w:szCs w:val="28"/>
        <w:rtl/>
      </w:rPr>
      <w:t>חוק שיפוט בתי דין רבניים (נישואין וגירושין), תשי"ג- 1953</w:t>
    </w:r>
  </w:p>
  <w:p w:rsidR="00F67E76" w:rsidRDefault="00F67E76">
    <w:pPr>
      <w:pStyle w:val="a3"/>
      <w:pBdr>
        <w:top w:val="single" w:sz="4" w:space="0" w:color="auto"/>
      </w:pBdr>
      <w:spacing w:line="220" w:lineRule="exact"/>
      <w:ind w:right="1134"/>
      <w:jc w:val="center"/>
      <w:rPr>
        <w:rFonts w:hAnsi="FrankRuehl" w:cs="FrankRuehl"/>
        <w:color w:val="000000"/>
        <w:sz w:val="26"/>
        <w:szCs w:val="26"/>
        <w:rtl/>
      </w:rPr>
    </w:pPr>
    <w:r>
      <w:rPr>
        <w:rFonts w:hAnsi="FrankRuehl" w:cs="FrankRuehl"/>
        <w:color w:val="000000"/>
        <w:sz w:val="26"/>
        <w:szCs w:val="26"/>
        <w:rtl/>
      </w:rPr>
      <w:t>נוסח מלא ומעודכן</w:t>
    </w:r>
  </w:p>
  <w:p w:rsidR="00F67E76" w:rsidRDefault="00F67E76">
    <w:pPr>
      <w:pStyle w:val="a3"/>
      <w:pBdr>
        <w:top w:val="single" w:sz="4" w:space="0" w:color="auto"/>
      </w:pBdr>
      <w:spacing w:line="220" w:lineRule="exact"/>
      <w:ind w:right="1134"/>
      <w:jc w:val="center"/>
      <w:rPr>
        <w:rFonts w:hAnsi="FrankRuehl" w:cs="FrankRuehl"/>
        <w:color w:val="000000"/>
        <w:sz w:val="26"/>
        <w:szCs w:val="26"/>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76" w:rsidRDefault="00F67E76">
    <w:pPr>
      <w:pStyle w:val="a3"/>
      <w:spacing w:line="220" w:lineRule="exact"/>
      <w:ind w:right="1134"/>
      <w:jc w:val="center"/>
      <w:rPr>
        <w:rFonts w:hAnsi="FrankRuehl" w:cs="FrankRuehl"/>
        <w:color w:val="000000"/>
        <w:sz w:val="28"/>
        <w:szCs w:val="28"/>
        <w:rtl/>
      </w:rPr>
    </w:pPr>
    <w:r>
      <w:rPr>
        <w:rFonts w:hAnsi="FrankRuehl" w:cs="FrankRuehl"/>
        <w:color w:val="000000"/>
        <w:sz w:val="28"/>
        <w:szCs w:val="28"/>
        <w:rtl/>
      </w:rPr>
      <w:t>חוק שיפוט בתי דין רבניים (נישואין וגירושין), תשי"ג-1953</w:t>
    </w:r>
  </w:p>
  <w:p w:rsidR="00F67E76" w:rsidRDefault="00F67E76">
    <w:pPr>
      <w:pStyle w:val="a3"/>
      <w:pBdr>
        <w:top w:val="single" w:sz="4" w:space="0" w:color="auto"/>
      </w:pBdr>
      <w:spacing w:line="220" w:lineRule="exact"/>
      <w:ind w:right="1134"/>
      <w:jc w:val="center"/>
      <w:rPr>
        <w:rFonts w:hAnsi="FrankRuehl" w:cs="FrankRuehl"/>
        <w:color w:val="000000"/>
        <w:sz w:val="26"/>
        <w:szCs w:val="26"/>
        <w:rtl/>
      </w:rPr>
    </w:pPr>
    <w:r>
      <w:rPr>
        <w:rFonts w:hAnsi="FrankRuehl" w:cs="FrankRuehl"/>
        <w:color w:val="000000"/>
        <w:sz w:val="26"/>
        <w:szCs w:val="26"/>
        <w:rtl/>
      </w:rPr>
      <w:t>נוסח מלא ומעודכן</w:t>
    </w:r>
  </w:p>
  <w:p w:rsidR="00F67E76" w:rsidRDefault="00F67E76">
    <w:pPr>
      <w:pStyle w:val="a3"/>
      <w:pBdr>
        <w:top w:val="single" w:sz="4" w:space="0" w:color="auto"/>
      </w:pBdr>
      <w:spacing w:line="220" w:lineRule="exact"/>
      <w:ind w:right="1134"/>
      <w:jc w:val="center"/>
      <w:rPr>
        <w:rFonts w:hAnsi="FrankRuehl" w:cs="FrankRuehl"/>
        <w:color w:val="000000"/>
        <w:sz w:val="26"/>
        <w:szCs w:val="26"/>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oNotHyphenateCaps/>
  <w:drawingGridHorizontalSpacing w:val="165"/>
  <w:drawingGridVerticalSpacing w:val="112"/>
  <w:displayHorizontalDrawingGridEvery w:val="0"/>
  <w:displayVerticalDrawingGridEvery w:val="2"/>
  <w:characterSpacingControl w:val="compressPunctuation"/>
  <w:hdrShapeDefaults>
    <o:shapedefaults v:ext="edit" spidmax="3074" fill="f" fillcolor="white" stroke="f">
      <v:fill color="white" on="f"/>
      <v:stroke on="f"/>
      <v:textbox inset="1mm,0,1mm,0"/>
    </o:shapedefaults>
  </w:hdrShapeDefaults>
  <w:footnotePr>
    <w:footnote w:id="-1"/>
    <w:footnote w:id="0"/>
  </w:footnotePr>
  <w:endnotePr>
    <w:endnote w:id="-1"/>
    <w:endnote w:id="0"/>
  </w:endnotePr>
  <w:compat/>
  <w:rsids>
    <w:rsidRoot w:val="00F67E76"/>
    <w:rsid w:val="009A158F"/>
    <w:rsid w:val="00E32F7A"/>
    <w:rsid w:val="00F67E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1mm,0,1mm,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bidi/>
      <w:spacing w:line="360" w:lineRule="auto"/>
      <w:jc w:val="both"/>
    </w:pPr>
    <w:rPr>
      <w:sz w:val="22"/>
      <w:szCs w:val="24"/>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ig-header">
    <w:name w:val="big-header"/>
    <w:basedOn w:val="a"/>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basedOn w:val="a0"/>
    <w:rPr>
      <w:rFonts w:ascii="Times New Roman" w:hAnsi="Times New Roman" w:cs="Times New Roman"/>
      <w:sz w:val="26"/>
      <w:szCs w:val="26"/>
    </w:rPr>
  </w:style>
  <w:style w:type="character" w:customStyle="1" w:styleId="big-number">
    <w:name w:val="big-number"/>
    <w:basedOn w:val="default"/>
    <w:rPr>
      <w:sz w:val="32"/>
      <w:szCs w:val="32"/>
    </w:rPr>
  </w:style>
  <w:style w:type="character" w:customStyle="1" w:styleId="super">
    <w:name w:val="super"/>
    <w:basedOn w:val="default"/>
    <w:rPr>
      <w:position w:val="4"/>
      <w:sz w:val="16"/>
      <w:szCs w:val="16"/>
      <w:lang w:val="en-US"/>
    </w:rPr>
  </w:style>
  <w:style w:type="paragraph" w:customStyle="1" w:styleId="page">
    <w:name w:val="page"/>
    <w:pPr>
      <w:widowControl w:val="0"/>
      <w:autoSpaceDE w:val="0"/>
      <w:autoSpaceDN w:val="0"/>
      <w:bidi/>
    </w:pPr>
    <w:rPr>
      <w:noProof/>
      <w:position w:val="4"/>
      <w:szCs w:val="22"/>
      <w:lang w:eastAsia="he-IL"/>
    </w:rPr>
  </w:style>
  <w:style w:type="paragraph" w:customStyle="1" w:styleId="sig-1">
    <w:name w:val="sig-1"/>
    <w:pPr>
      <w:widowControl w:val="0"/>
      <w:tabs>
        <w:tab w:val="center" w:pos="851"/>
        <w:tab w:val="center" w:pos="2835"/>
        <w:tab w:val="center" w:pos="4820"/>
      </w:tabs>
      <w:autoSpaceDE w:val="0"/>
      <w:autoSpaceDN w:val="0"/>
      <w:bidi/>
      <w:ind w:left="2835"/>
      <w:jc w:val="both"/>
    </w:pPr>
    <w:rPr>
      <w:noProof/>
      <w:szCs w:val="22"/>
      <w:lang w:eastAsia="he-IL"/>
    </w:rPr>
  </w:style>
  <w:style w:type="paragraph" w:customStyle="1" w:styleId="footnote">
    <w:name w:val="footnote"/>
    <w:basedOn w:val="P00"/>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3">
    <w:name w:val="header"/>
    <w:basedOn w:val="a"/>
    <w:pPr>
      <w:tabs>
        <w:tab w:val="center" w:pos="4153"/>
        <w:tab w:val="right" w:pos="8306"/>
      </w:tabs>
    </w:pPr>
    <w:rPr>
      <w:szCs w:val="22"/>
    </w:rPr>
  </w:style>
  <w:style w:type="paragraph" w:styleId="a4">
    <w:name w:val="footer"/>
    <w:basedOn w:val="a"/>
    <w:pPr>
      <w:tabs>
        <w:tab w:val="center" w:pos="4153"/>
        <w:tab w:val="right" w:pos="8306"/>
      </w:tabs>
    </w:pPr>
    <w:rPr>
      <w:szCs w:val="22"/>
    </w:rPr>
  </w:style>
  <w:style w:type="character" w:styleId="Hyperlink">
    <w:name w:val="Hyperlink"/>
    <w:basedOn w:val="a0"/>
    <w:rPr>
      <w:color w:val="0000FF"/>
      <w:u w:val="single"/>
    </w:rPr>
  </w:style>
  <w:style w:type="paragraph" w:styleId="a5">
    <w:name w:val="footnote text"/>
    <w:basedOn w:val="a"/>
    <w:semiHidden/>
    <w:rPr>
      <w:sz w:val="20"/>
      <w:szCs w:val="20"/>
    </w:rPr>
  </w:style>
  <w:style w:type="character" w:styleId="a6">
    <w:name w:val="footnote reference"/>
    <w:basedOn w:val="a0"/>
    <w:semiHidden/>
    <w:rPr>
      <w:vertAlign w:val="superscript"/>
    </w:rPr>
  </w:style>
  <w:style w:type="character" w:styleId="FollowedHyperlink">
    <w:name w:val="FollowedHyperlink"/>
    <w:basedOn w:val="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vo.co.il/Law_word/law15/MEMSHALA-12.pdf" TargetMode="External"/><Relationship Id="rId18" Type="http://schemas.openxmlformats.org/officeDocument/2006/relationships/hyperlink" Target="http://www.nevo.co.il/Law_word/law17/PROP-23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evo.co.il/Law_word/law14/LAW-2025.pdf" TargetMode="External"/><Relationship Id="rId17" Type="http://schemas.openxmlformats.org/officeDocument/2006/relationships/hyperlink" Target="http://www.nevo.co.il/Law_word/law17/PROP-228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vo.co.il/Law_word/law14/LAW-1507.pdf" TargetMode="External"/><Relationship Id="rId20" Type="http://schemas.openxmlformats.org/officeDocument/2006/relationships/hyperlink" Target="http://www.nevo.co.il/Law_word/law15/MEMSHALA-7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vo.co.il/Law_word/law15/MEMSHALA-12.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nevo.co.il/Law_word/law15/MEMSHALA-12.pdf" TargetMode="External"/><Relationship Id="rId23" Type="http://schemas.openxmlformats.org/officeDocument/2006/relationships/footer" Target="footer1.xml"/><Relationship Id="rId10" Type="http://schemas.openxmlformats.org/officeDocument/2006/relationships/hyperlink" Target="http://www.nevo.co.il/Law_word/law14/LAW-2025.pdf" TargetMode="External"/><Relationship Id="rId19" Type="http://schemas.openxmlformats.org/officeDocument/2006/relationships/hyperlink" Target="http://www.nevo.co.il/Law_word/law14/LAW-1925.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evo.co.il/Law_word/law14/LAW-2025.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14/LAW-2025.pdf" TargetMode="External"/><Relationship Id="rId3" Type="http://schemas.openxmlformats.org/officeDocument/2006/relationships/hyperlink" Target="http://www.nevo.co.il/Law_word/law14/LAW-1507.pdf" TargetMode="External"/><Relationship Id="rId7" Type="http://schemas.openxmlformats.org/officeDocument/2006/relationships/hyperlink" Target="http://www.nevo.co.il/Law_word/law15/MEMSHALA-71.pdf" TargetMode="External"/><Relationship Id="rId2" Type="http://schemas.openxmlformats.org/officeDocument/2006/relationships/hyperlink" Target="http://www.nevo.co.il/Law_word/law17/PROP-0163.pdf" TargetMode="External"/><Relationship Id="rId1" Type="http://schemas.openxmlformats.org/officeDocument/2006/relationships/hyperlink" Target="http://www.nevo.co.il/Law_word/law14/LAW-0134.pdf" TargetMode="External"/><Relationship Id="rId6" Type="http://schemas.openxmlformats.org/officeDocument/2006/relationships/hyperlink" Target="http://www.nevo.co.il/Law_word/law14/LAW-1925.pdf" TargetMode="External"/><Relationship Id="rId5" Type="http://schemas.openxmlformats.org/officeDocument/2006/relationships/hyperlink" Target="http://www.nevo.co.il/Law_word/law17/PROP-2322.pdf" TargetMode="External"/><Relationship Id="rId4" Type="http://schemas.openxmlformats.org/officeDocument/2006/relationships/hyperlink" Target="http://www.nevo.co.il/Law_word/law17/PROP-2281.pdf" TargetMode="External"/><Relationship Id="rId9" Type="http://schemas.openxmlformats.org/officeDocument/2006/relationships/hyperlink" Target="http://www.nevo.co.il/Law_word/law15/HATZAOT-LAW-MEMSHALA-1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מסמך" ma:contentTypeID="0x0101002B0EE6BE8ED4F14F897C47C2960A164C" ma:contentTypeVersion="2" ma:contentTypeDescription="צור מסמך חדש." ma:contentTypeScope="" ma:versionID="44ec59b2303d3ca380419ea140ab7a80">
  <xsd:schema xmlns:xsd="http://www.w3.org/2001/XMLSchema" xmlns:p="http://schemas.microsoft.com/office/2006/metadata/properties" xmlns:ns3="fe384cf7-21cd-49eb-8bbb-71ed64f47de0" targetNamespace="http://schemas.microsoft.com/office/2006/metadata/properties" ma:root="true" ma:fieldsID="0f30b2798e15267db13ebb43ed100753" ns3:_="">
    <xsd:import namespace="fe384cf7-21cd-49eb-8bbb-71ed64f47de0"/>
    <xsd:element name="properties">
      <xsd:complexType>
        <xsd:sequence>
          <xsd:element name="documentManagement">
            <xsd:complexType>
              <xsd:all>
                <xsd:element ref="ns3:Subject2" minOccurs="0"/>
              </xsd:all>
            </xsd:complexType>
          </xsd:element>
        </xsd:sequence>
      </xsd:complexType>
    </xsd:element>
  </xsd:schema>
  <xsd:schema xmlns:xsd="http://www.w3.org/2001/XMLSchema" xmlns:dms="http://schemas.microsoft.com/office/2006/documentManagement/types" targetNamespace="fe384cf7-21cd-49eb-8bbb-71ed64f47de0" elementFormDefault="qualified">
    <xsd:import namespace="http://schemas.microsoft.com/office/2006/documentManagement/types"/>
    <xsd:element name="Subject2" ma:index="9" nillable="true" ma:displayName="תחום" ma:format="Dropdown" ma:internalName="Subject2">
      <xsd:simpleType>
        <xsd:restriction base="dms:Choice">
          <xsd:enumeration value="בתי דין"/>
          <xsd:enumeration value="כללי"/>
          <xsd:enumeration value="חוקי יסוד"/>
          <xsd:enumeration value="קטינים ואפוטרופסות"/>
          <xsd:enumeration value="דיינים, רבנים וטוענים רבניים"/>
          <xsd:enumeration value="יחסי ממון, רכוש וירושה"/>
          <xsd:enumeration value="דיני משפחה-מזונות ומניעת אלימות"/>
          <xsd:enumeration value="בית משפט לענייני משפחה והתרת נישואין"/>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ma:index="8"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ject2 xmlns="fe384cf7-21cd-49eb-8bbb-71ed64f47de0">בתי דין</Subject2>
  </documentManagement>
</p:properties>
</file>

<file path=customXml/itemProps1.xml><?xml version="1.0" encoding="utf-8"?>
<ds:datastoreItem xmlns:ds="http://schemas.openxmlformats.org/officeDocument/2006/customXml" ds:itemID="{3AFF2E2A-47BD-45FD-88F8-3F1052541933}">
  <ds:schemaRefs>
    <ds:schemaRef ds:uri="http://schemas.microsoft.com/office/2006/metadata/longProperties"/>
  </ds:schemaRefs>
</ds:datastoreItem>
</file>

<file path=customXml/itemProps2.xml><?xml version="1.0" encoding="utf-8"?>
<ds:datastoreItem xmlns:ds="http://schemas.openxmlformats.org/officeDocument/2006/customXml" ds:itemID="{308C4AB4-2355-464A-B817-7313E327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4cf7-21cd-49eb-8bbb-71ed64f47d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5A51D2-992A-4D68-A246-52257B7097A7}">
  <ds:schemaRefs>
    <ds:schemaRef ds:uri="http://schemas.microsoft.com/sharepoint/v3/contenttype/forms"/>
  </ds:schemaRefs>
</ds:datastoreItem>
</file>

<file path=customXml/itemProps4.xml><?xml version="1.0" encoding="utf-8"?>
<ds:datastoreItem xmlns:ds="http://schemas.openxmlformats.org/officeDocument/2006/customXml" ds:itemID="{C751614E-DA23-4B53-A1F9-0712DFD95370}">
  <ds:schemaRefs>
    <ds:schemaRef ds:uri="http://schemas.microsoft.com/office/2006/metadata/properties"/>
    <ds:schemaRef ds:uri="fe384cf7-21cd-49eb-8bbb-71ed64f47d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6425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פרק 317</vt:lpstr>
    </vt:vector>
  </TitlesOfParts>
  <Company/>
  <LinksUpToDate>false</LinksUpToDate>
  <CharactersWithSpaces>7695</CharactersWithSpaces>
  <SharedDoc>false</SharedDoc>
  <HLinks>
    <vt:vector size="204" baseType="variant">
      <vt:variant>
        <vt:i4>2162782</vt:i4>
      </vt:variant>
      <vt:variant>
        <vt:i4>114</vt:i4>
      </vt:variant>
      <vt:variant>
        <vt:i4>0</vt:i4>
      </vt:variant>
      <vt:variant>
        <vt:i4>5</vt:i4>
      </vt:variant>
      <vt:variant>
        <vt:lpwstr>http://www.nevo.co.il/Law_word/law15/MEMSHALA-71.pdf</vt:lpwstr>
      </vt:variant>
      <vt:variant>
        <vt:lpwstr/>
      </vt:variant>
      <vt:variant>
        <vt:i4>8126469</vt:i4>
      </vt:variant>
      <vt:variant>
        <vt:i4>111</vt:i4>
      </vt:variant>
      <vt:variant>
        <vt:i4>0</vt:i4>
      </vt:variant>
      <vt:variant>
        <vt:i4>5</vt:i4>
      </vt:variant>
      <vt:variant>
        <vt:lpwstr>http://www.nevo.co.il/Law_word/law14/LAW-1925.pdf</vt:lpwstr>
      </vt:variant>
      <vt:variant>
        <vt:lpwstr/>
      </vt:variant>
      <vt:variant>
        <vt:i4>524413</vt:i4>
      </vt:variant>
      <vt:variant>
        <vt:i4>108</vt:i4>
      </vt:variant>
      <vt:variant>
        <vt:i4>0</vt:i4>
      </vt:variant>
      <vt:variant>
        <vt:i4>5</vt:i4>
      </vt:variant>
      <vt:variant>
        <vt:lpwstr>http://www.nevo.co.il/Law_word/law17/PROP-2322.pdf</vt:lpwstr>
      </vt:variant>
      <vt:variant>
        <vt:lpwstr/>
      </vt:variant>
      <vt:variant>
        <vt:i4>655479</vt:i4>
      </vt:variant>
      <vt:variant>
        <vt:i4>105</vt:i4>
      </vt:variant>
      <vt:variant>
        <vt:i4>0</vt:i4>
      </vt:variant>
      <vt:variant>
        <vt:i4>5</vt:i4>
      </vt:variant>
      <vt:variant>
        <vt:lpwstr>http://www.nevo.co.il/Law_word/law17/PROP-2281.pdf</vt:lpwstr>
      </vt:variant>
      <vt:variant>
        <vt:lpwstr/>
      </vt:variant>
      <vt:variant>
        <vt:i4>8257547</vt:i4>
      </vt:variant>
      <vt:variant>
        <vt:i4>102</vt:i4>
      </vt:variant>
      <vt:variant>
        <vt:i4>0</vt:i4>
      </vt:variant>
      <vt:variant>
        <vt:i4>5</vt:i4>
      </vt:variant>
      <vt:variant>
        <vt:lpwstr>http://www.nevo.co.il/Law_word/law14/LAW-1507.pdf</vt:lpwstr>
      </vt:variant>
      <vt:variant>
        <vt:lpwstr/>
      </vt:variant>
      <vt:variant>
        <vt:i4>2228312</vt:i4>
      </vt:variant>
      <vt:variant>
        <vt:i4>99</vt:i4>
      </vt:variant>
      <vt:variant>
        <vt:i4>0</vt:i4>
      </vt:variant>
      <vt:variant>
        <vt:i4>5</vt:i4>
      </vt:variant>
      <vt:variant>
        <vt:lpwstr>http://www.nevo.co.il/Law_word/law15/MEMSHALA-12.pdf</vt:lpwstr>
      </vt:variant>
      <vt:variant>
        <vt:lpwstr/>
      </vt:variant>
      <vt:variant>
        <vt:i4>8323084</vt:i4>
      </vt:variant>
      <vt:variant>
        <vt:i4>96</vt:i4>
      </vt:variant>
      <vt:variant>
        <vt:i4>0</vt:i4>
      </vt:variant>
      <vt:variant>
        <vt:i4>5</vt:i4>
      </vt:variant>
      <vt:variant>
        <vt:lpwstr>http://www.nevo.co.il/Law_word/law14/LAW-2025.pdf</vt:lpwstr>
      </vt:variant>
      <vt:variant>
        <vt:lpwstr/>
      </vt:variant>
      <vt:variant>
        <vt:i4>2228312</vt:i4>
      </vt:variant>
      <vt:variant>
        <vt:i4>93</vt:i4>
      </vt:variant>
      <vt:variant>
        <vt:i4>0</vt:i4>
      </vt:variant>
      <vt:variant>
        <vt:i4>5</vt:i4>
      </vt:variant>
      <vt:variant>
        <vt:lpwstr>http://www.nevo.co.il/Law_word/law15/MEMSHALA-12.pdf</vt:lpwstr>
      </vt:variant>
      <vt:variant>
        <vt:lpwstr/>
      </vt:variant>
      <vt:variant>
        <vt:i4>8323084</vt:i4>
      </vt:variant>
      <vt:variant>
        <vt:i4>90</vt:i4>
      </vt:variant>
      <vt:variant>
        <vt:i4>0</vt:i4>
      </vt:variant>
      <vt:variant>
        <vt:i4>5</vt:i4>
      </vt:variant>
      <vt:variant>
        <vt:lpwstr>http://www.nevo.co.il/Law_word/law14/LAW-2025.pdf</vt:lpwstr>
      </vt:variant>
      <vt:variant>
        <vt:lpwstr/>
      </vt:variant>
      <vt:variant>
        <vt:i4>2228312</vt:i4>
      </vt:variant>
      <vt:variant>
        <vt:i4>87</vt:i4>
      </vt:variant>
      <vt:variant>
        <vt:i4>0</vt:i4>
      </vt:variant>
      <vt:variant>
        <vt:i4>5</vt:i4>
      </vt:variant>
      <vt:variant>
        <vt:lpwstr>http://www.nevo.co.il/Law_word/law15/MEMSHALA-12.pdf</vt:lpwstr>
      </vt:variant>
      <vt:variant>
        <vt:lpwstr/>
      </vt:variant>
      <vt:variant>
        <vt:i4>8323084</vt:i4>
      </vt:variant>
      <vt:variant>
        <vt:i4>84</vt:i4>
      </vt:variant>
      <vt:variant>
        <vt:i4>0</vt:i4>
      </vt:variant>
      <vt:variant>
        <vt:i4>5</vt:i4>
      </vt:variant>
      <vt:variant>
        <vt:lpwstr>http://www.nevo.co.il/Law_word/law14/LAW-2025.pdf</vt:lpwstr>
      </vt:variant>
      <vt:variant>
        <vt:lpwstr/>
      </vt:variant>
      <vt:variant>
        <vt:i4>3342379</vt:i4>
      </vt:variant>
      <vt:variant>
        <vt:i4>81</vt:i4>
      </vt:variant>
      <vt:variant>
        <vt:i4>0</vt:i4>
      </vt:variant>
      <vt:variant>
        <vt:i4>5</vt:i4>
      </vt:variant>
      <vt:variant>
        <vt:lpwstr/>
      </vt:variant>
      <vt:variant>
        <vt:lpwstr>Seif10</vt:lpwstr>
      </vt:variant>
      <vt:variant>
        <vt:i4>196634</vt:i4>
      </vt:variant>
      <vt:variant>
        <vt:i4>75</vt:i4>
      </vt:variant>
      <vt:variant>
        <vt:i4>0</vt:i4>
      </vt:variant>
      <vt:variant>
        <vt:i4>5</vt:i4>
      </vt:variant>
      <vt:variant>
        <vt:lpwstr/>
      </vt:variant>
      <vt:variant>
        <vt:lpwstr>Seif9</vt:lpwstr>
      </vt:variant>
      <vt:variant>
        <vt:i4>196634</vt:i4>
      </vt:variant>
      <vt:variant>
        <vt:i4>69</vt:i4>
      </vt:variant>
      <vt:variant>
        <vt:i4>0</vt:i4>
      </vt:variant>
      <vt:variant>
        <vt:i4>5</vt:i4>
      </vt:variant>
      <vt:variant>
        <vt:lpwstr/>
      </vt:variant>
      <vt:variant>
        <vt:lpwstr>Seif8</vt:lpwstr>
      </vt:variant>
      <vt:variant>
        <vt:i4>196634</vt:i4>
      </vt:variant>
      <vt:variant>
        <vt:i4>63</vt:i4>
      </vt:variant>
      <vt:variant>
        <vt:i4>0</vt:i4>
      </vt:variant>
      <vt:variant>
        <vt:i4>5</vt:i4>
      </vt:variant>
      <vt:variant>
        <vt:lpwstr/>
      </vt:variant>
      <vt:variant>
        <vt:lpwstr>Seif7</vt:lpwstr>
      </vt:variant>
      <vt:variant>
        <vt:i4>196634</vt:i4>
      </vt:variant>
      <vt:variant>
        <vt:i4>57</vt:i4>
      </vt:variant>
      <vt:variant>
        <vt:i4>0</vt:i4>
      </vt:variant>
      <vt:variant>
        <vt:i4>5</vt:i4>
      </vt:variant>
      <vt:variant>
        <vt:lpwstr/>
      </vt:variant>
      <vt:variant>
        <vt:lpwstr>Seif6</vt:lpwstr>
      </vt:variant>
      <vt:variant>
        <vt:i4>196634</vt:i4>
      </vt:variant>
      <vt:variant>
        <vt:i4>51</vt:i4>
      </vt:variant>
      <vt:variant>
        <vt:i4>0</vt:i4>
      </vt:variant>
      <vt:variant>
        <vt:i4>5</vt:i4>
      </vt:variant>
      <vt:variant>
        <vt:lpwstr/>
      </vt:variant>
      <vt:variant>
        <vt:lpwstr>Seif5</vt:lpwstr>
      </vt:variant>
      <vt:variant>
        <vt:i4>196634</vt:i4>
      </vt:variant>
      <vt:variant>
        <vt:i4>45</vt:i4>
      </vt:variant>
      <vt:variant>
        <vt:i4>0</vt:i4>
      </vt:variant>
      <vt:variant>
        <vt:i4>5</vt:i4>
      </vt:variant>
      <vt:variant>
        <vt:lpwstr/>
      </vt:variant>
      <vt:variant>
        <vt:lpwstr>Seif4</vt:lpwstr>
      </vt:variant>
      <vt:variant>
        <vt:i4>3145771</vt:i4>
      </vt:variant>
      <vt:variant>
        <vt:i4>39</vt:i4>
      </vt:variant>
      <vt:variant>
        <vt:i4>0</vt:i4>
      </vt:variant>
      <vt:variant>
        <vt:i4>5</vt:i4>
      </vt:variant>
      <vt:variant>
        <vt:lpwstr/>
      </vt:variant>
      <vt:variant>
        <vt:lpwstr>Seif13</vt:lpwstr>
      </vt:variant>
      <vt:variant>
        <vt:i4>3211307</vt:i4>
      </vt:variant>
      <vt:variant>
        <vt:i4>33</vt:i4>
      </vt:variant>
      <vt:variant>
        <vt:i4>0</vt:i4>
      </vt:variant>
      <vt:variant>
        <vt:i4>5</vt:i4>
      </vt:variant>
      <vt:variant>
        <vt:lpwstr/>
      </vt:variant>
      <vt:variant>
        <vt:lpwstr>Seif12</vt:lpwstr>
      </vt:variant>
      <vt:variant>
        <vt:i4>3276843</vt:i4>
      </vt:variant>
      <vt:variant>
        <vt:i4>27</vt:i4>
      </vt:variant>
      <vt:variant>
        <vt:i4>0</vt:i4>
      </vt:variant>
      <vt:variant>
        <vt:i4>5</vt:i4>
      </vt:variant>
      <vt:variant>
        <vt:lpwstr/>
      </vt:variant>
      <vt:variant>
        <vt:lpwstr>Seif11</vt:lpwstr>
      </vt:variant>
      <vt:variant>
        <vt:i4>196634</vt:i4>
      </vt:variant>
      <vt:variant>
        <vt:i4>21</vt:i4>
      </vt:variant>
      <vt:variant>
        <vt:i4>0</vt:i4>
      </vt:variant>
      <vt:variant>
        <vt:i4>5</vt:i4>
      </vt:variant>
      <vt:variant>
        <vt:lpwstr/>
      </vt:variant>
      <vt:variant>
        <vt:lpwstr>Seif3</vt:lpwstr>
      </vt:variant>
      <vt:variant>
        <vt:i4>196634</vt:i4>
      </vt:variant>
      <vt:variant>
        <vt:i4>15</vt:i4>
      </vt:variant>
      <vt:variant>
        <vt:i4>0</vt:i4>
      </vt:variant>
      <vt:variant>
        <vt:i4>5</vt:i4>
      </vt:variant>
      <vt:variant>
        <vt:lpwstr/>
      </vt:variant>
      <vt:variant>
        <vt:lpwstr>Seif2</vt:lpwstr>
      </vt:variant>
      <vt:variant>
        <vt:i4>196634</vt:i4>
      </vt:variant>
      <vt:variant>
        <vt:i4>9</vt:i4>
      </vt:variant>
      <vt:variant>
        <vt:i4>0</vt:i4>
      </vt:variant>
      <vt:variant>
        <vt:i4>5</vt:i4>
      </vt:variant>
      <vt:variant>
        <vt:lpwstr/>
      </vt:variant>
      <vt:variant>
        <vt:lpwstr>Seif1</vt:lpwstr>
      </vt:variant>
      <vt:variant>
        <vt:i4>196634</vt:i4>
      </vt:variant>
      <vt:variant>
        <vt:i4>3</vt:i4>
      </vt:variant>
      <vt:variant>
        <vt:i4>0</vt:i4>
      </vt:variant>
      <vt:variant>
        <vt:i4>5</vt:i4>
      </vt:variant>
      <vt:variant>
        <vt:lpwstr/>
      </vt:variant>
      <vt:variant>
        <vt:lpwstr>Seif0</vt:lpwstr>
      </vt:variant>
      <vt:variant>
        <vt:i4>3145805</vt:i4>
      </vt:variant>
      <vt:variant>
        <vt:i4>24</vt:i4>
      </vt:variant>
      <vt:variant>
        <vt:i4>0</vt:i4>
      </vt:variant>
      <vt:variant>
        <vt:i4>5</vt:i4>
      </vt:variant>
      <vt:variant>
        <vt:lpwstr>http://www.nevo.co.il/Law_word/law15/HATZAOT-LAW-MEMSHALA-12.pdf</vt:lpwstr>
      </vt:variant>
      <vt:variant>
        <vt:lpwstr/>
      </vt:variant>
      <vt:variant>
        <vt:i4>8323084</vt:i4>
      </vt:variant>
      <vt:variant>
        <vt:i4>21</vt:i4>
      </vt:variant>
      <vt:variant>
        <vt:i4>0</vt:i4>
      </vt:variant>
      <vt:variant>
        <vt:i4>5</vt:i4>
      </vt:variant>
      <vt:variant>
        <vt:lpwstr>http://www.nevo.co.il/Law_word/law14/LAW-2025.pdf</vt:lpwstr>
      </vt:variant>
      <vt:variant>
        <vt:lpwstr/>
      </vt:variant>
      <vt:variant>
        <vt:i4>2162782</vt:i4>
      </vt:variant>
      <vt:variant>
        <vt:i4>18</vt:i4>
      </vt:variant>
      <vt:variant>
        <vt:i4>0</vt:i4>
      </vt:variant>
      <vt:variant>
        <vt:i4>5</vt:i4>
      </vt:variant>
      <vt:variant>
        <vt:lpwstr>http://www.nevo.co.il/Law_word/law15/MEMSHALA-71.pdf</vt:lpwstr>
      </vt:variant>
      <vt:variant>
        <vt:lpwstr/>
      </vt:variant>
      <vt:variant>
        <vt:i4>8126469</vt:i4>
      </vt:variant>
      <vt:variant>
        <vt:i4>15</vt:i4>
      </vt:variant>
      <vt:variant>
        <vt:i4>0</vt:i4>
      </vt:variant>
      <vt:variant>
        <vt:i4>5</vt:i4>
      </vt:variant>
      <vt:variant>
        <vt:lpwstr>http://www.nevo.co.il/Law_word/law14/LAW-1925.pdf</vt:lpwstr>
      </vt:variant>
      <vt:variant>
        <vt:lpwstr/>
      </vt:variant>
      <vt:variant>
        <vt:i4>524413</vt:i4>
      </vt:variant>
      <vt:variant>
        <vt:i4>12</vt:i4>
      </vt:variant>
      <vt:variant>
        <vt:i4>0</vt:i4>
      </vt:variant>
      <vt:variant>
        <vt:i4>5</vt:i4>
      </vt:variant>
      <vt:variant>
        <vt:lpwstr>http://www.nevo.co.il/Law_word/law17/PROP-2322.pdf</vt:lpwstr>
      </vt:variant>
      <vt:variant>
        <vt:lpwstr/>
      </vt:variant>
      <vt:variant>
        <vt:i4>655479</vt:i4>
      </vt:variant>
      <vt:variant>
        <vt:i4>9</vt:i4>
      </vt:variant>
      <vt:variant>
        <vt:i4>0</vt:i4>
      </vt:variant>
      <vt:variant>
        <vt:i4>5</vt:i4>
      </vt:variant>
      <vt:variant>
        <vt:lpwstr>http://www.nevo.co.il/Law_word/law17/PROP-2281.pdf</vt:lpwstr>
      </vt:variant>
      <vt:variant>
        <vt:lpwstr/>
      </vt:variant>
      <vt:variant>
        <vt:i4>8257547</vt:i4>
      </vt:variant>
      <vt:variant>
        <vt:i4>6</vt:i4>
      </vt:variant>
      <vt:variant>
        <vt:i4>0</vt:i4>
      </vt:variant>
      <vt:variant>
        <vt:i4>5</vt:i4>
      </vt:variant>
      <vt:variant>
        <vt:lpwstr>http://www.nevo.co.il/Law_word/law14/LAW-1507.pdf</vt:lpwstr>
      </vt:variant>
      <vt:variant>
        <vt:lpwstr/>
      </vt:variant>
      <vt:variant>
        <vt:i4>721019</vt:i4>
      </vt:variant>
      <vt:variant>
        <vt:i4>3</vt:i4>
      </vt:variant>
      <vt:variant>
        <vt:i4>0</vt:i4>
      </vt:variant>
      <vt:variant>
        <vt:i4>5</vt:i4>
      </vt:variant>
      <vt:variant>
        <vt:lpwstr>http://www.nevo.co.il/Law_word/law17/PROP-0163.pdf</vt:lpwstr>
      </vt:variant>
      <vt:variant>
        <vt:lpwstr/>
      </vt:variant>
      <vt:variant>
        <vt:i4>8126476</vt:i4>
      </vt:variant>
      <vt:variant>
        <vt:i4>0</vt:i4>
      </vt:variant>
      <vt:variant>
        <vt:i4>0</vt:i4>
      </vt:variant>
      <vt:variant>
        <vt:i4>5</vt:i4>
      </vt:variant>
      <vt:variant>
        <vt:lpwstr>http://www.nevo.co.il/Law_word/law14/LAW-0134.pdf</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317</dc:title>
  <dc:creator>eli</dc:creator>
  <cp:lastModifiedBy>bb bt</cp:lastModifiedBy>
  <cp:revision>2</cp:revision>
  <dcterms:created xsi:type="dcterms:W3CDTF">2015-06-08T10:43:00Z</dcterms:created>
  <dcterms:modified xsi:type="dcterms:W3CDTF">2015-06-08T10:43:00Z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NUMBER">
    <vt:lpwstr>0317</vt:lpwstr>
  </property>
  <property fmtid="{D5CDD505-2E9C-101B-9397-08002B2CF9AE}" pid="3" name="CHNAME">
    <vt:lpwstr>נישואין וגירושין</vt:lpwstr>
  </property>
  <property fmtid="{D5CDD505-2E9C-101B-9397-08002B2CF9AE}" pid="4" name="LAWNAME">
    <vt:lpwstr>חוק שיפוט בתי דין רבניים (נישואין וגירושין), תשי"ג-1953 - רבדים</vt:lpwstr>
  </property>
  <property fmtid="{D5CDD505-2E9C-101B-9397-08002B2CF9AE}" pid="5" name="LAWNUMBER">
    <vt:lpwstr>0003</vt:lpwstr>
  </property>
  <property fmtid="{D5CDD505-2E9C-101B-9397-08002B2CF9AE}" pid="6" name="TYPE">
    <vt:lpwstr>01</vt:lpwstr>
  </property>
  <property fmtid="{D5CDD505-2E9C-101B-9397-08002B2CF9AE}" pid="7" name="LINKK1">
    <vt:lpwstr>http://www.nevo.co.il/Law_word/law14/LAW-2025.pdf;רשומות – ספר חוקים#ס"ח תשס"ה מס' 2025#מיום 10.8.2005#עמ' 945#תיקון מס' 3 בסעיף 2 לחוק שיפוט בעניני התרת נישואין (מקרים מיוחדים וסמכות בין-לאומית) (תיקוני חקיקה), תשס"ה-2005</vt:lpwstr>
  </property>
  <property fmtid="{D5CDD505-2E9C-101B-9397-08002B2CF9AE}" pid="8" name="LINKK2">
    <vt:lpwstr>http://www.nevo.co.il/Law_word/law15/HATZAOT-LAW-MEMSHALA-12.pdf;רשומות – הצעות חוק ממשלה ודברי הסבר#ה"ח הממשלה תשס"ג מס' 12#עמ' 162</vt:lpwstr>
  </property>
  <property fmtid="{D5CDD505-2E9C-101B-9397-08002B2CF9AE}" pid="9" name="LINKK3">
    <vt:lpwstr/>
  </property>
  <property fmtid="{D5CDD505-2E9C-101B-9397-08002B2CF9AE}" pid="10" name="LINKK4">
    <vt:lpwstr/>
  </property>
  <property fmtid="{D5CDD505-2E9C-101B-9397-08002B2CF9AE}" pid="11" name="LINKK5">
    <vt:lpwstr/>
  </property>
  <property fmtid="{D5CDD505-2E9C-101B-9397-08002B2CF9AE}" pid="12" name="LINKK6">
    <vt:lpwstr/>
  </property>
  <property fmtid="{D5CDD505-2E9C-101B-9397-08002B2CF9AE}" pid="13" name="LINKK7">
    <vt:lpwstr/>
  </property>
  <property fmtid="{D5CDD505-2E9C-101B-9397-08002B2CF9AE}" pid="14" name="LINKK8">
    <vt:lpwstr/>
  </property>
  <property fmtid="{D5CDD505-2E9C-101B-9397-08002B2CF9AE}" pid="15" name="LINKK9">
    <vt:lpwstr/>
  </property>
  <property fmtid="{D5CDD505-2E9C-101B-9397-08002B2CF9AE}" pid="16" name="LINKK10">
    <vt:lpwstr/>
  </property>
  <property fmtid="{D5CDD505-2E9C-101B-9397-08002B2CF9AE}" pid="17" name="LINKI1">
    <vt:lpwstr/>
  </property>
  <property fmtid="{D5CDD505-2E9C-101B-9397-08002B2CF9AE}" pid="18" name="LINKI2">
    <vt:lpwstr/>
  </property>
  <property fmtid="{D5CDD505-2E9C-101B-9397-08002B2CF9AE}" pid="19" name="LINKI3">
    <vt:lpwstr/>
  </property>
  <property fmtid="{D5CDD505-2E9C-101B-9397-08002B2CF9AE}" pid="20" name="LINKI4">
    <vt:lpwstr/>
  </property>
  <property fmtid="{D5CDD505-2E9C-101B-9397-08002B2CF9AE}" pid="21" name="LINKI5">
    <vt:lpwstr/>
  </property>
  <property fmtid="{D5CDD505-2E9C-101B-9397-08002B2CF9AE}" pid="22" name="Order">
    <vt:lpwstr>2900.00000000000</vt:lpwstr>
  </property>
  <property fmtid="{D5CDD505-2E9C-101B-9397-08002B2CF9AE}" pid="23" name="ContentType">
    <vt:lpwstr>מסמך</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eli</vt:lpwstr>
  </property>
</Properties>
</file>