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AF" w:rsidRDefault="002373F5" w:rsidP="00696C5E">
      <w:pPr>
        <w:spacing w:before="0"/>
        <w:jc w:val="center"/>
        <w:rPr>
          <w:b/>
          <w:bCs/>
          <w:sz w:val="28"/>
          <w:szCs w:val="28"/>
          <w:rtl/>
        </w:rPr>
      </w:pPr>
      <w:bookmarkStart w:id="0" w:name="_GoBack"/>
      <w:bookmarkEnd w:id="0"/>
      <w:r>
        <w:rPr>
          <w:noProof/>
          <w:lang w:eastAsia="en-US"/>
        </w:rPr>
        <w:drawing>
          <wp:inline distT="0" distB="0" distL="0" distR="0">
            <wp:extent cx="504825" cy="62865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B416AF" w:rsidRDefault="00B416AF" w:rsidP="00696C5E">
      <w:pPr>
        <w:spacing w:before="0"/>
        <w:jc w:val="center"/>
        <w:rPr>
          <w:b/>
          <w:bCs/>
          <w:sz w:val="28"/>
          <w:szCs w:val="28"/>
          <w:rtl/>
        </w:rPr>
      </w:pPr>
    </w:p>
    <w:p w:rsidR="00B416AF" w:rsidRPr="00E03BC5" w:rsidRDefault="00B416AF" w:rsidP="00E03BC5">
      <w:pPr>
        <w:pStyle w:val="HeadHatzaotHok"/>
        <w:spacing w:before="0"/>
        <w:rPr>
          <w:rtl/>
        </w:rPr>
      </w:pPr>
      <w:r w:rsidRPr="00B16515">
        <w:rPr>
          <w:rStyle w:val="HeadHatzaotHok0"/>
          <w:b/>
          <w:bCs/>
          <w:snapToGrid/>
          <w:sz w:val="20"/>
          <w:rtl/>
        </w:rPr>
        <w:t>חוק</w:t>
      </w:r>
      <w:r w:rsidR="00E03BC5">
        <w:rPr>
          <w:rtl/>
        </w:rPr>
        <w:t xml:space="preserve"> ברית הזוגיות לחסרי דת, התש"ע–2010</w:t>
      </w:r>
      <w:r>
        <w:rPr>
          <w:rStyle w:val="ab"/>
          <w:rFonts w:cs="David"/>
          <w:b w:val="0"/>
          <w:bCs w:val="0"/>
          <w:sz w:val="28"/>
          <w:szCs w:val="28"/>
          <w:rtl/>
        </w:rPr>
        <w:footnoteReference w:customMarkFollows="1" w:id="1"/>
        <w:t>*</w:t>
      </w:r>
    </w:p>
    <w:p w:rsidR="00B416AF" w:rsidRDefault="00B416AF" w:rsidP="00696C5E">
      <w:pPr>
        <w:spacing w:before="0"/>
        <w:rPr>
          <w:sz w:val="26"/>
          <w:szCs w:val="26"/>
          <w:rtl/>
        </w:rPr>
      </w:pPr>
    </w:p>
    <w:tbl>
      <w:tblPr>
        <w:bidiVisual/>
        <w:tblW w:w="9638" w:type="dxa"/>
        <w:jc w:val="center"/>
        <w:tblLayout w:type="fixed"/>
        <w:tblCellMar>
          <w:top w:w="57" w:type="dxa"/>
          <w:left w:w="0" w:type="dxa"/>
          <w:bottom w:w="57" w:type="dxa"/>
          <w:right w:w="0" w:type="dxa"/>
        </w:tblCellMar>
        <w:tblLook w:val="0000" w:firstRow="0" w:lastRow="0" w:firstColumn="0" w:lastColumn="0" w:noHBand="0" w:noVBand="0"/>
      </w:tblPr>
      <w:tblGrid>
        <w:gridCol w:w="1869"/>
        <w:gridCol w:w="624"/>
        <w:gridCol w:w="624"/>
        <w:gridCol w:w="624"/>
        <w:gridCol w:w="624"/>
        <w:gridCol w:w="624"/>
        <w:gridCol w:w="4649"/>
      </w:tblGrid>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r>
              <w:rPr>
                <w:rtl/>
              </w:rPr>
              <w:t>הגדרות</w:t>
            </w:r>
          </w:p>
        </w:tc>
        <w:tc>
          <w:tcPr>
            <w:tcW w:w="624" w:type="dxa"/>
            <w:tcMar>
              <w:top w:w="91" w:type="dxa"/>
              <w:left w:w="0" w:type="dxa"/>
              <w:bottom w:w="91" w:type="dxa"/>
              <w:right w:w="0" w:type="dxa"/>
            </w:tcMar>
          </w:tcPr>
          <w:p w:rsidR="00E03BC5" w:rsidRDefault="00E03BC5" w:rsidP="00E03BC5">
            <w:pPr>
              <w:pStyle w:val="TableText"/>
              <w:spacing w:before="0"/>
            </w:pPr>
            <w:r>
              <w:rPr>
                <w:sz w:val="24"/>
                <w:rtl/>
              </w:rPr>
              <w:t>1</w:t>
            </w:r>
            <w:r>
              <w:rPr>
                <w:rtl/>
              </w:rPr>
              <w:t>.</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 xml:space="preserve">בחוק זה –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"בית דין דתי" – בית דין רבני, בית דין שרעי, בית דין של עדה נוצרית ובית דין דתי דרוזי;</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"בית המשפט" – בית המשפט לענייני משפחה;</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"בני זוג" – בני זוג שהם איש ואישה;</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"בקשה ליישוב סכסוך" – פתיחת הליך בבית המשפט בבקשה ליישוב סכסוך בין בני זוג לפי תקנות סדר הדין האזרחי, התשמ"ד–1984‏</w:t>
            </w:r>
            <w:r w:rsidRPr="00DC44A6">
              <w:rPr>
                <w:rStyle w:val="ab"/>
                <w:rFonts w:cs="David"/>
                <w:szCs w:val="20"/>
                <w:rtl/>
              </w:rPr>
              <w:footnoteReference w:id="2"/>
            </w:r>
            <w:r>
              <w:rPr>
                <w:rtl/>
              </w:rPr>
              <w:t>;</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 xml:space="preserve">"ברית זוגיות" – הסכם בין בני זוג לחיות יחד ולקיים חיי משפחה ומשק בית משותף;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 xml:space="preserve">"דיין" </w:t>
            </w:r>
            <w:r w:rsidR="00703BC2">
              <w:t>–</w:t>
            </w:r>
            <w:r>
              <w:rPr>
                <w:rtl/>
              </w:rPr>
              <w:t xml:space="preserve"> כל אחד מאלה, לפי העניין: </w:t>
            </w:r>
          </w:p>
        </w:tc>
      </w:tr>
      <w:tr w:rsidR="00E03BC5" w:rsidTr="00E03BC5">
        <w:tblPrEx>
          <w:tblLook w:val="01E0" w:firstRow="1" w:lastRow="1" w:firstColumn="1" w:lastColumn="1" w:noHBand="0" w:noVBand="0"/>
        </w:tblPrEx>
        <w:trPr>
          <w:cantSplit/>
          <w:trHeight w:val="60"/>
          <w:jc w:val="center"/>
        </w:trPr>
        <w:tc>
          <w:tcPr>
            <w:tcW w:w="1869" w:type="dxa"/>
          </w:tcPr>
          <w:p w:rsidR="00E03BC5" w:rsidRDefault="00E03BC5" w:rsidP="00E03BC5">
            <w:pPr>
              <w:pStyle w:val="TableSideHeading"/>
              <w:spacing w:before="0"/>
            </w:pPr>
          </w:p>
        </w:tc>
        <w:tc>
          <w:tcPr>
            <w:tcW w:w="624" w:type="dxa"/>
          </w:tcPr>
          <w:p w:rsidR="00E03BC5" w:rsidRDefault="00E03BC5" w:rsidP="00E03BC5">
            <w:pPr>
              <w:pStyle w:val="TableText"/>
              <w:spacing w:before="0"/>
            </w:pPr>
          </w:p>
        </w:tc>
        <w:tc>
          <w:tcPr>
            <w:tcW w:w="624" w:type="dxa"/>
          </w:tcPr>
          <w:p w:rsidR="00E03BC5" w:rsidRDefault="00E03BC5" w:rsidP="00E03BC5">
            <w:pPr>
              <w:pStyle w:val="TableText"/>
              <w:spacing w:before="0"/>
            </w:pPr>
          </w:p>
        </w:tc>
        <w:tc>
          <w:tcPr>
            <w:tcW w:w="6521" w:type="dxa"/>
            <w:gridSpan w:val="4"/>
          </w:tcPr>
          <w:p w:rsidR="00E03BC5" w:rsidRDefault="00E03BC5" w:rsidP="00E03BC5">
            <w:pPr>
              <w:pStyle w:val="TableBlock"/>
              <w:spacing w:before="0"/>
            </w:pPr>
            <w:r>
              <w:rPr>
                <w:rtl/>
              </w:rPr>
              <w:t>(1)</w:t>
            </w:r>
            <w:r>
              <w:rPr>
                <w:rtl/>
              </w:rPr>
              <w:tab/>
              <w:t>לעניין יהודים – דיין כהגדרתו בחוק הדיינים, התשט"ו–1955‏</w:t>
            </w:r>
            <w:r w:rsidRPr="00DC44A6">
              <w:rPr>
                <w:rStyle w:val="ab"/>
                <w:rFonts w:cs="David"/>
                <w:szCs w:val="20"/>
                <w:rtl/>
              </w:rPr>
              <w:footnoteReference w:id="3"/>
            </w:r>
            <w:r>
              <w:rPr>
                <w:rtl/>
              </w:rPr>
              <w:t xml:space="preserve">, המכהן בבית הדין הרבני הגדול; </w:t>
            </w:r>
          </w:p>
        </w:tc>
      </w:tr>
      <w:tr w:rsidR="00E03BC5" w:rsidTr="00E03BC5">
        <w:tblPrEx>
          <w:tblLook w:val="01E0" w:firstRow="1" w:lastRow="1" w:firstColumn="1" w:lastColumn="1" w:noHBand="0" w:noVBand="0"/>
        </w:tblPrEx>
        <w:trPr>
          <w:cantSplit/>
          <w:trHeight w:val="60"/>
          <w:jc w:val="center"/>
        </w:trPr>
        <w:tc>
          <w:tcPr>
            <w:tcW w:w="1869" w:type="dxa"/>
          </w:tcPr>
          <w:p w:rsidR="00E03BC5" w:rsidRDefault="00E03BC5" w:rsidP="00E03BC5">
            <w:pPr>
              <w:pStyle w:val="TableSideHeading"/>
              <w:spacing w:before="0"/>
            </w:pPr>
          </w:p>
        </w:tc>
        <w:tc>
          <w:tcPr>
            <w:tcW w:w="624" w:type="dxa"/>
          </w:tcPr>
          <w:p w:rsidR="00E03BC5" w:rsidRDefault="00E03BC5" w:rsidP="00E03BC5">
            <w:pPr>
              <w:pStyle w:val="TableText"/>
              <w:spacing w:before="0"/>
            </w:pPr>
          </w:p>
        </w:tc>
        <w:tc>
          <w:tcPr>
            <w:tcW w:w="624" w:type="dxa"/>
          </w:tcPr>
          <w:p w:rsidR="00E03BC5" w:rsidRDefault="00E03BC5" w:rsidP="00E03BC5">
            <w:pPr>
              <w:pStyle w:val="TableText"/>
              <w:spacing w:before="0"/>
            </w:pPr>
          </w:p>
        </w:tc>
        <w:tc>
          <w:tcPr>
            <w:tcW w:w="6521" w:type="dxa"/>
            <w:gridSpan w:val="4"/>
          </w:tcPr>
          <w:p w:rsidR="00E03BC5" w:rsidRDefault="00E03BC5" w:rsidP="00E03BC5">
            <w:pPr>
              <w:pStyle w:val="TableBlock"/>
              <w:spacing w:before="0"/>
            </w:pPr>
            <w:r>
              <w:rPr>
                <w:rtl/>
              </w:rPr>
              <w:t>(2)</w:t>
            </w:r>
            <w:r>
              <w:rPr>
                <w:rtl/>
              </w:rPr>
              <w:tab/>
              <w:t>לעניין דרוזים – קאדי-מד'הב כהגדרתו בחוק בתי הדין הדתיים הדרוזיים, התשכ"ג–1962‏</w:t>
            </w:r>
            <w:r w:rsidRPr="00DC44A6">
              <w:rPr>
                <w:rStyle w:val="ab"/>
                <w:rFonts w:cs="David"/>
                <w:szCs w:val="20"/>
                <w:rtl/>
              </w:rPr>
              <w:footnoteReference w:id="4"/>
            </w:r>
            <w:r>
              <w:rPr>
                <w:rtl/>
              </w:rPr>
              <w:t>, המכהן בבית הדין הדתי הדרוזי לערעורים;</w:t>
            </w:r>
          </w:p>
        </w:tc>
      </w:tr>
      <w:tr w:rsidR="00E03BC5" w:rsidTr="00E03BC5">
        <w:tblPrEx>
          <w:tblLook w:val="01E0" w:firstRow="1" w:lastRow="1" w:firstColumn="1" w:lastColumn="1" w:noHBand="0" w:noVBand="0"/>
        </w:tblPrEx>
        <w:trPr>
          <w:cantSplit/>
          <w:trHeight w:val="60"/>
          <w:jc w:val="center"/>
        </w:trPr>
        <w:tc>
          <w:tcPr>
            <w:tcW w:w="1869" w:type="dxa"/>
          </w:tcPr>
          <w:p w:rsidR="00E03BC5" w:rsidRDefault="00E03BC5" w:rsidP="00E03BC5">
            <w:pPr>
              <w:pStyle w:val="TableSideHeading"/>
              <w:spacing w:before="0"/>
            </w:pPr>
          </w:p>
        </w:tc>
        <w:tc>
          <w:tcPr>
            <w:tcW w:w="624" w:type="dxa"/>
          </w:tcPr>
          <w:p w:rsidR="00E03BC5" w:rsidRDefault="00E03BC5" w:rsidP="00E03BC5">
            <w:pPr>
              <w:pStyle w:val="TableText"/>
              <w:spacing w:before="0"/>
            </w:pPr>
          </w:p>
        </w:tc>
        <w:tc>
          <w:tcPr>
            <w:tcW w:w="624" w:type="dxa"/>
          </w:tcPr>
          <w:p w:rsidR="00E03BC5" w:rsidRDefault="00E03BC5" w:rsidP="00E03BC5">
            <w:pPr>
              <w:pStyle w:val="TableText"/>
              <w:spacing w:before="0"/>
            </w:pPr>
          </w:p>
        </w:tc>
        <w:tc>
          <w:tcPr>
            <w:tcW w:w="6521" w:type="dxa"/>
            <w:gridSpan w:val="4"/>
          </w:tcPr>
          <w:p w:rsidR="00E03BC5" w:rsidRDefault="00E03BC5" w:rsidP="00E03BC5">
            <w:pPr>
              <w:pStyle w:val="TableBlock"/>
              <w:spacing w:before="0"/>
            </w:pPr>
            <w:r>
              <w:rPr>
                <w:rtl/>
              </w:rPr>
              <w:t>(3)</w:t>
            </w:r>
            <w:r>
              <w:rPr>
                <w:rtl/>
              </w:rPr>
              <w:tab/>
              <w:t>לעניין מוסלמים – קאדי כהגדרתו בחוק הקאדים, התשכ"א–1961‏</w:t>
            </w:r>
            <w:r>
              <w:rPr>
                <w:rStyle w:val="ab"/>
                <w:szCs w:val="24"/>
                <w:rtl/>
              </w:rPr>
              <w:footnoteReference w:id="5"/>
            </w:r>
            <w:r>
              <w:rPr>
                <w:rtl/>
              </w:rPr>
              <w:t>, המכהן בבית הדין השרעי לערעורים;</w:t>
            </w:r>
          </w:p>
        </w:tc>
      </w:tr>
      <w:tr w:rsidR="00E03BC5" w:rsidTr="00E03BC5">
        <w:tblPrEx>
          <w:tblLook w:val="01E0" w:firstRow="1" w:lastRow="1" w:firstColumn="1" w:lastColumn="1" w:noHBand="0" w:noVBand="0"/>
        </w:tblPrEx>
        <w:trPr>
          <w:cantSplit/>
          <w:trHeight w:val="60"/>
          <w:jc w:val="center"/>
        </w:trPr>
        <w:tc>
          <w:tcPr>
            <w:tcW w:w="1869" w:type="dxa"/>
          </w:tcPr>
          <w:p w:rsidR="00E03BC5" w:rsidRDefault="00E03BC5" w:rsidP="00E03BC5">
            <w:pPr>
              <w:pStyle w:val="TableSideHeading"/>
              <w:spacing w:before="0"/>
            </w:pPr>
          </w:p>
        </w:tc>
        <w:tc>
          <w:tcPr>
            <w:tcW w:w="624" w:type="dxa"/>
          </w:tcPr>
          <w:p w:rsidR="00E03BC5" w:rsidRDefault="00E03BC5" w:rsidP="00E03BC5">
            <w:pPr>
              <w:pStyle w:val="TableText"/>
              <w:spacing w:before="0"/>
            </w:pPr>
          </w:p>
        </w:tc>
        <w:tc>
          <w:tcPr>
            <w:tcW w:w="624" w:type="dxa"/>
          </w:tcPr>
          <w:p w:rsidR="00E03BC5" w:rsidRDefault="00E03BC5" w:rsidP="00E03BC5">
            <w:pPr>
              <w:pStyle w:val="TableText"/>
              <w:spacing w:before="0"/>
            </w:pPr>
          </w:p>
        </w:tc>
        <w:tc>
          <w:tcPr>
            <w:tcW w:w="6521" w:type="dxa"/>
            <w:gridSpan w:val="4"/>
          </w:tcPr>
          <w:p w:rsidR="00E03BC5" w:rsidRDefault="00E03BC5" w:rsidP="00E03BC5">
            <w:pPr>
              <w:pStyle w:val="TableBlock"/>
              <w:spacing w:before="0"/>
            </w:pPr>
            <w:r>
              <w:rPr>
                <w:rtl/>
              </w:rPr>
              <w:t>(4)</w:t>
            </w:r>
            <w:r>
              <w:rPr>
                <w:rtl/>
              </w:rPr>
              <w:tab/>
              <w:t>לעניין בני עדה נוצרית – דיין של ערכאת הערעור בישראל של אותה עדה נוצרית;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"חוק מרשם האוכלוסין" – חוק מרשם האוכלוסין, התשכ"ה–1965‏</w:t>
            </w:r>
            <w:r w:rsidRPr="00DC44A6">
              <w:rPr>
                <w:rStyle w:val="ab"/>
                <w:rFonts w:cs="David"/>
                <w:szCs w:val="20"/>
                <w:rtl/>
              </w:rPr>
              <w:footnoteReference w:id="6"/>
            </w:r>
            <w:r>
              <w:rPr>
                <w:rtl/>
              </w:rPr>
              <w:t>;</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"חסר דת" – מי שאינו יהודי, מוסלמי, דרוזי או בן עדה נוצרית, ובית דין דתי לא קיבל החלטה אחרת בעניינו בהתאם להוראות סעיף 6;</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w:t>
            </w:r>
            <w:r w:rsidRPr="000F586D">
              <w:rPr>
                <w:rtl/>
              </w:rPr>
              <w:t>מרשם האוכלוסין" – מרשם האוכלוסין המתנהל לפי חוק מרשם האוכלוסין;</w:t>
            </w:r>
            <w:r>
              <w:rPr>
                <w:rtl/>
              </w:rPr>
              <w:t xml:space="preserve">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 xml:space="preserve">"מרשם הזוגיות" – מרשם של בני זוג שבאו בברית הזוגיות, הנערך לפי הוראות חוק זה;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"עדה נוצרית" – עדה דתית נוצרית כמשמעותה בסימן 54 לדבר המלך במועצה על ארץ ישראל, 1922 עד 1947‏</w:t>
            </w:r>
            <w:r w:rsidRPr="00DC44A6">
              <w:rPr>
                <w:rStyle w:val="ab"/>
                <w:rFonts w:cs="David"/>
                <w:szCs w:val="20"/>
                <w:rtl/>
              </w:rPr>
              <w:footnoteReference w:id="7"/>
            </w:r>
            <w:r>
              <w:rPr>
                <w:rtl/>
              </w:rPr>
              <w:t>;</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"ראש בית דין דתי" – כל אחד מאלה, לפי העניין:</w:t>
            </w:r>
          </w:p>
        </w:tc>
      </w:tr>
      <w:tr w:rsidR="00E03BC5" w:rsidTr="00E03BC5">
        <w:tblPrEx>
          <w:tblLook w:val="01E0" w:firstRow="1" w:lastRow="1" w:firstColumn="1" w:lastColumn="1" w:noHBand="0" w:noVBand="0"/>
        </w:tblPrEx>
        <w:trPr>
          <w:cantSplit/>
          <w:trHeight w:val="60"/>
          <w:jc w:val="center"/>
        </w:trPr>
        <w:tc>
          <w:tcPr>
            <w:tcW w:w="1869" w:type="dxa"/>
          </w:tcPr>
          <w:p w:rsidR="00E03BC5" w:rsidRDefault="00E03BC5" w:rsidP="00E03BC5">
            <w:pPr>
              <w:pStyle w:val="TableSideHeading"/>
              <w:spacing w:before="0"/>
            </w:pPr>
          </w:p>
        </w:tc>
        <w:tc>
          <w:tcPr>
            <w:tcW w:w="624" w:type="dxa"/>
          </w:tcPr>
          <w:p w:rsidR="00E03BC5" w:rsidRDefault="00E03BC5" w:rsidP="00E03BC5">
            <w:pPr>
              <w:pStyle w:val="TableText"/>
              <w:spacing w:before="0"/>
            </w:pPr>
          </w:p>
        </w:tc>
        <w:tc>
          <w:tcPr>
            <w:tcW w:w="624" w:type="dxa"/>
          </w:tcPr>
          <w:p w:rsidR="00E03BC5" w:rsidRDefault="00E03BC5" w:rsidP="00E03BC5">
            <w:pPr>
              <w:pStyle w:val="TableText"/>
              <w:spacing w:before="0"/>
            </w:pPr>
          </w:p>
        </w:tc>
        <w:tc>
          <w:tcPr>
            <w:tcW w:w="6521" w:type="dxa"/>
            <w:gridSpan w:val="4"/>
          </w:tcPr>
          <w:p w:rsidR="00E03BC5" w:rsidRDefault="00E03BC5" w:rsidP="00E03BC5">
            <w:pPr>
              <w:pStyle w:val="TableBlock"/>
              <w:spacing w:before="0"/>
            </w:pPr>
            <w:r>
              <w:rPr>
                <w:rtl/>
              </w:rPr>
              <w:t>(1)</w:t>
            </w:r>
            <w:r>
              <w:rPr>
                <w:rtl/>
              </w:rPr>
              <w:tab/>
              <w:t>לעניין יהודים – נשיא בית הדין הרבני הגדול;</w:t>
            </w:r>
          </w:p>
        </w:tc>
      </w:tr>
      <w:tr w:rsidR="00E03BC5" w:rsidTr="00E03BC5">
        <w:tblPrEx>
          <w:tblLook w:val="01E0" w:firstRow="1" w:lastRow="1" w:firstColumn="1" w:lastColumn="1" w:noHBand="0" w:noVBand="0"/>
        </w:tblPrEx>
        <w:trPr>
          <w:cantSplit/>
          <w:trHeight w:val="60"/>
          <w:jc w:val="center"/>
        </w:trPr>
        <w:tc>
          <w:tcPr>
            <w:tcW w:w="1869" w:type="dxa"/>
          </w:tcPr>
          <w:p w:rsidR="00E03BC5" w:rsidRDefault="00E03BC5" w:rsidP="00E03BC5">
            <w:pPr>
              <w:pStyle w:val="TableSideHeading"/>
              <w:spacing w:before="0"/>
            </w:pPr>
          </w:p>
        </w:tc>
        <w:tc>
          <w:tcPr>
            <w:tcW w:w="624" w:type="dxa"/>
          </w:tcPr>
          <w:p w:rsidR="00E03BC5" w:rsidRDefault="00E03BC5" w:rsidP="00E03BC5">
            <w:pPr>
              <w:pStyle w:val="TableText"/>
              <w:spacing w:before="0"/>
            </w:pPr>
          </w:p>
        </w:tc>
        <w:tc>
          <w:tcPr>
            <w:tcW w:w="624" w:type="dxa"/>
          </w:tcPr>
          <w:p w:rsidR="00E03BC5" w:rsidRDefault="00E03BC5" w:rsidP="00E03BC5">
            <w:pPr>
              <w:pStyle w:val="TableText"/>
              <w:spacing w:before="0"/>
            </w:pPr>
          </w:p>
        </w:tc>
        <w:tc>
          <w:tcPr>
            <w:tcW w:w="6521" w:type="dxa"/>
            <w:gridSpan w:val="4"/>
          </w:tcPr>
          <w:p w:rsidR="00E03BC5" w:rsidRDefault="00E03BC5" w:rsidP="00E03BC5">
            <w:pPr>
              <w:pStyle w:val="TableBlock"/>
              <w:spacing w:before="0"/>
            </w:pPr>
            <w:r>
              <w:rPr>
                <w:rtl/>
              </w:rPr>
              <w:t>(2)</w:t>
            </w:r>
            <w:r>
              <w:rPr>
                <w:rtl/>
              </w:rPr>
              <w:tab/>
              <w:t>לעניין דרוזים – ראש בית הדין הדתי הדרוזי לערעורים;</w:t>
            </w:r>
          </w:p>
        </w:tc>
      </w:tr>
      <w:tr w:rsidR="00E03BC5" w:rsidTr="00E03BC5">
        <w:tblPrEx>
          <w:tblLook w:val="01E0" w:firstRow="1" w:lastRow="1" w:firstColumn="1" w:lastColumn="1" w:noHBand="0" w:noVBand="0"/>
        </w:tblPrEx>
        <w:trPr>
          <w:cantSplit/>
          <w:trHeight w:val="60"/>
          <w:jc w:val="center"/>
        </w:trPr>
        <w:tc>
          <w:tcPr>
            <w:tcW w:w="1869" w:type="dxa"/>
          </w:tcPr>
          <w:p w:rsidR="00E03BC5" w:rsidRDefault="00E03BC5" w:rsidP="00E03BC5">
            <w:pPr>
              <w:pStyle w:val="TableSideHeading"/>
              <w:spacing w:before="0"/>
            </w:pPr>
          </w:p>
        </w:tc>
        <w:tc>
          <w:tcPr>
            <w:tcW w:w="624" w:type="dxa"/>
          </w:tcPr>
          <w:p w:rsidR="00E03BC5" w:rsidRDefault="00E03BC5" w:rsidP="00E03BC5">
            <w:pPr>
              <w:pStyle w:val="TableText"/>
              <w:spacing w:before="0"/>
            </w:pPr>
          </w:p>
        </w:tc>
        <w:tc>
          <w:tcPr>
            <w:tcW w:w="624" w:type="dxa"/>
          </w:tcPr>
          <w:p w:rsidR="00E03BC5" w:rsidRDefault="00E03BC5" w:rsidP="00E03BC5">
            <w:pPr>
              <w:pStyle w:val="TableText"/>
              <w:spacing w:before="0"/>
            </w:pPr>
          </w:p>
        </w:tc>
        <w:tc>
          <w:tcPr>
            <w:tcW w:w="6521" w:type="dxa"/>
            <w:gridSpan w:val="4"/>
          </w:tcPr>
          <w:p w:rsidR="00E03BC5" w:rsidRDefault="00E03BC5" w:rsidP="00E03BC5">
            <w:pPr>
              <w:pStyle w:val="TableBlock"/>
              <w:spacing w:before="0"/>
            </w:pPr>
            <w:r>
              <w:rPr>
                <w:rtl/>
              </w:rPr>
              <w:t>(3)</w:t>
            </w:r>
            <w:r>
              <w:rPr>
                <w:rtl/>
              </w:rPr>
              <w:tab/>
              <w:t>לעניין מוסלמים - נשיא בית הדין השרעי לערעורים;</w:t>
            </w:r>
          </w:p>
        </w:tc>
      </w:tr>
      <w:tr w:rsidR="00E03BC5" w:rsidTr="00E03BC5">
        <w:tblPrEx>
          <w:tblLook w:val="01E0" w:firstRow="1" w:lastRow="1" w:firstColumn="1" w:lastColumn="1" w:noHBand="0" w:noVBand="0"/>
        </w:tblPrEx>
        <w:trPr>
          <w:cantSplit/>
          <w:trHeight w:val="60"/>
          <w:jc w:val="center"/>
        </w:trPr>
        <w:tc>
          <w:tcPr>
            <w:tcW w:w="1869" w:type="dxa"/>
          </w:tcPr>
          <w:p w:rsidR="00E03BC5" w:rsidRDefault="00E03BC5" w:rsidP="00E03BC5">
            <w:pPr>
              <w:pStyle w:val="TableSideHeading"/>
              <w:spacing w:before="0"/>
            </w:pPr>
          </w:p>
        </w:tc>
        <w:tc>
          <w:tcPr>
            <w:tcW w:w="624" w:type="dxa"/>
          </w:tcPr>
          <w:p w:rsidR="00E03BC5" w:rsidRDefault="00E03BC5" w:rsidP="00E03BC5">
            <w:pPr>
              <w:pStyle w:val="TableText"/>
              <w:spacing w:before="0"/>
            </w:pPr>
          </w:p>
        </w:tc>
        <w:tc>
          <w:tcPr>
            <w:tcW w:w="624" w:type="dxa"/>
          </w:tcPr>
          <w:p w:rsidR="00E03BC5" w:rsidRDefault="00E03BC5" w:rsidP="00E03BC5">
            <w:pPr>
              <w:pStyle w:val="TableText"/>
              <w:spacing w:before="0"/>
            </w:pPr>
          </w:p>
        </w:tc>
        <w:tc>
          <w:tcPr>
            <w:tcW w:w="6521" w:type="dxa"/>
            <w:gridSpan w:val="4"/>
          </w:tcPr>
          <w:p w:rsidR="00E03BC5" w:rsidRDefault="00E03BC5" w:rsidP="00E03BC5">
            <w:pPr>
              <w:pStyle w:val="TableBlock"/>
              <w:spacing w:before="0"/>
            </w:pPr>
            <w:r>
              <w:rPr>
                <w:rtl/>
              </w:rPr>
              <w:t>(4)</w:t>
            </w:r>
            <w:r>
              <w:rPr>
                <w:rtl/>
              </w:rPr>
              <w:tab/>
              <w:t>לעניין בני עדה נוצרית – ראש ערכאת הערעור בישראל של אותה עדה נוצרית;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"רושם נישואין" – הרשות הרושמת כהגדרתה בפקודת הנישואין והגירושין (רישום)‏</w:t>
            </w:r>
            <w:r w:rsidRPr="00DC44A6">
              <w:rPr>
                <w:rStyle w:val="ab"/>
                <w:rFonts w:cs="David"/>
                <w:szCs w:val="20"/>
                <w:rtl/>
              </w:rPr>
              <w:footnoteReference w:id="8"/>
            </w:r>
            <w:r>
              <w:rPr>
                <w:rtl/>
              </w:rPr>
              <w:t>;</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"רשם הזוגיות" – מי שמונה לפי הוראות סעיף 4;</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 xml:space="preserve">"תושב ישראל" – מי שהתגורר בישראל במשך תקופה של שלוש שנים מתוך חמש השנים שקדמו ליום הגשת הבקשה לרישום במרשם הזוגיות לפי סעיף 5, שהוא אחד מאלה: </w:t>
            </w:r>
          </w:p>
        </w:tc>
      </w:tr>
      <w:tr w:rsidR="00E03BC5" w:rsidTr="00E03BC5">
        <w:tblPrEx>
          <w:tblLook w:val="01E0" w:firstRow="1" w:lastRow="1" w:firstColumn="1" w:lastColumn="1" w:noHBand="0" w:noVBand="0"/>
        </w:tblPrEx>
        <w:trPr>
          <w:cantSplit/>
          <w:trHeight w:val="60"/>
          <w:jc w:val="center"/>
        </w:trPr>
        <w:tc>
          <w:tcPr>
            <w:tcW w:w="1869" w:type="dxa"/>
          </w:tcPr>
          <w:p w:rsidR="00E03BC5" w:rsidRDefault="00E03BC5" w:rsidP="00E03BC5">
            <w:pPr>
              <w:pStyle w:val="TableSideHeading"/>
              <w:spacing w:before="0"/>
            </w:pPr>
          </w:p>
        </w:tc>
        <w:tc>
          <w:tcPr>
            <w:tcW w:w="624" w:type="dxa"/>
          </w:tcPr>
          <w:p w:rsidR="00E03BC5" w:rsidRDefault="00E03BC5" w:rsidP="00E03BC5">
            <w:pPr>
              <w:pStyle w:val="TableText"/>
              <w:spacing w:before="0"/>
            </w:pPr>
          </w:p>
        </w:tc>
        <w:tc>
          <w:tcPr>
            <w:tcW w:w="624" w:type="dxa"/>
          </w:tcPr>
          <w:p w:rsidR="00E03BC5" w:rsidRDefault="00E03BC5" w:rsidP="00E03BC5">
            <w:pPr>
              <w:pStyle w:val="TableText"/>
              <w:spacing w:before="0"/>
            </w:pPr>
          </w:p>
        </w:tc>
        <w:tc>
          <w:tcPr>
            <w:tcW w:w="6521" w:type="dxa"/>
            <w:gridSpan w:val="4"/>
          </w:tcPr>
          <w:p w:rsidR="00E03BC5" w:rsidRDefault="00E03BC5" w:rsidP="00E03BC5">
            <w:pPr>
              <w:pStyle w:val="TableBlock"/>
              <w:spacing w:before="0"/>
            </w:pPr>
            <w:r>
              <w:rPr>
                <w:rtl/>
              </w:rPr>
              <w:t>(1)</w:t>
            </w:r>
            <w:r>
              <w:rPr>
                <w:rtl/>
              </w:rPr>
              <w:tab/>
              <w:t>אזרח ישראלי;</w:t>
            </w:r>
          </w:p>
        </w:tc>
      </w:tr>
      <w:tr w:rsidR="00E03BC5" w:rsidTr="00E03BC5">
        <w:tblPrEx>
          <w:tblLook w:val="01E0" w:firstRow="1" w:lastRow="1" w:firstColumn="1" w:lastColumn="1" w:noHBand="0" w:noVBand="0"/>
        </w:tblPrEx>
        <w:trPr>
          <w:cantSplit/>
          <w:trHeight w:val="60"/>
          <w:jc w:val="center"/>
        </w:trPr>
        <w:tc>
          <w:tcPr>
            <w:tcW w:w="1869" w:type="dxa"/>
          </w:tcPr>
          <w:p w:rsidR="00E03BC5" w:rsidRDefault="00E03BC5" w:rsidP="00E03BC5">
            <w:pPr>
              <w:pStyle w:val="TableSideHeading"/>
              <w:spacing w:before="0"/>
            </w:pPr>
          </w:p>
        </w:tc>
        <w:tc>
          <w:tcPr>
            <w:tcW w:w="624" w:type="dxa"/>
          </w:tcPr>
          <w:p w:rsidR="00E03BC5" w:rsidRDefault="00E03BC5" w:rsidP="00E03BC5">
            <w:pPr>
              <w:pStyle w:val="TableText"/>
              <w:spacing w:before="0"/>
            </w:pPr>
          </w:p>
        </w:tc>
        <w:tc>
          <w:tcPr>
            <w:tcW w:w="624" w:type="dxa"/>
          </w:tcPr>
          <w:p w:rsidR="00E03BC5" w:rsidRDefault="00E03BC5" w:rsidP="00E03BC5">
            <w:pPr>
              <w:pStyle w:val="TableText"/>
              <w:spacing w:before="0"/>
            </w:pPr>
          </w:p>
        </w:tc>
        <w:tc>
          <w:tcPr>
            <w:tcW w:w="6521" w:type="dxa"/>
            <w:gridSpan w:val="4"/>
          </w:tcPr>
          <w:p w:rsidR="00E03BC5" w:rsidRDefault="00E03BC5" w:rsidP="00E03BC5">
            <w:pPr>
              <w:pStyle w:val="TableBlock"/>
              <w:spacing w:before="0"/>
            </w:pPr>
            <w:r>
              <w:rPr>
                <w:rtl/>
              </w:rPr>
              <w:t>(2)</w:t>
            </w:r>
            <w:r>
              <w:rPr>
                <w:rtl/>
              </w:rPr>
              <w:tab/>
              <w:t>מי שניתנה לו אשרת עולה או תעודת עולה לפי חוק השבות, התש"י–1950‏</w:t>
            </w:r>
            <w:r w:rsidRPr="00DC44A6">
              <w:rPr>
                <w:rStyle w:val="ab"/>
                <w:rFonts w:cs="David"/>
                <w:spacing w:val="-4"/>
                <w:szCs w:val="20"/>
                <w:rtl/>
              </w:rPr>
              <w:footnoteReference w:id="9"/>
            </w:r>
            <w:r>
              <w:rPr>
                <w:rtl/>
              </w:rPr>
              <w:t>;</w:t>
            </w:r>
          </w:p>
        </w:tc>
      </w:tr>
      <w:tr w:rsidR="00E03BC5" w:rsidTr="00E03BC5">
        <w:tblPrEx>
          <w:tblLook w:val="01E0" w:firstRow="1" w:lastRow="1" w:firstColumn="1" w:lastColumn="1" w:noHBand="0" w:noVBand="0"/>
        </w:tblPrEx>
        <w:trPr>
          <w:cantSplit/>
          <w:trHeight w:val="60"/>
          <w:jc w:val="center"/>
        </w:trPr>
        <w:tc>
          <w:tcPr>
            <w:tcW w:w="1869" w:type="dxa"/>
          </w:tcPr>
          <w:p w:rsidR="00E03BC5" w:rsidRDefault="00E03BC5" w:rsidP="00E03BC5">
            <w:pPr>
              <w:pStyle w:val="TableSideHeading"/>
              <w:spacing w:before="0"/>
            </w:pPr>
          </w:p>
        </w:tc>
        <w:tc>
          <w:tcPr>
            <w:tcW w:w="624" w:type="dxa"/>
          </w:tcPr>
          <w:p w:rsidR="00E03BC5" w:rsidRDefault="00E03BC5" w:rsidP="00E03BC5">
            <w:pPr>
              <w:pStyle w:val="TableText"/>
              <w:spacing w:before="0"/>
            </w:pPr>
          </w:p>
        </w:tc>
        <w:tc>
          <w:tcPr>
            <w:tcW w:w="624" w:type="dxa"/>
          </w:tcPr>
          <w:p w:rsidR="00E03BC5" w:rsidRDefault="00E03BC5" w:rsidP="00E03BC5">
            <w:pPr>
              <w:pStyle w:val="TableText"/>
              <w:spacing w:before="0"/>
            </w:pPr>
          </w:p>
        </w:tc>
        <w:tc>
          <w:tcPr>
            <w:tcW w:w="6521" w:type="dxa"/>
            <w:gridSpan w:val="4"/>
          </w:tcPr>
          <w:p w:rsidR="00E03BC5" w:rsidRDefault="00E03BC5" w:rsidP="00E03BC5">
            <w:pPr>
              <w:pStyle w:val="TableBlock"/>
              <w:spacing w:before="0"/>
            </w:pPr>
            <w:r>
              <w:rPr>
                <w:rtl/>
              </w:rPr>
              <w:t>(3)</w:t>
            </w:r>
            <w:r>
              <w:rPr>
                <w:rtl/>
              </w:rPr>
              <w:tab/>
              <w:t>מי שניתן לו רישיון לישיבת קבע לפי חוק הכניסה לישראל, התשי"ב–1952‏</w:t>
            </w:r>
            <w:r w:rsidRPr="00DC44A6">
              <w:rPr>
                <w:rStyle w:val="ab"/>
                <w:rFonts w:cs="David"/>
                <w:spacing w:val="-2"/>
                <w:szCs w:val="20"/>
                <w:rtl/>
              </w:rPr>
              <w:footnoteReference w:id="10"/>
            </w:r>
            <w:r>
              <w:rPr>
                <w:rtl/>
              </w:rPr>
              <w:t>;</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"השר" – שר המשפטים.</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jc w:val="left"/>
            </w:pPr>
            <w:r>
              <w:rPr>
                <w:rtl/>
              </w:rPr>
              <w:t>הזכאים לערוך ברית זוגיות ולהירשם במרשם הזוגיות</w:t>
            </w:r>
          </w:p>
        </w:tc>
        <w:tc>
          <w:tcPr>
            <w:tcW w:w="624" w:type="dxa"/>
            <w:tcMar>
              <w:top w:w="91" w:type="dxa"/>
              <w:left w:w="0" w:type="dxa"/>
              <w:bottom w:w="91" w:type="dxa"/>
              <w:right w:w="0" w:type="dxa"/>
            </w:tcMar>
          </w:tcPr>
          <w:p w:rsidR="00E03BC5" w:rsidRDefault="00E03BC5" w:rsidP="00E03BC5">
            <w:pPr>
              <w:pStyle w:val="TableText"/>
              <w:spacing w:before="0"/>
            </w:pPr>
            <w:r>
              <w:rPr>
                <w:sz w:val="24"/>
                <w:rtl/>
              </w:rPr>
              <w:t>2</w:t>
            </w:r>
            <w:r>
              <w:rPr>
                <w:rtl/>
              </w:rPr>
              <w:t>.</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בני זוג חסרי דת, המסכימים לבוא בברית הזוגיות, רשאים לערוך ברית זוגיות בפני רשם הזוגיות ולהירשם במרשם הזוגיות, בהתקיים התנאים המפורטים להלן, ובכפוף להוראות סעיפים 5 עד 8:</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(1)</w:t>
            </w:r>
            <w:r>
              <w:rPr>
                <w:rtl/>
              </w:rPr>
              <w:tab/>
              <w:t>הם בני 18 שנים לפחות;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(2)</w:t>
            </w:r>
            <w:r>
              <w:rPr>
                <w:rtl/>
              </w:rPr>
              <w:tab/>
              <w:t>הם תושבי ישראל;</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(3)</w:t>
            </w:r>
            <w:r>
              <w:rPr>
                <w:rtl/>
              </w:rPr>
              <w:tab/>
              <w:t>הם רשומים במרשם האוכלוסין כחסרי דת;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(4)</w:t>
            </w:r>
            <w:r>
              <w:rPr>
                <w:rtl/>
              </w:rPr>
              <w:tab/>
              <w:t xml:space="preserve">הם אינם קרובי משפחה; לעניין זה –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Outdent"/>
              <w:spacing w:before="0"/>
            </w:pPr>
            <w:r>
              <w:rPr>
                <w:rtl/>
              </w:rPr>
              <w:t>"קרוב משפחה" – הורה, הורה של הורה, צאצא, בן זוג או מי שהיה בן זוג של כל אחד מהם, וכן אח או אחות ובני זוגם;</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Outdent"/>
              <w:spacing w:before="0"/>
            </w:pPr>
            <w:r>
              <w:rPr>
                <w:rtl/>
              </w:rPr>
              <w:t>"בן זוג</w:t>
            </w:r>
            <w:r w:rsidRPr="000F586D">
              <w:rPr>
                <w:rtl/>
              </w:rPr>
              <w:t>", של אדם – מי</w:t>
            </w:r>
            <w:r>
              <w:rPr>
                <w:rtl/>
              </w:rPr>
              <w:t xml:space="preserve"> שנשוי לאותו אדם וכן מי שרשום כבן זוגו של אותו אדם במרשם הזוגיות;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(5)</w:t>
            </w:r>
            <w:r>
              <w:rPr>
                <w:rtl/>
              </w:rPr>
              <w:tab/>
              <w:t>הם אינם נשואים זה לזו ואינם רשומים במרשם האוכלוסין כנשואים זה לזו;</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(6)</w:t>
            </w:r>
            <w:r>
              <w:rPr>
                <w:rtl/>
              </w:rPr>
              <w:tab/>
              <w:t>אף אחד מהם אינו נשוי לאחר, אינו רשום במרשם האוכלוסין כנשוי לאחר ואינו רשום כבן זוגו של אחר במרשם הזוגיות או במרשם דומה המתנהל על פי דין במדינה אחרת;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(7)</w:t>
            </w:r>
            <w:r>
              <w:rPr>
                <w:rtl/>
              </w:rPr>
              <w:tab/>
              <w:t>היה אחד מהם פסול דין או מי שמונה לו אפוטרופוס – בית המשפט אישר שהוא מסוגל לתת הסכמה מדעת לבוא בברית הזוגיות.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jc w:val="left"/>
            </w:pPr>
            <w:r>
              <w:rPr>
                <w:rtl/>
              </w:rPr>
              <w:t xml:space="preserve">סמכות ייחודית של בית המשפט </w:t>
            </w:r>
          </w:p>
        </w:tc>
        <w:tc>
          <w:tcPr>
            <w:tcW w:w="624" w:type="dxa"/>
            <w:tcMar>
              <w:top w:w="91" w:type="dxa"/>
              <w:left w:w="0" w:type="dxa"/>
              <w:bottom w:w="91" w:type="dxa"/>
              <w:right w:w="0" w:type="dxa"/>
            </w:tcMar>
          </w:tcPr>
          <w:p w:rsidR="00E03BC5" w:rsidRDefault="00E03BC5" w:rsidP="00E03BC5">
            <w:pPr>
              <w:pStyle w:val="TableText"/>
              <w:spacing w:before="0"/>
            </w:pPr>
            <w:r>
              <w:rPr>
                <w:sz w:val="24"/>
                <w:rtl/>
              </w:rPr>
              <w:t>3</w:t>
            </w:r>
            <w:r>
              <w:rPr>
                <w:rtl/>
              </w:rPr>
              <w:t>.</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לבית המשפט סמכות ייחודית לדון בעניינים שבחוק זה, למעט קביעת היותו של אדם חסר דת לעניין חוק זה.</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r>
              <w:rPr>
                <w:rtl/>
              </w:rPr>
              <w:t>רשם זוגיות</w:t>
            </w:r>
          </w:p>
        </w:tc>
        <w:tc>
          <w:tcPr>
            <w:tcW w:w="624" w:type="dxa"/>
            <w:tcMar>
              <w:top w:w="91" w:type="dxa"/>
              <w:left w:w="0" w:type="dxa"/>
              <w:bottom w:w="91" w:type="dxa"/>
              <w:right w:w="0" w:type="dxa"/>
            </w:tcMar>
          </w:tcPr>
          <w:p w:rsidR="00E03BC5" w:rsidRDefault="00E03BC5" w:rsidP="00E03BC5">
            <w:pPr>
              <w:pStyle w:val="TableText"/>
              <w:spacing w:before="0"/>
            </w:pPr>
            <w:r>
              <w:rPr>
                <w:sz w:val="24"/>
                <w:rtl/>
              </w:rPr>
              <w:t>4</w:t>
            </w:r>
            <w:r>
              <w:rPr>
                <w:rtl/>
              </w:rPr>
              <w:t>.</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(א)</w:t>
            </w:r>
            <w:r>
              <w:rPr>
                <w:rtl/>
              </w:rPr>
              <w:tab/>
              <w:t>השר ימנה אדם הכשיר להתמנות לשופט בבית המשפט, לרשם זוגיות, ורשאי הוא למנות כמה רשמי זוגיות אם מצא לנכון לעשות כן; מינה השר כמה רשמי זוגיות, ימנה אחד מהם לרשם זוגיות ראשי.</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(ב)</w:t>
            </w:r>
            <w:r>
              <w:rPr>
                <w:rtl/>
              </w:rPr>
              <w:tab/>
              <w:t>רשם הזוגיות ינהל את מרשם הזוגיות; מינה השר כמה רשמי זוגיות, יפקח רשם הזוגיות הראשי על פעולתם של רשמי הזוגיות ויהיה אחראי על ניהולו התקין של המרשם.</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(ג)</w:t>
            </w:r>
            <w:r>
              <w:rPr>
                <w:rtl/>
              </w:rPr>
              <w:tab/>
              <w:t>לצורך מילוי תפקידו יהיו לרשם הזוגיות סמכויות חקירה לפי סעיפים 9 עד 11 לחוק ועדות חקירה, התשכ"ט–1968‏</w:t>
            </w:r>
            <w:r w:rsidRPr="00DC44A6">
              <w:rPr>
                <w:rStyle w:val="ab"/>
                <w:rFonts w:cs="David"/>
                <w:szCs w:val="20"/>
                <w:rtl/>
              </w:rPr>
              <w:footnoteReference w:id="11"/>
            </w:r>
            <w:r>
              <w:rPr>
                <w:rtl/>
              </w:rPr>
              <w:t>.</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jc w:val="left"/>
            </w:pPr>
            <w:r>
              <w:rPr>
                <w:rtl/>
              </w:rPr>
              <w:t>בקשה לעריכת</w:t>
            </w:r>
            <w:r>
              <w:rPr>
                <w:rtl/>
              </w:rPr>
              <w:br/>
              <w:t>ברית זוגיות ולרישום במרשם הזוגיות</w:t>
            </w:r>
          </w:p>
        </w:tc>
        <w:tc>
          <w:tcPr>
            <w:tcW w:w="624" w:type="dxa"/>
            <w:tcMar>
              <w:top w:w="91" w:type="dxa"/>
              <w:left w:w="0" w:type="dxa"/>
              <w:bottom w:w="91" w:type="dxa"/>
              <w:right w:w="0" w:type="dxa"/>
            </w:tcMar>
          </w:tcPr>
          <w:p w:rsidR="00E03BC5" w:rsidRDefault="00E03BC5" w:rsidP="00E03BC5">
            <w:pPr>
              <w:pStyle w:val="TableText"/>
              <w:spacing w:before="0"/>
            </w:pPr>
            <w:r>
              <w:rPr>
                <w:sz w:val="24"/>
                <w:rtl/>
              </w:rPr>
              <w:t>5</w:t>
            </w:r>
            <w:r>
              <w:rPr>
                <w:rtl/>
              </w:rPr>
              <w:t>.</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(א)</w:t>
            </w:r>
            <w:r>
              <w:rPr>
                <w:rtl/>
              </w:rPr>
              <w:tab/>
              <w:t>בני זוג המבקשים לערוך ברית זוגיות בפני רשם הזוגיות ולהירשם במרשם הזוגיות, יגישו לרשם הזוגיות בקשה לכך (להלן – הבקשה לרישום); בקשה כאמור תוגש בטופס שקבע השר, בצירוף תצהיר של בני הזוג כי מתקיימים בהם התנאים שבסעיף 2 ובצירוף מסמכים אחרים שקבע השר.</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(ב)</w:t>
            </w:r>
            <w:r>
              <w:rPr>
                <w:rtl/>
              </w:rPr>
              <w:tab/>
              <w:t xml:space="preserve">הוגשה בקשה לרישום לפי הוראות סעיף קטן (א) ומצא רשם הזוגיות כי מתקיימים בבני הזוג התנאים שבסעיף 2, לאחר שבדק את פרטי הרישום של בני הזוג במרשם האוכלוסין, לרבות פרטי הרישום לעניין הדת והמצב האישי, יפרסם הודעה לציבור על הגשת הבקשה לרישום ויעביר העתק מן הבקשה לכל ראש בית דין דתי או למי שראש בית הדין הדתי הסמיך לכך לפי הוראות סעיף 6(ה); מצא רשם הזוגיות כי לא מתקיים אחד מהתנאים שבסעיף 2, ידחה את הבקשה לרישום וימסור הודעה על כך לבני הזוג.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(ג)</w:t>
            </w:r>
            <w:r>
              <w:rPr>
                <w:rtl/>
              </w:rPr>
              <w:tab/>
              <w:t xml:space="preserve">ראש בית דין דתי רשאי להודיע לרשם הזוגיות, בהודעה כללית, כי אין צורך להעביר אליו את העתקי הבקשות לרישום, לפי הוראות סעיף קטן (ב), לשם רישום במרשם הזוגיות.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(ד)</w:t>
            </w:r>
            <w:r>
              <w:rPr>
                <w:rtl/>
              </w:rPr>
              <w:tab/>
              <w:t>השר יקבע הוראות לעניין אופן פרסום ההודעה על הגשת בקשה לרישום לפי סעיף קטן (ב) והפרטים שייכללו בה.</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jc w:val="left"/>
            </w:pPr>
            <w:r>
              <w:rPr>
                <w:rtl/>
              </w:rPr>
              <w:t>התנגדות בית דין דתי לרישום במרשם הזוגיות</w:t>
            </w:r>
          </w:p>
        </w:tc>
        <w:tc>
          <w:tcPr>
            <w:tcW w:w="624" w:type="dxa"/>
            <w:tcMar>
              <w:top w:w="91" w:type="dxa"/>
              <w:left w:w="0" w:type="dxa"/>
              <w:bottom w:w="91" w:type="dxa"/>
              <w:right w:w="0" w:type="dxa"/>
            </w:tcMar>
          </w:tcPr>
          <w:p w:rsidR="00E03BC5" w:rsidRDefault="00E03BC5" w:rsidP="00E03BC5">
            <w:pPr>
              <w:pStyle w:val="TableText"/>
              <w:spacing w:before="0"/>
            </w:pPr>
            <w:r>
              <w:rPr>
                <w:sz w:val="24"/>
                <w:rtl/>
              </w:rPr>
              <w:t>6</w:t>
            </w:r>
            <w:r>
              <w:rPr>
                <w:rtl/>
              </w:rPr>
              <w:t>.</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(א)</w:t>
            </w:r>
            <w:r>
              <w:rPr>
                <w:rtl/>
              </w:rPr>
              <w:tab/>
              <w:t>סבר ראש בית דין דתי כי אחד מבני הזוג שהגיש בקשה לרישום הוא בן העדה הדתית שענייני הנישואין שלה בסמכות השיפוט של בית הדין הדתי, או התעורר אצלו ספק ביחס להשתייכותו של אחד מבני הזוג לעדה הדתית האמורה, יעביר את העניין להכרעתו של בית הדין הדתי ויודיע על כך לרשם הזוגיות בתוך 60 ימים מיום קבלת העתק הבקשה; הודיע ראש בית דין דתי כאמור, ישהה רשם הזוגיות את החלטתו בבקשה לרישום עד להחלטת בית הדין הדתי בעניין לפי הוראות סעיף זה.</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(ב)</w:t>
            </w:r>
            <w:r>
              <w:rPr>
                <w:rtl/>
              </w:rPr>
              <w:tab/>
              <w:t xml:space="preserve">בית דין דתי שבקשה הועברה להכרעתו לפי הוראות סעיף קטן (א) רשאי להחליט על אחד מאלה, לאחר שנתן לבן הזוג שעניינו נדון לפניו הזדמנות לטעון את טענותיו: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(1)</w:t>
            </w:r>
            <w:r>
              <w:rPr>
                <w:rtl/>
              </w:rPr>
              <w:tab/>
              <w:t>העדר התנגדות לרישום במרשם הזוגיות;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(2)</w:t>
            </w:r>
            <w:r>
              <w:rPr>
                <w:rtl/>
              </w:rPr>
              <w:tab/>
              <w:t>התנגדות לרישום במרשם הזוגיות בשל כך שבן הזוג הוא בן העדה הדתית שענייני הנישואין שלה בסמכות השיפוט של בית הדין הדתי או בשל קיומו של ספק ביחס להשתייכותו של בן הזוג לעדה הדתית האמורה.</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(ג)</w:t>
            </w:r>
            <w:r>
              <w:rPr>
                <w:rtl/>
              </w:rPr>
              <w:tab/>
              <w:t>ראש בית הדין הדתי יודיע לרשם הזוגיות על החלטת בית הדין הדתי כאמור בסעיף קטן (ב), מיד עם קבלתה; לא הודיע כאמור בתוך שלושה חודשים מהיום שבו התקבל העתק הבקשה לרישום לפי הוראות סעיף 5, יראו את בית הדין כאילו קיבל החלטה על העדר התנגדות כאמור בסעיף קטן (ב)(1).</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(ד)</w:t>
            </w:r>
            <w:r>
              <w:rPr>
                <w:rtl/>
              </w:rPr>
              <w:tab/>
              <w:t>קיבל רשם הזוגיות הודעה על החלטת בית דין דתי כאמור בסעיף קטן (ב)(1), ימשיך בהליכי הרישום במרשם הזוגיות לפי הוראות סעיף 8; קיבל רשם הזוגיות הודעה על החלטת בית דין דתי כאמור בסעיף קטן (ב)(2), ידחה את הבקשה לרישום ויודיע על כך לבני הזוג.</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(ה)</w:t>
            </w:r>
            <w:r>
              <w:rPr>
                <w:rtl/>
              </w:rPr>
              <w:tab/>
              <w:t>ראש בית דין דתי רשאי להסמיך דיין מבית הדין הדתי שהוא עומד בראשו או רושם נישואין של העדה הדתית שענייני הנישואין שלה בסמכות השיפוט של בית הדין האמור, לשם ביצוע סמכויותיו לפי סעיף זה; הסמיך ראש בית דין דתי דיין או רושם נישואין כאמור יודיע על כך לרשם הזוגיות.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jc w:val="left"/>
            </w:pPr>
            <w:r>
              <w:rPr>
                <w:rtl/>
              </w:rPr>
              <w:t>התנגדות הציבור לרישום במרשם הזוגיות</w:t>
            </w:r>
          </w:p>
        </w:tc>
        <w:tc>
          <w:tcPr>
            <w:tcW w:w="624" w:type="dxa"/>
            <w:tcMar>
              <w:top w:w="91" w:type="dxa"/>
              <w:left w:w="0" w:type="dxa"/>
              <w:bottom w:w="91" w:type="dxa"/>
              <w:right w:w="0" w:type="dxa"/>
            </w:tcMar>
          </w:tcPr>
          <w:p w:rsidR="00E03BC5" w:rsidRDefault="00E03BC5" w:rsidP="00E03BC5">
            <w:pPr>
              <w:pStyle w:val="TableText"/>
              <w:spacing w:before="0"/>
            </w:pPr>
            <w:r>
              <w:rPr>
                <w:sz w:val="24"/>
                <w:rtl/>
              </w:rPr>
              <w:t>7</w:t>
            </w:r>
            <w:r>
              <w:rPr>
                <w:rtl/>
              </w:rPr>
              <w:t>.</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(א)</w:t>
            </w:r>
            <w:r>
              <w:rPr>
                <w:rtl/>
              </w:rPr>
              <w:tab/>
              <w:t xml:space="preserve">כל אדם רשאי להגיש לרשם הזוגיות, בתוך 30 ימים מהיום שבו פורסמה הודעה לציבור לפי סעיף 5(ב), התנגדות לבקשה לרישום בשל כך שלא התקיים תנאי מהתנאים האמורים בסעיף 2; הוגשה לרשם הזוגיות התנגדות כאמור, ימציא הרשם העתק ממנה לבני הזוג, ורשאים בני הזוג להשיב להתנגדות, בתוך תקופה שקבע השר.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(ב)</w:t>
            </w:r>
            <w:r>
              <w:rPr>
                <w:rtl/>
              </w:rPr>
              <w:tab/>
              <w:t>הוגשה התנגדות לפי הוראות סעיף קטן (א), יבחן רשם הזוגיות את ההתנגדות ויחליט אם לדחותה או לקבלה; החליט רשם הזוגיות לדחות את ההתנגדות ימשיך בהליכי הרישום במרשם הזוגיות לפי הוראות סעיף 8; קיבל רשם הזוגיות את ההתנגדות ידחה את הבקשה לרישום ויודיע על כך לבני הזוג.</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(ג)</w:t>
            </w:r>
            <w:r>
              <w:rPr>
                <w:rtl/>
              </w:rPr>
              <w:tab/>
              <w:t>על אף הוראות סעיף קטן (ב), הוגשה התנגדות לבקשה לרישום לפי הוראות סעיף קטן (א) שבה נטען כי אחד מבני הזוג הוא יהודי, מוסלמי, דרוזי או בן עדה נוצרית, יעביר רשם הזוגיות העתק מההתנגדות לראש בית הדין הדתי הנוגע בדבר או למי שראש בית הדין הדתי הסמיך לכך לפי הוראות סעיף 6(ה); הועבר העתק מההתנגדות כאמור, יחולו לעניין זה הוראות סעיף 6, בשינויים המחויבים ובשינוי זה: מניינן של התקופות המנויות בסעיפים קטנים (א) ו-(ג) של הסעיף האמור יחל במועד שבו התקבל העתק ההתנגדות.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jc w:val="left"/>
            </w:pPr>
            <w:r>
              <w:rPr>
                <w:rtl/>
              </w:rPr>
              <w:t>עריכת ברית הזוגיות ורישום במרשם הזוגיות</w:t>
            </w:r>
          </w:p>
        </w:tc>
        <w:tc>
          <w:tcPr>
            <w:tcW w:w="624" w:type="dxa"/>
            <w:tcMar>
              <w:top w:w="91" w:type="dxa"/>
              <w:left w:w="0" w:type="dxa"/>
              <w:bottom w:w="91" w:type="dxa"/>
              <w:right w:w="0" w:type="dxa"/>
            </w:tcMar>
          </w:tcPr>
          <w:p w:rsidR="00E03BC5" w:rsidRDefault="00E03BC5" w:rsidP="00E03BC5">
            <w:pPr>
              <w:pStyle w:val="TableText"/>
              <w:spacing w:before="0"/>
            </w:pPr>
            <w:r>
              <w:rPr>
                <w:sz w:val="24"/>
                <w:rtl/>
              </w:rPr>
              <w:t>8</w:t>
            </w:r>
            <w:r>
              <w:rPr>
                <w:rtl/>
              </w:rPr>
              <w:t>.</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(א)</w:t>
            </w:r>
            <w:r>
              <w:rPr>
                <w:rtl/>
              </w:rPr>
              <w:tab/>
              <w:t>לא הוגשה או נדחתה התנגדות לפי סעיפים 6 או 7, יזמין רשם הזוגיות את בני הזוג להתייצב לפניו לבוא בברית הזוגיות.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(ב)</w:t>
            </w:r>
            <w:r>
              <w:rPr>
                <w:rtl/>
              </w:rPr>
              <w:tab/>
              <w:t>התייצבו בני הזוג לפני רשם הזוגיות, יסביר להם את משמעות ברית הזוגיות; בני הזוג יצהירו לפני רשם הזוגיות כי מתקיימים בהם התנאים האמורים בסעיף 2, וכי הם מסכימים לבוא בברית הזוגיות.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(ג)</w:t>
            </w:r>
            <w:r>
              <w:rPr>
                <w:rtl/>
              </w:rPr>
              <w:tab/>
              <w:t xml:space="preserve">נוכח רשם הזוגיות כי מתקיימים התנאים שבסעיף 2 וכי כל אחד מבני הזוג מסכים לבוא בברית הזוגיות בהסכמה חופשית ובהבינו את משמעותה ותוצאותיה, יחתמו בפניו בני הזוג על ברית הזוגיות ורשם הזוגיות יאמת את ההסכם בחתימתו.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(ד)</w:t>
            </w:r>
            <w:r>
              <w:rPr>
                <w:rtl/>
              </w:rPr>
              <w:tab/>
              <w:t>רשם הזוגיות ירשום במרשם הזוגיות את פרטי בני הזוג כפי שקבע השר; העתק מן הרישום יישלח לבני הזוג ולפקיד הרישום לפי סעיף 15 לחוק מרשם האוכלוסין.</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jc w:val="left"/>
            </w:pPr>
            <w:r>
              <w:rPr>
                <w:rtl/>
              </w:rPr>
              <w:t>עיון במרשם וקבלת ידיעות מהמרשם</w:t>
            </w:r>
          </w:p>
        </w:tc>
        <w:tc>
          <w:tcPr>
            <w:tcW w:w="624" w:type="dxa"/>
            <w:tcMar>
              <w:top w:w="91" w:type="dxa"/>
              <w:left w:w="0" w:type="dxa"/>
              <w:bottom w:w="91" w:type="dxa"/>
              <w:right w:w="0" w:type="dxa"/>
            </w:tcMar>
          </w:tcPr>
          <w:p w:rsidR="00E03BC5" w:rsidRDefault="00E03BC5" w:rsidP="00E03BC5">
            <w:pPr>
              <w:pStyle w:val="TableText"/>
              <w:spacing w:before="0"/>
            </w:pPr>
            <w:r>
              <w:rPr>
                <w:sz w:val="24"/>
                <w:rtl/>
              </w:rPr>
              <w:t>9</w:t>
            </w:r>
            <w:r>
              <w:rPr>
                <w:rtl/>
              </w:rPr>
              <w:t>.</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(א)</w:t>
            </w:r>
            <w:r>
              <w:rPr>
                <w:rtl/>
              </w:rPr>
              <w:tab/>
              <w:t>המרשם לא יהיה פתוח לעיון אלא למפורטים להלן ולצורך מילוי תפקידם:</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(1)</w:t>
            </w:r>
            <w:r>
              <w:rPr>
                <w:rtl/>
              </w:rPr>
              <w:tab/>
              <w:t>שר הפנים או מי שהשר הסמיכו לכך;</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(2)</w:t>
            </w:r>
            <w:r>
              <w:rPr>
                <w:rtl/>
              </w:rPr>
              <w:tab/>
              <w:t>מי שבית משפט או בית דין דתי הסמיכו לכך לעניין מסוים התלוי ועומד לפניהם;</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(3)</w:t>
            </w:r>
            <w:r>
              <w:rPr>
                <w:rtl/>
              </w:rPr>
              <w:tab/>
              <w:t>רושם נישואין או מי שהרושם הסמיכו לכך;</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(4)</w:t>
            </w:r>
            <w:r>
              <w:rPr>
                <w:rtl/>
              </w:rPr>
              <w:tab/>
              <w:t>בעל תפקיד אחר שקבע השר.</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(ב)</w:t>
            </w:r>
            <w:r>
              <w:rPr>
                <w:rtl/>
              </w:rPr>
              <w:tab/>
              <w:t>כל אדם רשאי לקבל ידיעה בנוגע לרישום לגביו במרשם הזוגיות וכן העתק או תמצית מן הרישום.</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jc w:val="left"/>
            </w:pPr>
            <w:r>
              <w:rPr>
                <w:rtl/>
              </w:rPr>
              <w:t>מחיקה ממרשם הזוגיות בידי הרשם</w:t>
            </w:r>
          </w:p>
        </w:tc>
        <w:tc>
          <w:tcPr>
            <w:tcW w:w="624" w:type="dxa"/>
            <w:tcMar>
              <w:top w:w="91" w:type="dxa"/>
              <w:left w:w="0" w:type="dxa"/>
              <w:bottom w:w="91" w:type="dxa"/>
              <w:right w:w="0" w:type="dxa"/>
            </w:tcMar>
          </w:tcPr>
          <w:p w:rsidR="00E03BC5" w:rsidRDefault="00E03BC5" w:rsidP="00E03BC5">
            <w:pPr>
              <w:pStyle w:val="TableText"/>
              <w:spacing w:before="0"/>
            </w:pPr>
            <w:r>
              <w:rPr>
                <w:rtl/>
              </w:rPr>
              <w:t>10.</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(א)</w:t>
            </w:r>
            <w:r>
              <w:rPr>
                <w:rtl/>
              </w:rPr>
              <w:tab/>
              <w:t>בני זוג שהסכימו להתיר את ברית הזוגיות ביניהם רשאים להגיש לרשם הזוגיות בקשה למחקם ממרשם הזוגיות, בטופס ובצירוף מסמכים שקבע השר; היה אחד מבני הזוג פסול דין או מי שמונה לו אפוטרופוס, תוגש הבקשה לבית משפט לפי הוראות סעיף 11(ג).</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(ב)</w:t>
            </w:r>
            <w:r>
              <w:rPr>
                <w:rtl/>
              </w:rPr>
              <w:tab/>
              <w:t>הוגשה בקשה לפי הוראות סעיף קטן (א), יתייצבו בני הזוג לפני הרשם ויצהירו בפניו כי הם מסכימים להתיר את ברית הזוגיות.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(ג)</w:t>
            </w:r>
            <w:r>
              <w:rPr>
                <w:rtl/>
              </w:rPr>
              <w:tab/>
              <w:t>נוכח רשם הזוגיות כי כל אחד מבני הזוג נתן את הצהרתו בהסכמה חופשית ובהבינו את משמעותה ותוצאותיה, יחתמו לפניו בני הזוג על הצהרתם והוא יאשר את הצהרתם בחתימתו וימחק את רישומם ממרשם הזוגיות.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(ד)</w:t>
            </w:r>
            <w:r>
              <w:rPr>
                <w:rtl/>
              </w:rPr>
              <w:tab/>
              <w:t xml:space="preserve">בלי לגרוע מהוראות סעיפים קטנים (א) עד (ג), ימחק רשם הזוגיות בני זוג ממרשם הזוגיות גם בהתקיים אחד מאלה: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(1)</w:t>
            </w:r>
            <w:r>
              <w:rPr>
                <w:rtl/>
              </w:rPr>
              <w:tab/>
              <w:t xml:space="preserve">אחד מבני הזוג נפטר;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(2)</w:t>
            </w:r>
            <w:r>
              <w:rPr>
                <w:rtl/>
              </w:rPr>
              <w:tab/>
              <w:t>בית משפט נתן פסק דין חלוט המתיר את ברית הזוגיות לפי הוראות סעיף 11; לעניין זה יראו את המועד שבו פסק הדין הפך לחלוט, כמועד המחיקה;</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(3)</w:t>
            </w:r>
            <w:r>
              <w:rPr>
                <w:rtl/>
              </w:rPr>
              <w:tab/>
              <w:t>התקבלה הודעה לפי סעיף 4א לפקודת הנישואין והגירושין (רישום), ולפיה בני הזוג נישאו זה לזו.</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(ה)</w:t>
            </w:r>
            <w:r>
              <w:rPr>
                <w:rtl/>
              </w:rPr>
              <w:tab/>
              <w:t>מחק רשם הזוגיות את בני הזוג ממרשם הזוגיות לפי הוראות סעיף זה, ישלח אישור על המחיקה לבני הזוג ולפקיד הרישום לפי סעיף 15 לחוק מרשם האוכלוסין.</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jc w:val="left"/>
            </w:pPr>
            <w:r>
              <w:rPr>
                <w:rtl/>
              </w:rPr>
              <w:t xml:space="preserve">התרת ברית הזוגיות בידי </w:t>
            </w:r>
            <w:r>
              <w:rPr>
                <w:rtl/>
              </w:rPr>
              <w:br/>
              <w:t>בית המשפט</w:t>
            </w:r>
            <w:r>
              <w:rPr>
                <w:rtl/>
              </w:rPr>
              <w:br/>
            </w:r>
          </w:p>
        </w:tc>
        <w:tc>
          <w:tcPr>
            <w:tcW w:w="624" w:type="dxa"/>
            <w:tcMar>
              <w:top w:w="91" w:type="dxa"/>
              <w:left w:w="0" w:type="dxa"/>
              <w:bottom w:w="91" w:type="dxa"/>
              <w:right w:w="0" w:type="dxa"/>
            </w:tcMar>
          </w:tcPr>
          <w:p w:rsidR="00E03BC5" w:rsidRDefault="00E03BC5" w:rsidP="00E03BC5">
            <w:pPr>
              <w:pStyle w:val="TableText"/>
              <w:spacing w:before="0"/>
            </w:pPr>
            <w:r>
              <w:rPr>
                <w:rtl/>
              </w:rPr>
              <w:t>11.</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(א)</w:t>
            </w:r>
            <w:r>
              <w:rPr>
                <w:rtl/>
              </w:rPr>
              <w:tab/>
              <w:t>לא הושגה הסכמה בין בני זוג הרשומים במרשם הזוגיות, הנדרשת לצורך הגשת בקשה למחיקתם מהמרשם לפי הוראות סעיף 10(א), רשאי בן זוג המעוניין בהתרת ברית הזוגיות להגיש לבית המשפט בקשה ליישוב סכסוך.</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(ב)</w:t>
            </w:r>
            <w:r>
              <w:rPr>
                <w:rtl/>
              </w:rPr>
              <w:tab/>
              <w:t>הוגשה לבית משפט בקשה ליישוב סכסוך לפי הוראות סעיף קטן (א), ייתן בית המשפט פסק דין המתיר את ברית הזוגיות באחת מאלה:</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(1)</w:t>
            </w:r>
            <w:r>
              <w:rPr>
                <w:rtl/>
              </w:rPr>
              <w:tab/>
              <w:t>בני הזוג הגיעו להסכם בדבר הסדר הסכסוך, הכולל הסכמה להתיר את ברית הזוגיות;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r>
              <w:rPr>
                <w:rtl/>
              </w:rPr>
              <w:t xml:space="preserve"> </w:t>
            </w: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(2)</w:t>
            </w:r>
            <w:r>
              <w:rPr>
                <w:rtl/>
              </w:rPr>
              <w:tab/>
              <w:t>בני הזוג לא הגיעו להסדר כאמור בפסקה (1) בתוך שישה חודשים מיום שהוגשה הבקשה ליישוב סכסוך ואחד מבני הזוג הודיע לבית המשפט כי הוא מעוניין בהתרת ברית הזוגיות; ואולם רשאי בית המשפט לעכב את מתן פסק הדין עד שיסתיימו ההליכים קשורים ליחסי הממון בין בני הזוג או ההליכים הקשורים לאפוטרופסות ולהחזקת הילדים;</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(3)</w:t>
            </w:r>
            <w:r>
              <w:rPr>
                <w:rtl/>
              </w:rPr>
              <w:tab/>
              <w:t>חלפה שנה מיום הגשת הבקשה ליישוב סכסוך ולא ניתן היה לאתר את בן הזוג ולהמציא לו את הבקשה.</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(ג)</w:t>
            </w:r>
            <w:r>
              <w:rPr>
                <w:rtl/>
              </w:rPr>
              <w:tab/>
              <w:t>הסכימו בני זוג להתיר את ברית הזוגיות ביניהם והיה אחד מהם פסול דין או מי שמונה לו אפוטרופוס, יגישו בקשה כאמור בסעיף 10(א) לבית המשפט, ויצהירו בפני בית המשפט כי הם מסכימים להתיר את ברית הזוגיות; בית המשפט ייתן פסק דין המתיר את ברית הזוגיות לאחר שנוכח כי פסול הדין או מי שמונה לו אפוטרופוס מסוגל להבין בדבר וכי כל אחד מבני הזוג הסכים להתרת ברית הזוגיות בהסכמה חופשית ובהבינו את משמעותה ותוצאותיה.</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(ד)</w:t>
            </w:r>
            <w:r>
              <w:rPr>
                <w:rtl/>
              </w:rPr>
              <w:tab/>
              <w:t>בלי לגרוע מהוראות סעיפים קטנים (א) עד (ג), רשאי בית המשפט לתת פסק דין המתיר את ברית הזוגיות גם בהתקיים אחד מאלה:</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(1)</w:t>
            </w:r>
            <w:r>
              <w:rPr>
                <w:rtl/>
              </w:rPr>
              <w:tab/>
              <w:t>ברית הזוגיות נעשתה למראית עין;</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(2)</w:t>
            </w:r>
            <w:r>
              <w:rPr>
                <w:rtl/>
              </w:rPr>
              <w:tab/>
              <w:t>הרישום במרשם הזוגיות נעשה על יסוד מידע כוזב או שגוי;</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(3)</w:t>
            </w:r>
            <w:r>
              <w:rPr>
                <w:rtl/>
              </w:rPr>
              <w:tab/>
              <w:t>בית המשפט נוכח כי לא ניתן לקבל את הסכמת בן הזוג להתרת ברית הזוגיות מחמת ליקוי נפשי או שכלי שבשלו בן הזוג אינו מסוגל להבין את משמעות התרת ברית הזוגיות ותוצאותיה;</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(4)</w:t>
            </w:r>
            <w:r>
              <w:rPr>
                <w:rtl/>
              </w:rPr>
              <w:tab/>
              <w:t>בן זוגו של המבקש נישא לאחר או נרשם כבן זוגו של אחר במרשם הזוגיות או במרשם דומה המתנהל על פי דין במדינה אחרת.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jc w:val="left"/>
            </w:pPr>
            <w:r>
              <w:rPr>
                <w:rtl/>
              </w:rPr>
              <w:t>ערעור על החלטות הרשם</w:t>
            </w:r>
          </w:p>
        </w:tc>
        <w:tc>
          <w:tcPr>
            <w:tcW w:w="624" w:type="dxa"/>
            <w:tcMar>
              <w:top w:w="91" w:type="dxa"/>
              <w:left w:w="0" w:type="dxa"/>
              <w:bottom w:w="91" w:type="dxa"/>
              <w:right w:w="0" w:type="dxa"/>
            </w:tcMar>
          </w:tcPr>
          <w:p w:rsidR="00E03BC5" w:rsidRDefault="00E03BC5" w:rsidP="00E03BC5">
            <w:pPr>
              <w:pStyle w:val="TableText"/>
              <w:spacing w:before="0"/>
            </w:pPr>
            <w:r>
              <w:rPr>
                <w:rtl/>
              </w:rPr>
              <w:t>12.</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 xml:space="preserve">כל אחד מהמפורטים בפסקאות שלהלן רשאי לערער לבית המשפט על החלטת הרשם כמפורט באותן פסקאות: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(1)</w:t>
            </w:r>
            <w:r>
              <w:rPr>
                <w:rtl/>
              </w:rPr>
              <w:tab/>
              <w:t>בן זוג שהגיש בקשה לרישום – על החלטת הרשם לדחות את בקשתו לפי סעיפים 5(ב) או 7(ב);</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(2)</w:t>
            </w:r>
            <w:r>
              <w:rPr>
                <w:rtl/>
              </w:rPr>
              <w:tab/>
              <w:t>אדם שהגיש התנגדות לפי סעיף 7 – על החלטת הרשם לרשום את בני הזוג במרשם הזוגיות לפי סעיף 8;</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(3)</w:t>
            </w:r>
            <w:r>
              <w:rPr>
                <w:rtl/>
              </w:rPr>
              <w:tab/>
              <w:t>בן זוג הרשום במרשם הזוגיות או שנמחק ממרשם הזוגיות - על החלטת הרשם שניתנה לגביו לפי סעיף 10.</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jc w:val="left"/>
            </w:pPr>
            <w:r>
              <w:rPr>
                <w:rtl/>
              </w:rPr>
              <w:t>הדין החל על</w:t>
            </w:r>
            <w:r>
              <w:rPr>
                <w:rtl/>
              </w:rPr>
              <w:br/>
              <w:t>בני זוג הרשומים במרשם הזוגיות</w:t>
            </w:r>
          </w:p>
        </w:tc>
        <w:tc>
          <w:tcPr>
            <w:tcW w:w="624" w:type="dxa"/>
            <w:tcMar>
              <w:top w:w="91" w:type="dxa"/>
              <w:left w:w="0" w:type="dxa"/>
              <w:bottom w:w="91" w:type="dxa"/>
              <w:right w:w="0" w:type="dxa"/>
            </w:tcMar>
          </w:tcPr>
          <w:p w:rsidR="00E03BC5" w:rsidRDefault="00E03BC5" w:rsidP="00E03BC5">
            <w:pPr>
              <w:pStyle w:val="TableText"/>
              <w:spacing w:before="0"/>
            </w:pPr>
            <w:r>
              <w:rPr>
                <w:rtl/>
              </w:rPr>
              <w:t>13.</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(א)</w:t>
            </w:r>
            <w:r>
              <w:rPr>
                <w:rtl/>
              </w:rPr>
              <w:tab/>
              <w:t xml:space="preserve">בכפוף להוראות סעיף זה – </w:t>
            </w:r>
          </w:p>
        </w:tc>
      </w:tr>
      <w:tr w:rsidR="00E03BC5" w:rsidTr="00E03BC5">
        <w:trPr>
          <w:cantSplit/>
          <w:jc w:val="center"/>
        </w:trPr>
        <w:tc>
          <w:tcPr>
            <w:tcW w:w="1869" w:type="dxa"/>
          </w:tcPr>
          <w:p w:rsidR="00E03BC5" w:rsidRPr="00DC44A6"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(1)</w:t>
            </w:r>
            <w:r>
              <w:rPr>
                <w:rtl/>
              </w:rPr>
              <w:tab/>
              <w:t>דין בני זוג הרשומים במרשם הזוגיות לפי הוראות חוק זה, כדין בני זוג נשואים;</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(2)</w:t>
            </w:r>
            <w:r>
              <w:rPr>
                <w:rtl/>
              </w:rPr>
              <w:tab/>
              <w:t>דין בני זוג שרישומם במרשם הזוגיות נמחק, כדין בני זוג שנישואיהם הותרו;</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(3)</w:t>
            </w:r>
            <w:r>
              <w:rPr>
                <w:rtl/>
              </w:rPr>
              <w:tab/>
              <w:t>דין אדם שבן זוגו נפטר בעת שהיה רשום כבן זוגו במרשם הזוגיות, כדין אלמן.</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(ב)</w:t>
            </w:r>
            <w:r>
              <w:rPr>
                <w:rtl/>
              </w:rPr>
              <w:tab/>
              <w:t>הוראות חוק יחסי ממון בין בני זוג, התשל"ג–1973‏</w:t>
            </w:r>
            <w:r w:rsidRPr="00DC44A6">
              <w:rPr>
                <w:rStyle w:val="ab"/>
                <w:rFonts w:cs="David"/>
                <w:szCs w:val="20"/>
                <w:rtl/>
              </w:rPr>
              <w:footnoteReference w:id="12"/>
            </w:r>
            <w:r>
              <w:rPr>
                <w:rtl/>
              </w:rPr>
              <w:t xml:space="preserve"> (בסעיף זה – חוק יחסי ממון), יחולו על בני זוג הרשומים במרשם הזוגיות, בשינויים המחויבים ובשינוי זה: בלי לגרוע מהוראות סעיף 2 לחוק יחסי ממון, הסכם ממון בין בני זוג הבאים בברית הזוגיות יכול שיאומת גם בידי רשם הזוגיות בעת הרישום במרשם הזוגיות לפי הוראות סעיף 8 או בעת מחיקת הרישום כאמור בידי הרשם לפי הוראות סעיף 10(ג), וזאת לאחר שנוכח כי בני הזוג עשו את ההסכם בהסכמה חופשית וכי הם מבינים את משמעותו ותוצאותיו; אומת הסכם ממון בידי רשם הזוגיות, דינו לכל דבר ועניין, פרט לערעור, כדין פסק דין של בית המשפט.</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(ג)</w:t>
            </w:r>
            <w:r>
              <w:rPr>
                <w:rtl/>
              </w:rPr>
              <w:tab/>
              <w:t xml:space="preserve">על אף הוראות סעיף קטן (א) –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(1)</w:t>
            </w:r>
            <w:r>
              <w:rPr>
                <w:rtl/>
              </w:rPr>
              <w:tab/>
              <w:t>ההוראות לפי חוק האזרחות, התשי"ב–1952‏</w:t>
            </w:r>
            <w:r w:rsidRPr="00DC44A6">
              <w:rPr>
                <w:rStyle w:val="ab"/>
                <w:rFonts w:cs="David"/>
                <w:szCs w:val="20"/>
                <w:rtl/>
              </w:rPr>
              <w:footnoteReference w:id="13"/>
            </w:r>
            <w:r>
              <w:rPr>
                <w:rtl/>
              </w:rPr>
              <w:t>, חוק השבות, התש"י–1950‏, וחוק הכניסה לישראל, התשי"ב–1952‏</w:t>
            </w:r>
            <w:r w:rsidRPr="00DC44A6">
              <w:rPr>
                <w:szCs w:val="20"/>
                <w:rtl/>
              </w:rPr>
              <w:t>,</w:t>
            </w:r>
            <w:r>
              <w:rPr>
                <w:rtl/>
              </w:rPr>
              <w:t xml:space="preserve"> החלות על בני זוג נשואים, לא יחולו על בני זוג הרשומים במרשם הזוגיות;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(2)</w:t>
            </w:r>
            <w:r>
              <w:rPr>
                <w:rtl/>
              </w:rPr>
              <w:tab/>
              <w:t>הוראות החיקוקים המנויים בתוספת החלות על בני זוג נשואים, יחולו על בני זוג הרשומים במרשם הזוגיות רק לאחר שחלפו 18 חודשים מיום שבני הזוג נרשמו במרשם הזוגיות; השר, באישור ועדת החוקה חוק ומשפט של הכנסת, רשאי, בצו, לשנות את התוספת.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(ד)</w:t>
            </w:r>
            <w:r>
              <w:rPr>
                <w:rtl/>
              </w:rPr>
              <w:tab/>
              <w:t>הוראות סעיף זה לא יחולו לעניין זכויות וחובות על פי הדין האישי ולעניין רישום לפי חוק מרשם האוכלוסין.</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r>
              <w:rPr>
                <w:rtl/>
              </w:rPr>
              <w:t>שמירת דינים</w:t>
            </w:r>
          </w:p>
        </w:tc>
        <w:tc>
          <w:tcPr>
            <w:tcW w:w="624" w:type="dxa"/>
            <w:tcMar>
              <w:top w:w="91" w:type="dxa"/>
              <w:left w:w="0" w:type="dxa"/>
              <w:bottom w:w="91" w:type="dxa"/>
              <w:right w:w="0" w:type="dxa"/>
            </w:tcMar>
          </w:tcPr>
          <w:p w:rsidR="00E03BC5" w:rsidRDefault="00E03BC5" w:rsidP="00E03BC5">
            <w:pPr>
              <w:pStyle w:val="TableText"/>
              <w:spacing w:before="0"/>
            </w:pPr>
            <w:r>
              <w:rPr>
                <w:rtl/>
              </w:rPr>
              <w:t>14.</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אין בהוראות חוק זה כדי לפגוע בדיני נישואין וגירושין ובסמכות השיפוט של בתי הדין הדתיים לפי כל דין.</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r>
              <w:rPr>
                <w:rtl/>
              </w:rPr>
              <w:t>ביצוע ותקנות</w:t>
            </w:r>
          </w:p>
        </w:tc>
        <w:tc>
          <w:tcPr>
            <w:tcW w:w="624" w:type="dxa"/>
            <w:tcMar>
              <w:top w:w="91" w:type="dxa"/>
              <w:left w:w="0" w:type="dxa"/>
              <w:bottom w:w="91" w:type="dxa"/>
              <w:right w:w="0" w:type="dxa"/>
            </w:tcMar>
          </w:tcPr>
          <w:p w:rsidR="00E03BC5" w:rsidRDefault="00E03BC5" w:rsidP="00E03BC5">
            <w:pPr>
              <w:pStyle w:val="TableText"/>
              <w:spacing w:before="0"/>
            </w:pPr>
            <w:r>
              <w:rPr>
                <w:rtl/>
              </w:rPr>
              <w:t>15.</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(א)</w:t>
            </w:r>
            <w:r>
              <w:rPr>
                <w:rtl/>
              </w:rPr>
              <w:tab/>
              <w:t>השר ממונה על ביצוע חוק זה, והוא רשאי להתקין תקנות לביצועו, ובכלל זה בעניינים אלה:</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(1)</w:t>
            </w:r>
            <w:r>
              <w:rPr>
                <w:rtl/>
              </w:rPr>
              <w:tab/>
              <w:t xml:space="preserve">ההליכים בפני רשם הזוגיות;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(2)</w:t>
            </w:r>
            <w:r>
              <w:rPr>
                <w:rtl/>
              </w:rPr>
              <w:tab/>
              <w:t>סדרי הדין בפני בית המשפט;</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(3)</w:t>
            </w:r>
            <w:r>
              <w:rPr>
                <w:rtl/>
              </w:rPr>
              <w:tab/>
              <w:t xml:space="preserve">אגרות בעד הגשת בקשה לרישום במרשם הזוגיות או בקשה למחיקת רישום כאמור.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(ב)</w:t>
            </w:r>
            <w:r>
              <w:rPr>
                <w:rtl/>
              </w:rPr>
              <w:tab/>
              <w:t>תקנות לפי סעיף קטן (א)(3) יותקנו באישור ועדת החוקה חוק ומשפט של הכנסת.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jc w:val="left"/>
              <w:rPr>
                <w:rtl/>
              </w:rPr>
            </w:pPr>
            <w:r>
              <w:rPr>
                <w:rtl/>
              </w:rPr>
              <w:t>תיקון חוק מרשם האוכלוסין</w:t>
            </w:r>
          </w:p>
          <w:p w:rsidR="00F661A2" w:rsidRDefault="00F661A2" w:rsidP="00E03BC5">
            <w:pPr>
              <w:pStyle w:val="TableSideHeading"/>
              <w:spacing w:before="0"/>
              <w:jc w:val="left"/>
            </w:pPr>
            <w:r>
              <w:rPr>
                <w:rtl/>
              </w:rPr>
              <w:t>[מס' 15]</w:t>
            </w:r>
          </w:p>
        </w:tc>
        <w:tc>
          <w:tcPr>
            <w:tcW w:w="624" w:type="dxa"/>
            <w:tcMar>
              <w:top w:w="91" w:type="dxa"/>
              <w:left w:w="0" w:type="dxa"/>
              <w:bottom w:w="91" w:type="dxa"/>
              <w:right w:w="0" w:type="dxa"/>
            </w:tcMar>
          </w:tcPr>
          <w:p w:rsidR="00E03BC5" w:rsidRDefault="00E03BC5" w:rsidP="00E03BC5">
            <w:pPr>
              <w:pStyle w:val="TableText"/>
              <w:spacing w:before="0"/>
            </w:pPr>
            <w:r>
              <w:rPr>
                <w:rtl/>
              </w:rPr>
              <w:t>16.</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בחוק מרשם האוכלוסין, התשכ"ה–1965</w:t>
            </w:r>
            <w:r>
              <w:rPr>
                <w:rStyle w:val="ab"/>
                <w:rFonts w:cs="David"/>
                <w:rtl/>
              </w:rPr>
              <w:footnoteReference w:id="14"/>
            </w:r>
            <w:r>
              <w:rPr>
                <w:rtl/>
              </w:rPr>
              <w:t xml:space="preserve"> –</w:t>
            </w:r>
          </w:p>
        </w:tc>
      </w:tr>
      <w:tr w:rsidR="00E03BC5" w:rsidTr="00E03BC5">
        <w:trPr>
          <w:cantSplit/>
          <w:jc w:val="center"/>
        </w:trPr>
        <w:tc>
          <w:tcPr>
            <w:tcW w:w="1869" w:type="dxa"/>
          </w:tcPr>
          <w:p w:rsidR="00E03BC5" w:rsidRPr="00DC44A6"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(1)</w:t>
            </w:r>
            <w:r>
              <w:rPr>
                <w:rtl/>
              </w:rPr>
              <w:tab/>
              <w:t>בסעיף 2, אחרי סעיף קטן (א) יבוא:</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"(א1)</w:t>
            </w:r>
            <w:r>
              <w:rPr>
                <w:rtl/>
              </w:rPr>
              <w:tab/>
              <w:t>על אף הוראות סעיף קטן (א)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5897" w:type="dxa"/>
            <w:gridSpan w:val="3"/>
            <w:tcMar>
              <w:top w:w="91" w:type="dxa"/>
              <w:left w:w="0" w:type="dxa"/>
              <w:bottom w:w="91" w:type="dxa"/>
              <w:right w:w="0" w:type="dxa"/>
            </w:tcMar>
          </w:tcPr>
          <w:p w:rsidR="00E03BC5" w:rsidRDefault="00E03BC5" w:rsidP="00E03BC5">
            <w:pPr>
              <w:pStyle w:val="TableBlock"/>
              <w:spacing w:before="0"/>
            </w:pPr>
            <w:r>
              <w:rPr>
                <w:rtl/>
              </w:rPr>
              <w:t>(1)</w:t>
            </w:r>
            <w:r>
              <w:rPr>
                <w:rtl/>
              </w:rPr>
              <w:tab/>
              <w:t>תושב הרשום במרשם הזוגיות כהגדרתו בחוק ברית הזוגיות לחסרי דת, התש"ע–2010</w:t>
            </w:r>
            <w:r>
              <w:rPr>
                <w:rStyle w:val="ab"/>
                <w:rFonts w:cs="David"/>
                <w:rtl/>
              </w:rPr>
              <w:footnoteReference w:id="15"/>
            </w:r>
            <w:r>
              <w:rPr>
                <w:rtl/>
              </w:rPr>
              <w:t xml:space="preserve"> (בסעיף קטן זה – מרשם הזוגיות), יירשם בפרט הרישום האמור בסעיף קטן (א)(7) הנוגע למצבו האישי (בסעיף קטן זה – פרט המצב האישי), כבן זוג בברית הזוגיות;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5897" w:type="dxa"/>
            <w:gridSpan w:val="3"/>
            <w:tcMar>
              <w:top w:w="91" w:type="dxa"/>
              <w:left w:w="0" w:type="dxa"/>
              <w:bottom w:w="91" w:type="dxa"/>
              <w:right w:w="0" w:type="dxa"/>
            </w:tcMar>
          </w:tcPr>
          <w:p w:rsidR="00E03BC5" w:rsidRDefault="00E03BC5" w:rsidP="00E03BC5">
            <w:pPr>
              <w:pStyle w:val="TableBlock"/>
              <w:spacing w:before="0"/>
            </w:pPr>
            <w:r>
              <w:rPr>
                <w:rtl/>
              </w:rPr>
              <w:t>(2)</w:t>
            </w:r>
            <w:r>
              <w:rPr>
                <w:rtl/>
              </w:rPr>
              <w:tab/>
              <w:t>תושב שנמחק רישומו ממרשם הזוגיות, יירשם בפרט המצב האישי כפנוי;</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5897" w:type="dxa"/>
            <w:gridSpan w:val="3"/>
            <w:tcMar>
              <w:top w:w="91" w:type="dxa"/>
              <w:left w:w="0" w:type="dxa"/>
              <w:bottom w:w="91" w:type="dxa"/>
              <w:right w:w="0" w:type="dxa"/>
            </w:tcMar>
          </w:tcPr>
          <w:p w:rsidR="00E03BC5" w:rsidRDefault="00E03BC5" w:rsidP="00E03BC5">
            <w:pPr>
              <w:pStyle w:val="TableBlock"/>
              <w:spacing w:before="0"/>
            </w:pPr>
            <w:r>
              <w:rPr>
                <w:rtl/>
              </w:rPr>
              <w:t>(3)</w:t>
            </w:r>
            <w:r>
              <w:rPr>
                <w:rtl/>
              </w:rPr>
              <w:tab/>
              <w:t>תושב שבן זוגו נפטר בעת שהיה רשום כבן זוגו במרשם הזוגיות, יירשם בפרט המצב האישי כאלמן.";</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(2)</w:t>
            </w:r>
            <w:r>
              <w:rPr>
                <w:rtl/>
              </w:rPr>
              <w:tab/>
              <w:t>בסעיף 15, אחרי פסקה (2) יבוא:</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"(2א) רישום בני זוג במרשם הזוגיות או מחיקתם מהמרשם האמור, לפי הוראות חוק ברית הזוגיות לחסרי דת, התש"ע–2010;";</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(3)</w:t>
            </w:r>
            <w:r>
              <w:rPr>
                <w:rtl/>
              </w:rPr>
              <w:tab/>
              <w:t>בסעיף 31, אחרי פסקה (6) יבוא:</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"(7)</w:t>
            </w:r>
            <w:r>
              <w:rPr>
                <w:rtl/>
              </w:rPr>
              <w:tab/>
              <w:t>רשם הזוגיות כהגדרתו בחוק ברית הזוגיות לחסרי דת, התש"ע–2010."</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jc w:val="left"/>
            </w:pPr>
            <w:r>
              <w:rPr>
                <w:rtl/>
              </w:rPr>
              <w:t>תיקון פקודת הנישואין והגירושין (רישום)</w:t>
            </w:r>
          </w:p>
        </w:tc>
        <w:tc>
          <w:tcPr>
            <w:tcW w:w="624" w:type="dxa"/>
            <w:tcMar>
              <w:top w:w="91" w:type="dxa"/>
              <w:left w:w="0" w:type="dxa"/>
              <w:bottom w:w="91" w:type="dxa"/>
              <w:right w:w="0" w:type="dxa"/>
            </w:tcMar>
          </w:tcPr>
          <w:p w:rsidR="00E03BC5" w:rsidRDefault="00E03BC5" w:rsidP="00E03BC5">
            <w:pPr>
              <w:pStyle w:val="TableText"/>
              <w:spacing w:before="0"/>
            </w:pPr>
            <w:r>
              <w:rPr>
                <w:rtl/>
              </w:rPr>
              <w:t>17.</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בפקודת הנישואין והגירושין (רישום), אחרי סעיף 4 יבוא:</w:t>
            </w:r>
          </w:p>
        </w:tc>
      </w:tr>
      <w:tr w:rsidR="00E03BC5" w:rsidTr="00E03BC5">
        <w:trPr>
          <w:cantSplit/>
          <w:jc w:val="center"/>
        </w:trPr>
        <w:tc>
          <w:tcPr>
            <w:tcW w:w="1869" w:type="dxa"/>
          </w:tcPr>
          <w:p w:rsidR="00E03BC5" w:rsidRPr="00DC44A6"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pPr>
          </w:p>
        </w:tc>
        <w:tc>
          <w:tcPr>
            <w:tcW w:w="1872" w:type="dxa"/>
            <w:gridSpan w:val="3"/>
            <w:tcMar>
              <w:top w:w="91" w:type="dxa"/>
              <w:left w:w="0" w:type="dxa"/>
              <w:bottom w:w="91" w:type="dxa"/>
              <w:right w:w="0" w:type="dxa"/>
            </w:tcMar>
          </w:tcPr>
          <w:p w:rsidR="00E03BC5" w:rsidRDefault="00E03BC5" w:rsidP="00E03BC5">
            <w:pPr>
              <w:pStyle w:val="TableInnerSideHeading"/>
              <w:spacing w:before="0"/>
              <w:jc w:val="left"/>
            </w:pPr>
            <w:r>
              <w:rPr>
                <w:rtl/>
              </w:rPr>
              <w:t>"משלוח הודעה למרשם הזוגיות</w:t>
            </w:r>
          </w:p>
        </w:tc>
        <w:tc>
          <w:tcPr>
            <w:tcW w:w="624" w:type="dxa"/>
            <w:tcMar>
              <w:top w:w="91" w:type="dxa"/>
              <w:left w:w="0" w:type="dxa"/>
              <w:bottom w:w="91" w:type="dxa"/>
              <w:right w:w="0" w:type="dxa"/>
            </w:tcMar>
          </w:tcPr>
          <w:p w:rsidR="00E03BC5" w:rsidRDefault="00E03BC5" w:rsidP="00E03BC5">
            <w:pPr>
              <w:pStyle w:val="TableText"/>
              <w:spacing w:before="0"/>
            </w:pPr>
            <w:r>
              <w:rPr>
                <w:rtl/>
              </w:rPr>
              <w:t>4א.</w:t>
            </w:r>
          </w:p>
        </w:tc>
        <w:tc>
          <w:tcPr>
            <w:tcW w:w="4649" w:type="dxa"/>
            <w:tcMar>
              <w:top w:w="91" w:type="dxa"/>
              <w:left w:w="0" w:type="dxa"/>
              <w:bottom w:w="91" w:type="dxa"/>
              <w:right w:w="0" w:type="dxa"/>
            </w:tcMar>
          </w:tcPr>
          <w:p w:rsidR="00E03BC5" w:rsidRDefault="00E03BC5" w:rsidP="00E03BC5">
            <w:pPr>
              <w:pStyle w:val="TableBlock"/>
              <w:spacing w:before="0"/>
            </w:pPr>
            <w:r>
              <w:rPr>
                <w:rtl/>
              </w:rPr>
              <w:t>הממונה על המחוז ישלח לרשם הזוגיות כהגדרתו בחוק ברית הזוגיות לחסרי דת, התש"ע–2010, מדי חודש, הודעה על נישואין שנרשמו באותו מחוז במהלך החודש שקדם לו."</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r>
              <w:rPr>
                <w:rtl/>
              </w:rPr>
              <w:t>תחילה</w:t>
            </w:r>
          </w:p>
        </w:tc>
        <w:tc>
          <w:tcPr>
            <w:tcW w:w="624" w:type="dxa"/>
            <w:tcMar>
              <w:top w:w="91" w:type="dxa"/>
              <w:left w:w="0" w:type="dxa"/>
              <w:bottom w:w="91" w:type="dxa"/>
              <w:right w:w="0" w:type="dxa"/>
            </w:tcMar>
          </w:tcPr>
          <w:p w:rsidR="00E03BC5" w:rsidRDefault="00E03BC5" w:rsidP="00E03BC5">
            <w:pPr>
              <w:pStyle w:val="TableText"/>
              <w:spacing w:before="0"/>
            </w:pPr>
            <w:r>
              <w:rPr>
                <w:rtl/>
              </w:rPr>
              <w:t>18.</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תחילתו של חוק זה שישה חודשים מיום פרסומו.</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Head"/>
              <w:spacing w:before="0"/>
            </w:pPr>
            <w:r>
              <w:rPr>
                <w:rtl/>
              </w:rPr>
              <w:t>תוספת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Pr="00094334" w:rsidRDefault="00E03BC5" w:rsidP="00E03BC5">
            <w:pPr>
              <w:pStyle w:val="TableHead"/>
              <w:spacing w:before="0"/>
              <w:rPr>
                <w:b w:val="0"/>
                <w:bCs w:val="0"/>
              </w:rPr>
            </w:pPr>
            <w:r w:rsidRPr="00094334">
              <w:rPr>
                <w:b w:val="0"/>
                <w:bCs w:val="0"/>
                <w:rtl/>
              </w:rPr>
              <w:t>(סעיף 13(ג)(2))</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1.</w:t>
            </w:r>
            <w:r>
              <w:rPr>
                <w:rtl/>
              </w:rPr>
              <w:tab/>
              <w:t>חוק אימוץ ילדים, התשמ"א–1981‏</w:t>
            </w:r>
            <w:r w:rsidRPr="00DC44A6">
              <w:rPr>
                <w:rStyle w:val="ab"/>
                <w:szCs w:val="20"/>
                <w:rtl/>
              </w:rPr>
              <w:footnoteReference w:id="16"/>
            </w:r>
            <w:r>
              <w:rPr>
                <w:rtl/>
              </w:rPr>
              <w:t>.</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2.</w:t>
            </w:r>
            <w:r>
              <w:rPr>
                <w:rtl/>
              </w:rPr>
              <w:tab/>
              <w:t>חוק הסכמים לנשיאת עוברים (אישור הסכם ומעמד היילוד), התשנ"ו–1996‏</w:t>
            </w:r>
            <w:r w:rsidRPr="00DC44A6">
              <w:rPr>
                <w:rStyle w:val="ab"/>
                <w:rFonts w:cs="David"/>
                <w:szCs w:val="20"/>
                <w:rtl/>
              </w:rPr>
              <w:footnoteReference w:id="17"/>
            </w:r>
            <w:r>
              <w:rPr>
                <w:rtl/>
              </w:rPr>
              <w:t>.</w:t>
            </w:r>
          </w:p>
        </w:tc>
      </w:tr>
    </w:tbl>
    <w:p w:rsidR="00B416AF" w:rsidRDefault="00B416AF" w:rsidP="00696C5E">
      <w:pPr>
        <w:pStyle w:val="Noparagraphstyle"/>
        <w:rPr>
          <w:sz w:val="26"/>
          <w:rtl/>
        </w:rPr>
      </w:pPr>
    </w:p>
    <w:p w:rsidR="00F661A2" w:rsidRPr="00E125CC" w:rsidRDefault="00F661A2" w:rsidP="00696C5E">
      <w:pPr>
        <w:pStyle w:val="Noparagraphstyle"/>
        <w:rPr>
          <w:sz w:val="26"/>
          <w:rtl/>
        </w:rPr>
      </w:pPr>
    </w:p>
    <w:tbl>
      <w:tblPr>
        <w:tblStyle w:val="af1"/>
        <w:bidiVisual/>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2268"/>
        <w:gridCol w:w="2268"/>
        <w:gridCol w:w="2268"/>
        <w:gridCol w:w="2835"/>
      </w:tblGrid>
      <w:tr w:rsidR="00B416AF" w:rsidRPr="00515985" w:rsidTr="00E03BC5">
        <w:trPr>
          <w:jc w:val="center"/>
        </w:trPr>
        <w:tc>
          <w:tcPr>
            <w:tcW w:w="2268" w:type="dxa"/>
          </w:tcPr>
          <w:p w:rsidR="00B416AF" w:rsidRPr="00515985" w:rsidRDefault="00B416AF" w:rsidP="00696C5E">
            <w:pPr>
              <w:spacing w:before="0" w:line="360" w:lineRule="auto"/>
              <w:ind w:firstLine="0"/>
              <w:jc w:val="center"/>
              <w:rPr>
                <w:rFonts w:cs="David"/>
                <w:sz w:val="26"/>
                <w:szCs w:val="26"/>
              </w:rPr>
            </w:pPr>
          </w:p>
        </w:tc>
        <w:tc>
          <w:tcPr>
            <w:tcW w:w="2268" w:type="dxa"/>
          </w:tcPr>
          <w:p w:rsidR="00B416AF" w:rsidRPr="00515985" w:rsidRDefault="00FF0DFF" w:rsidP="00696C5E">
            <w:pPr>
              <w:spacing w:before="0" w:line="360" w:lineRule="auto"/>
              <w:ind w:firstLine="0"/>
              <w:jc w:val="center"/>
              <w:rPr>
                <w:rFonts w:cs="David"/>
                <w:sz w:val="26"/>
                <w:szCs w:val="26"/>
                <w:rtl/>
              </w:rPr>
            </w:pPr>
            <w:r>
              <w:rPr>
                <w:rFonts w:cs="David" w:hint="cs"/>
                <w:sz w:val="26"/>
                <w:szCs w:val="26"/>
                <w:rtl/>
              </w:rPr>
              <w:t>בנימין</w:t>
            </w:r>
            <w:r>
              <w:rPr>
                <w:rFonts w:cs="David"/>
                <w:sz w:val="26"/>
                <w:szCs w:val="26"/>
                <w:rtl/>
              </w:rPr>
              <w:t xml:space="preserve"> </w:t>
            </w:r>
            <w:r>
              <w:rPr>
                <w:rFonts w:cs="David" w:hint="cs"/>
                <w:sz w:val="26"/>
                <w:szCs w:val="26"/>
                <w:rtl/>
              </w:rPr>
              <w:t>נתניהו</w:t>
            </w:r>
          </w:p>
          <w:p w:rsidR="00B416AF" w:rsidRPr="00515985" w:rsidRDefault="00B416AF" w:rsidP="00696C5E">
            <w:pPr>
              <w:spacing w:before="0" w:line="360" w:lineRule="auto"/>
              <w:ind w:firstLine="0"/>
              <w:jc w:val="center"/>
              <w:rPr>
                <w:rFonts w:cs="David"/>
                <w:sz w:val="26"/>
                <w:szCs w:val="26"/>
              </w:rPr>
            </w:pPr>
            <w:r w:rsidRPr="00515985">
              <w:rPr>
                <w:rFonts w:cs="David" w:hint="cs"/>
                <w:sz w:val="26"/>
                <w:szCs w:val="26"/>
                <w:rtl/>
              </w:rPr>
              <w:t>ראש</w:t>
            </w:r>
            <w:r w:rsidRPr="00515985">
              <w:rPr>
                <w:rFonts w:cs="David"/>
                <w:sz w:val="26"/>
                <w:szCs w:val="26"/>
                <w:rtl/>
              </w:rPr>
              <w:t xml:space="preserve"> </w:t>
            </w:r>
            <w:r w:rsidRPr="00515985">
              <w:rPr>
                <w:rFonts w:cs="David" w:hint="cs"/>
                <w:sz w:val="26"/>
                <w:szCs w:val="26"/>
                <w:rtl/>
              </w:rPr>
              <w:t>הממשלה</w:t>
            </w:r>
          </w:p>
        </w:tc>
        <w:tc>
          <w:tcPr>
            <w:tcW w:w="2268" w:type="dxa"/>
          </w:tcPr>
          <w:p w:rsidR="00B416AF" w:rsidRPr="00515985" w:rsidRDefault="00B416AF" w:rsidP="00696C5E">
            <w:pPr>
              <w:spacing w:before="0" w:line="360" w:lineRule="auto"/>
              <w:ind w:firstLine="0"/>
              <w:jc w:val="center"/>
              <w:rPr>
                <w:rFonts w:cs="David"/>
                <w:sz w:val="26"/>
                <w:szCs w:val="26"/>
              </w:rPr>
            </w:pPr>
          </w:p>
        </w:tc>
        <w:tc>
          <w:tcPr>
            <w:tcW w:w="2835" w:type="dxa"/>
          </w:tcPr>
          <w:p w:rsidR="00B416AF" w:rsidRPr="00515985" w:rsidRDefault="00E62457" w:rsidP="00696C5E">
            <w:pPr>
              <w:spacing w:before="0" w:line="360" w:lineRule="auto"/>
              <w:ind w:firstLine="0"/>
              <w:jc w:val="center"/>
              <w:rPr>
                <w:rFonts w:cs="David"/>
                <w:sz w:val="26"/>
                <w:szCs w:val="26"/>
                <w:rtl/>
              </w:rPr>
            </w:pPr>
            <w:r>
              <w:rPr>
                <w:rFonts w:cs="David" w:hint="cs"/>
                <w:sz w:val="26"/>
                <w:szCs w:val="26"/>
                <w:rtl/>
              </w:rPr>
              <w:t>יעקב</w:t>
            </w:r>
            <w:r>
              <w:rPr>
                <w:rFonts w:cs="David"/>
                <w:sz w:val="26"/>
                <w:szCs w:val="26"/>
                <w:rtl/>
              </w:rPr>
              <w:t xml:space="preserve"> </w:t>
            </w:r>
            <w:r>
              <w:rPr>
                <w:rFonts w:cs="David" w:hint="cs"/>
                <w:sz w:val="26"/>
                <w:szCs w:val="26"/>
                <w:rtl/>
              </w:rPr>
              <w:t>נאמן</w:t>
            </w:r>
          </w:p>
          <w:p w:rsidR="00B416AF" w:rsidRPr="00515985" w:rsidRDefault="00B416AF" w:rsidP="00696C5E">
            <w:pPr>
              <w:spacing w:before="0" w:line="360" w:lineRule="auto"/>
              <w:ind w:firstLine="0"/>
              <w:jc w:val="center"/>
              <w:rPr>
                <w:rFonts w:cs="David"/>
                <w:sz w:val="26"/>
                <w:szCs w:val="26"/>
              </w:rPr>
            </w:pPr>
            <w:r w:rsidRPr="00515985">
              <w:rPr>
                <w:rFonts w:cs="David" w:hint="cs"/>
                <w:sz w:val="26"/>
                <w:szCs w:val="26"/>
                <w:rtl/>
              </w:rPr>
              <w:t>שר</w:t>
            </w:r>
            <w:r w:rsidRPr="00515985">
              <w:rPr>
                <w:rFonts w:cs="David"/>
                <w:sz w:val="26"/>
                <w:szCs w:val="26"/>
                <w:rtl/>
              </w:rPr>
              <w:t xml:space="preserve"> </w:t>
            </w:r>
            <w:r>
              <w:rPr>
                <w:rFonts w:cs="David" w:hint="cs"/>
                <w:sz w:val="26"/>
                <w:szCs w:val="26"/>
                <w:rtl/>
              </w:rPr>
              <w:t>ה</w:t>
            </w:r>
            <w:r w:rsidR="00E03BC5">
              <w:rPr>
                <w:rFonts w:cs="David" w:hint="cs"/>
                <w:sz w:val="26"/>
                <w:szCs w:val="26"/>
                <w:rtl/>
              </w:rPr>
              <w:t>משפטים</w:t>
            </w:r>
          </w:p>
        </w:tc>
      </w:tr>
      <w:tr w:rsidR="00B416AF" w:rsidRPr="00515985" w:rsidTr="00E03BC5">
        <w:trPr>
          <w:jc w:val="center"/>
        </w:trPr>
        <w:tc>
          <w:tcPr>
            <w:tcW w:w="2268" w:type="dxa"/>
          </w:tcPr>
          <w:p w:rsidR="00B416AF" w:rsidRDefault="00B416AF" w:rsidP="00696C5E">
            <w:pPr>
              <w:spacing w:before="0" w:line="360" w:lineRule="auto"/>
              <w:ind w:firstLine="0"/>
              <w:jc w:val="center"/>
              <w:rPr>
                <w:rFonts w:cs="David"/>
                <w:sz w:val="26"/>
                <w:szCs w:val="26"/>
                <w:rtl/>
              </w:rPr>
            </w:pPr>
          </w:p>
          <w:p w:rsidR="00B416AF" w:rsidRPr="00515985" w:rsidRDefault="00B416AF" w:rsidP="00696C5E">
            <w:pPr>
              <w:spacing w:before="0" w:line="360" w:lineRule="auto"/>
              <w:ind w:firstLine="0"/>
              <w:jc w:val="center"/>
              <w:rPr>
                <w:rFonts w:cs="David"/>
                <w:sz w:val="26"/>
                <w:szCs w:val="26"/>
              </w:rPr>
            </w:pPr>
          </w:p>
        </w:tc>
        <w:tc>
          <w:tcPr>
            <w:tcW w:w="2268" w:type="dxa"/>
          </w:tcPr>
          <w:p w:rsidR="00B416AF" w:rsidRPr="00515985" w:rsidRDefault="00B416AF" w:rsidP="00696C5E">
            <w:pPr>
              <w:spacing w:before="0" w:line="360" w:lineRule="auto"/>
              <w:ind w:firstLine="0"/>
              <w:jc w:val="center"/>
              <w:rPr>
                <w:rFonts w:cs="David"/>
                <w:sz w:val="26"/>
                <w:szCs w:val="26"/>
              </w:rPr>
            </w:pPr>
          </w:p>
        </w:tc>
        <w:tc>
          <w:tcPr>
            <w:tcW w:w="2268" w:type="dxa"/>
          </w:tcPr>
          <w:p w:rsidR="00B416AF" w:rsidRPr="00515985" w:rsidRDefault="00B416AF" w:rsidP="00696C5E">
            <w:pPr>
              <w:spacing w:before="0" w:line="360" w:lineRule="auto"/>
              <w:ind w:firstLine="0"/>
              <w:jc w:val="center"/>
              <w:rPr>
                <w:rFonts w:cs="David"/>
                <w:sz w:val="26"/>
                <w:szCs w:val="26"/>
              </w:rPr>
            </w:pPr>
          </w:p>
        </w:tc>
        <w:tc>
          <w:tcPr>
            <w:tcW w:w="2835" w:type="dxa"/>
          </w:tcPr>
          <w:p w:rsidR="00B416AF" w:rsidRDefault="00B416AF" w:rsidP="00696C5E">
            <w:pPr>
              <w:spacing w:before="0" w:line="360" w:lineRule="auto"/>
              <w:ind w:firstLine="0"/>
              <w:jc w:val="center"/>
              <w:rPr>
                <w:rFonts w:cs="David"/>
                <w:sz w:val="26"/>
                <w:szCs w:val="26"/>
                <w:rtl/>
              </w:rPr>
            </w:pPr>
          </w:p>
          <w:p w:rsidR="00B416AF" w:rsidRPr="00515985" w:rsidRDefault="00B416AF" w:rsidP="00696C5E">
            <w:pPr>
              <w:spacing w:before="0" w:line="360" w:lineRule="auto"/>
              <w:ind w:firstLine="0"/>
              <w:jc w:val="center"/>
              <w:rPr>
                <w:rFonts w:cs="David"/>
                <w:sz w:val="26"/>
                <w:szCs w:val="26"/>
              </w:rPr>
            </w:pPr>
          </w:p>
        </w:tc>
      </w:tr>
      <w:tr w:rsidR="00B416AF" w:rsidRPr="00515985" w:rsidTr="00E03BC5">
        <w:trPr>
          <w:jc w:val="center"/>
        </w:trPr>
        <w:tc>
          <w:tcPr>
            <w:tcW w:w="2268" w:type="dxa"/>
          </w:tcPr>
          <w:p w:rsidR="00B416AF" w:rsidRPr="00515985" w:rsidRDefault="00B416AF" w:rsidP="00696C5E">
            <w:pPr>
              <w:spacing w:before="0" w:line="360" w:lineRule="auto"/>
              <w:ind w:firstLine="0"/>
              <w:jc w:val="center"/>
              <w:rPr>
                <w:rFonts w:cs="David"/>
                <w:sz w:val="26"/>
                <w:szCs w:val="26"/>
                <w:rtl/>
              </w:rPr>
            </w:pPr>
            <w:r>
              <w:rPr>
                <w:rFonts w:cs="David" w:hint="cs"/>
                <w:sz w:val="26"/>
                <w:szCs w:val="26"/>
                <w:rtl/>
              </w:rPr>
              <w:t>שמעון</w:t>
            </w:r>
            <w:r>
              <w:rPr>
                <w:rFonts w:cs="David"/>
                <w:sz w:val="26"/>
                <w:szCs w:val="26"/>
                <w:rtl/>
              </w:rPr>
              <w:t xml:space="preserve"> </w:t>
            </w:r>
            <w:r>
              <w:rPr>
                <w:rFonts w:cs="David" w:hint="cs"/>
                <w:sz w:val="26"/>
                <w:szCs w:val="26"/>
                <w:rtl/>
              </w:rPr>
              <w:t>פרס</w:t>
            </w:r>
          </w:p>
          <w:p w:rsidR="00B416AF" w:rsidRPr="00515985" w:rsidRDefault="00B416AF" w:rsidP="00696C5E">
            <w:pPr>
              <w:spacing w:before="0" w:line="360" w:lineRule="auto"/>
              <w:ind w:firstLine="0"/>
              <w:jc w:val="center"/>
              <w:rPr>
                <w:rFonts w:cs="David"/>
                <w:sz w:val="26"/>
                <w:szCs w:val="26"/>
              </w:rPr>
            </w:pPr>
            <w:r w:rsidRPr="00515985">
              <w:rPr>
                <w:rFonts w:cs="David" w:hint="cs"/>
                <w:sz w:val="26"/>
                <w:szCs w:val="26"/>
                <w:rtl/>
              </w:rPr>
              <w:t>נשיא</w:t>
            </w:r>
            <w:r w:rsidRPr="00515985">
              <w:rPr>
                <w:rFonts w:cs="David"/>
                <w:sz w:val="26"/>
                <w:szCs w:val="26"/>
                <w:rtl/>
              </w:rPr>
              <w:t xml:space="preserve"> </w:t>
            </w:r>
            <w:r w:rsidRPr="00515985">
              <w:rPr>
                <w:rFonts w:cs="David" w:hint="cs"/>
                <w:sz w:val="26"/>
                <w:szCs w:val="26"/>
                <w:rtl/>
              </w:rPr>
              <w:t>המדינה</w:t>
            </w:r>
          </w:p>
        </w:tc>
        <w:tc>
          <w:tcPr>
            <w:tcW w:w="2268" w:type="dxa"/>
          </w:tcPr>
          <w:p w:rsidR="00B416AF" w:rsidRPr="00515985" w:rsidRDefault="00B416AF" w:rsidP="00696C5E">
            <w:pPr>
              <w:spacing w:before="0" w:line="360" w:lineRule="auto"/>
              <w:ind w:firstLine="0"/>
              <w:jc w:val="center"/>
              <w:rPr>
                <w:rFonts w:cs="David"/>
                <w:sz w:val="26"/>
                <w:szCs w:val="26"/>
              </w:rPr>
            </w:pPr>
          </w:p>
        </w:tc>
        <w:tc>
          <w:tcPr>
            <w:tcW w:w="2268" w:type="dxa"/>
          </w:tcPr>
          <w:p w:rsidR="00B416AF" w:rsidRPr="00515985" w:rsidRDefault="00FF0DFF" w:rsidP="00FF0DFF">
            <w:pPr>
              <w:spacing w:before="0" w:line="360" w:lineRule="auto"/>
              <w:ind w:firstLine="0"/>
              <w:jc w:val="center"/>
              <w:rPr>
                <w:rFonts w:cs="David"/>
                <w:sz w:val="26"/>
                <w:szCs w:val="26"/>
                <w:rtl/>
              </w:rPr>
            </w:pPr>
            <w:r>
              <w:rPr>
                <w:rFonts w:cs="David" w:hint="cs"/>
                <w:sz w:val="26"/>
                <w:szCs w:val="26"/>
                <w:rtl/>
              </w:rPr>
              <w:t>ראובן</w:t>
            </w:r>
            <w:r>
              <w:rPr>
                <w:rFonts w:cs="David"/>
                <w:sz w:val="26"/>
                <w:szCs w:val="26"/>
                <w:rtl/>
              </w:rPr>
              <w:t xml:space="preserve"> </w:t>
            </w:r>
            <w:r>
              <w:rPr>
                <w:rFonts w:cs="David" w:hint="cs"/>
                <w:sz w:val="26"/>
                <w:szCs w:val="26"/>
                <w:rtl/>
              </w:rPr>
              <w:t>ריבלין</w:t>
            </w:r>
          </w:p>
          <w:p w:rsidR="00B416AF" w:rsidRPr="00515985" w:rsidRDefault="00FF0DFF" w:rsidP="00696C5E">
            <w:pPr>
              <w:spacing w:before="0" w:line="360" w:lineRule="auto"/>
              <w:ind w:firstLine="0"/>
              <w:jc w:val="center"/>
              <w:rPr>
                <w:rFonts w:cs="David"/>
                <w:sz w:val="26"/>
                <w:szCs w:val="26"/>
              </w:rPr>
            </w:pPr>
            <w:r>
              <w:rPr>
                <w:rFonts w:cs="David" w:hint="cs"/>
                <w:sz w:val="26"/>
                <w:szCs w:val="26"/>
                <w:rtl/>
              </w:rPr>
              <w:t>יושב</w:t>
            </w:r>
            <w:r w:rsidR="00B416AF" w:rsidRPr="00515985">
              <w:rPr>
                <w:rFonts w:cs="David"/>
                <w:sz w:val="26"/>
                <w:szCs w:val="26"/>
                <w:rtl/>
              </w:rPr>
              <w:t xml:space="preserve"> </w:t>
            </w:r>
            <w:r w:rsidR="00B416AF" w:rsidRPr="00515985">
              <w:rPr>
                <w:rFonts w:cs="David" w:hint="cs"/>
                <w:sz w:val="26"/>
                <w:szCs w:val="26"/>
                <w:rtl/>
              </w:rPr>
              <w:t>ראש</w:t>
            </w:r>
            <w:r w:rsidR="00B416AF" w:rsidRPr="00515985">
              <w:rPr>
                <w:rFonts w:cs="David"/>
                <w:sz w:val="26"/>
                <w:szCs w:val="26"/>
                <w:rtl/>
              </w:rPr>
              <w:t xml:space="preserve"> </w:t>
            </w:r>
            <w:r w:rsidR="00B416AF" w:rsidRPr="00515985">
              <w:rPr>
                <w:rFonts w:cs="David" w:hint="cs"/>
                <w:sz w:val="26"/>
                <w:szCs w:val="26"/>
                <w:rtl/>
              </w:rPr>
              <w:t>הכנסת</w:t>
            </w:r>
          </w:p>
        </w:tc>
        <w:tc>
          <w:tcPr>
            <w:tcW w:w="2835" w:type="dxa"/>
          </w:tcPr>
          <w:p w:rsidR="00B416AF" w:rsidRPr="00515985" w:rsidRDefault="00B416AF" w:rsidP="00696C5E">
            <w:pPr>
              <w:spacing w:before="0" w:line="360" w:lineRule="auto"/>
              <w:ind w:firstLine="0"/>
              <w:jc w:val="center"/>
              <w:rPr>
                <w:rFonts w:cs="David"/>
                <w:sz w:val="26"/>
                <w:szCs w:val="26"/>
              </w:rPr>
            </w:pPr>
          </w:p>
        </w:tc>
      </w:tr>
    </w:tbl>
    <w:p w:rsidR="00AC4CCE" w:rsidRPr="00B416AF" w:rsidRDefault="00AC4CCE" w:rsidP="00696C5E">
      <w:pPr>
        <w:spacing w:before="0"/>
        <w:rPr>
          <w:rtl/>
        </w:rPr>
      </w:pPr>
    </w:p>
    <w:sectPr w:rsidR="00AC4CCE" w:rsidRPr="00B416AF" w:rsidSect="00F661A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302"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1A2" w:rsidRDefault="00F661A2" w:rsidP="00B416AF">
      <w:pPr>
        <w:pStyle w:val="HeadHatzaotHok"/>
      </w:pPr>
      <w:r>
        <w:separator/>
      </w:r>
    </w:p>
  </w:endnote>
  <w:endnote w:type="continuationSeparator" w:id="0">
    <w:p w:rsidR="00F661A2" w:rsidRDefault="00F661A2" w:rsidP="00B416AF">
      <w:pPr>
        <w:pStyle w:val="HeadHatzaotHo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1A2" w:rsidRDefault="00F661A2" w:rsidP="00B416AF">
    <w:pPr>
      <w:pStyle w:val="a9"/>
      <w:framePr w:wrap="around" w:vAnchor="text" w:hAnchor="text" w:xAlign="center" w:y="1"/>
      <w:rPr>
        <w:rStyle w:val="af0"/>
        <w:rFonts w:cs="Hadasa Roso SL"/>
      </w:rPr>
    </w:pPr>
    <w:r>
      <w:rPr>
        <w:rStyle w:val="af0"/>
        <w:rFonts w:cs="Hadasa Roso SL"/>
      </w:rPr>
      <w:fldChar w:fldCharType="begin"/>
    </w:r>
    <w:r>
      <w:rPr>
        <w:rStyle w:val="af0"/>
        <w:rFonts w:cs="Hadasa Roso SL"/>
      </w:rPr>
      <w:instrText xml:space="preserve">PAGE  </w:instrText>
    </w:r>
    <w:r>
      <w:rPr>
        <w:rStyle w:val="af0"/>
        <w:rFonts w:cs="Hadasa Roso SL"/>
      </w:rPr>
      <w:fldChar w:fldCharType="end"/>
    </w:r>
  </w:p>
  <w:p w:rsidR="00F661A2" w:rsidRDefault="00F661A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1A2" w:rsidRDefault="00F661A2" w:rsidP="00B416AF">
    <w:pPr>
      <w:pStyle w:val="a9"/>
      <w:framePr w:wrap="around" w:vAnchor="text" w:hAnchor="text" w:xAlign="center" w:y="1"/>
      <w:rPr>
        <w:rStyle w:val="af0"/>
        <w:rFonts w:cs="Hadasa Roso SL"/>
      </w:rPr>
    </w:pPr>
    <w:r>
      <w:rPr>
        <w:rStyle w:val="af0"/>
        <w:rFonts w:cs="Hadasa Roso SL"/>
      </w:rPr>
      <w:fldChar w:fldCharType="begin"/>
    </w:r>
    <w:r>
      <w:rPr>
        <w:rStyle w:val="af0"/>
        <w:rFonts w:cs="Hadasa Roso SL"/>
      </w:rPr>
      <w:instrText xml:space="preserve">PAGE  </w:instrText>
    </w:r>
    <w:r>
      <w:rPr>
        <w:rStyle w:val="af0"/>
        <w:rFonts w:cs="Hadasa Roso SL"/>
      </w:rPr>
      <w:fldChar w:fldCharType="separate"/>
    </w:r>
    <w:r w:rsidR="002373F5">
      <w:rPr>
        <w:rStyle w:val="af0"/>
        <w:noProof/>
        <w:rtl/>
      </w:rPr>
      <w:t>12</w:t>
    </w:r>
    <w:r>
      <w:rPr>
        <w:rStyle w:val="af0"/>
        <w:rFonts w:cs="Hadasa Roso SL"/>
      </w:rPr>
      <w:fldChar w:fldCharType="end"/>
    </w:r>
  </w:p>
  <w:p w:rsidR="00F661A2" w:rsidRDefault="00F661A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C2" w:rsidRDefault="00703BC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1A2" w:rsidRDefault="00F661A2" w:rsidP="00696C5E">
      <w:pPr>
        <w:pStyle w:val="HeadHatzaotHok"/>
        <w:spacing w:before="0"/>
        <w:ind w:firstLine="0"/>
        <w:jc w:val="left"/>
      </w:pPr>
      <w:r>
        <w:separator/>
      </w:r>
    </w:p>
  </w:footnote>
  <w:footnote w:type="continuationSeparator" w:id="0">
    <w:p w:rsidR="00F661A2" w:rsidRPr="00696C5E" w:rsidRDefault="00F661A2" w:rsidP="00696C5E">
      <w:pPr>
        <w:pStyle w:val="HeadHatzaotHok"/>
        <w:spacing w:before="0"/>
        <w:ind w:firstLine="0"/>
        <w:jc w:val="left"/>
      </w:pPr>
      <w:r>
        <w:separator/>
      </w:r>
    </w:p>
  </w:footnote>
  <w:footnote w:id="1">
    <w:p w:rsidR="00000000" w:rsidRDefault="00F661A2" w:rsidP="00747E33">
      <w:pPr>
        <w:pStyle w:val="ac"/>
        <w:spacing w:before="0"/>
      </w:pPr>
      <w:r w:rsidRPr="00747E33">
        <w:rPr>
          <w:rStyle w:val="ab"/>
          <w:rFonts w:cs="David"/>
        </w:rPr>
        <w:t>*</w:t>
      </w:r>
      <w:r w:rsidRPr="00747E33">
        <w:rPr>
          <w:rtl/>
        </w:rPr>
        <w:t xml:space="preserve"> התקבל בכנסת ביום </w:t>
      </w:r>
      <w:r w:rsidR="00747E33" w:rsidRPr="00747E33">
        <w:rPr>
          <w:rtl/>
        </w:rPr>
        <w:t>כ"ט באדר התש"ע</w:t>
      </w:r>
      <w:r w:rsidRPr="00747E33">
        <w:rPr>
          <w:rtl/>
        </w:rPr>
        <w:t xml:space="preserve"> (</w:t>
      </w:r>
      <w:r w:rsidR="00747E33" w:rsidRPr="00747E33">
        <w:rPr>
          <w:rtl/>
        </w:rPr>
        <w:t>15 במרס 2010</w:t>
      </w:r>
      <w:r w:rsidRPr="00747E33">
        <w:rPr>
          <w:rtl/>
        </w:rPr>
        <w:t>); הצעת החוק ודברי הסבר פורסמו בהצעות חוק הממשלה</w:t>
      </w:r>
      <w:r>
        <w:rPr>
          <w:rtl/>
        </w:rPr>
        <w:t xml:space="preserve"> –</w:t>
      </w:r>
      <w:r w:rsidR="00747E33">
        <w:rPr>
          <w:rtl/>
        </w:rPr>
        <w:t xml:space="preserve"> 445</w:t>
      </w:r>
      <w:r>
        <w:rPr>
          <w:rtl/>
        </w:rPr>
        <w:t xml:space="preserve">, מיום </w:t>
      </w:r>
      <w:r w:rsidR="00747E33">
        <w:rPr>
          <w:rtl/>
        </w:rPr>
        <w:t>כ"ח בתמוז התשס"ט</w:t>
      </w:r>
      <w:r>
        <w:rPr>
          <w:rtl/>
        </w:rPr>
        <w:t xml:space="preserve"> (</w:t>
      </w:r>
      <w:r w:rsidR="00747E33">
        <w:rPr>
          <w:rtl/>
        </w:rPr>
        <w:t>20 ביולי 2009), עמ' 748</w:t>
      </w:r>
      <w:r>
        <w:rPr>
          <w:rtl/>
        </w:rPr>
        <w:t>.</w:t>
      </w:r>
    </w:p>
  </w:footnote>
  <w:footnote w:id="2">
    <w:p w:rsidR="00000000" w:rsidRDefault="00F661A2" w:rsidP="00E03BC5">
      <w:pPr>
        <w:pStyle w:val="ac"/>
        <w:spacing w:before="0"/>
      </w:pPr>
      <w:r>
        <w:rPr>
          <w:rStyle w:val="ab"/>
          <w:rFonts w:cs="David"/>
        </w:rPr>
        <w:footnoteRef/>
      </w:r>
      <w:r>
        <w:rPr>
          <w:rtl/>
        </w:rPr>
        <w:t xml:space="preserve"> ק"ת התשמ"ד, עמ' 2220.</w:t>
      </w:r>
    </w:p>
  </w:footnote>
  <w:footnote w:id="3">
    <w:p w:rsidR="00000000" w:rsidRDefault="00F661A2" w:rsidP="00E03BC5">
      <w:pPr>
        <w:pStyle w:val="ac"/>
        <w:spacing w:before="0"/>
      </w:pPr>
      <w:r>
        <w:rPr>
          <w:rStyle w:val="ab"/>
          <w:rFonts w:cs="David"/>
        </w:rPr>
        <w:footnoteRef/>
      </w:r>
      <w:r>
        <w:rPr>
          <w:rtl/>
        </w:rPr>
        <w:t xml:space="preserve"> ס"ח התשט"ו, עמ' 68.</w:t>
      </w:r>
    </w:p>
  </w:footnote>
  <w:footnote w:id="4">
    <w:p w:rsidR="00000000" w:rsidRDefault="00F661A2" w:rsidP="00E03BC5">
      <w:pPr>
        <w:pStyle w:val="ac"/>
        <w:spacing w:before="0"/>
      </w:pPr>
      <w:r>
        <w:rPr>
          <w:rStyle w:val="ab"/>
          <w:rFonts w:cs="David"/>
        </w:rPr>
        <w:footnoteRef/>
      </w:r>
      <w:r>
        <w:rPr>
          <w:rtl/>
        </w:rPr>
        <w:t xml:space="preserve"> ס"ח התשכ"ג, עמ' 20.</w:t>
      </w:r>
    </w:p>
  </w:footnote>
  <w:footnote w:id="5">
    <w:p w:rsidR="00000000" w:rsidRDefault="00F661A2" w:rsidP="00E03BC5">
      <w:pPr>
        <w:pStyle w:val="ac"/>
        <w:spacing w:before="0"/>
      </w:pPr>
      <w:r>
        <w:rPr>
          <w:rStyle w:val="ab"/>
          <w:rFonts w:cs="David"/>
        </w:rPr>
        <w:footnoteRef/>
      </w:r>
      <w:r>
        <w:rPr>
          <w:rtl/>
        </w:rPr>
        <w:t xml:space="preserve"> ס"ח התשכ"א, עמ' 118.</w:t>
      </w:r>
    </w:p>
  </w:footnote>
  <w:footnote w:id="6">
    <w:p w:rsidR="00000000" w:rsidRDefault="00F661A2" w:rsidP="00E03BC5">
      <w:pPr>
        <w:pStyle w:val="ac"/>
        <w:spacing w:before="0"/>
      </w:pPr>
      <w:r>
        <w:rPr>
          <w:rStyle w:val="ab"/>
          <w:rFonts w:cs="David"/>
        </w:rPr>
        <w:footnoteRef/>
      </w:r>
      <w:r>
        <w:rPr>
          <w:rtl/>
        </w:rPr>
        <w:t xml:space="preserve"> ס"ח התשכ"ה, עמ' 270.</w:t>
      </w:r>
    </w:p>
  </w:footnote>
  <w:footnote w:id="7">
    <w:p w:rsidR="00000000" w:rsidRDefault="00F661A2" w:rsidP="00E03BC5">
      <w:pPr>
        <w:pStyle w:val="ac"/>
        <w:spacing w:before="0"/>
      </w:pPr>
      <w:r>
        <w:rPr>
          <w:rStyle w:val="ab"/>
          <w:rFonts w:cs="David"/>
        </w:rPr>
        <w:footnoteRef/>
      </w:r>
      <w:r>
        <w:rPr>
          <w:rtl/>
        </w:rPr>
        <w:t xml:space="preserve"> חוקי א"י, כרך ג', עמ' (ע) 2738, (א) 2569. </w:t>
      </w:r>
    </w:p>
  </w:footnote>
  <w:footnote w:id="8">
    <w:p w:rsidR="00000000" w:rsidRDefault="00F661A2" w:rsidP="00E03BC5">
      <w:pPr>
        <w:pStyle w:val="ac"/>
        <w:spacing w:before="0"/>
      </w:pPr>
      <w:r>
        <w:rPr>
          <w:rStyle w:val="ab"/>
          <w:rFonts w:cs="David"/>
        </w:rPr>
        <w:footnoteRef/>
      </w:r>
      <w:r>
        <w:rPr>
          <w:rtl/>
        </w:rPr>
        <w:t xml:space="preserve"> חוקי א"י, כרך ב', עמ' (ע) 876, (א) 903.</w:t>
      </w:r>
    </w:p>
  </w:footnote>
  <w:footnote w:id="9">
    <w:p w:rsidR="00000000" w:rsidRDefault="00F661A2" w:rsidP="00E03BC5">
      <w:pPr>
        <w:pStyle w:val="ac"/>
        <w:spacing w:before="0"/>
      </w:pPr>
      <w:r>
        <w:rPr>
          <w:rStyle w:val="ab"/>
          <w:rFonts w:cs="David"/>
        </w:rPr>
        <w:footnoteRef/>
      </w:r>
      <w:r>
        <w:rPr>
          <w:rtl/>
        </w:rPr>
        <w:t xml:space="preserve"> ס"ח התש"י, עמ' 159.</w:t>
      </w:r>
    </w:p>
  </w:footnote>
  <w:footnote w:id="10">
    <w:p w:rsidR="00000000" w:rsidRDefault="00F661A2" w:rsidP="00E03BC5">
      <w:pPr>
        <w:pStyle w:val="ac"/>
        <w:spacing w:before="0"/>
      </w:pPr>
      <w:r>
        <w:rPr>
          <w:rStyle w:val="ab"/>
          <w:rFonts w:cs="David"/>
        </w:rPr>
        <w:footnoteRef/>
      </w:r>
      <w:r>
        <w:rPr>
          <w:rtl/>
        </w:rPr>
        <w:t xml:space="preserve"> ס"ח התשי"ב, עמ' 354.</w:t>
      </w:r>
    </w:p>
  </w:footnote>
  <w:footnote w:id="11">
    <w:p w:rsidR="00000000" w:rsidRDefault="00F661A2" w:rsidP="00E03BC5">
      <w:pPr>
        <w:pStyle w:val="ac"/>
        <w:spacing w:before="0"/>
      </w:pPr>
      <w:r>
        <w:rPr>
          <w:rStyle w:val="ab"/>
          <w:rFonts w:cs="David"/>
        </w:rPr>
        <w:footnoteRef/>
      </w:r>
      <w:r>
        <w:rPr>
          <w:rtl/>
        </w:rPr>
        <w:t xml:space="preserve"> ס"ח התשכ"ט, עמ' 28.</w:t>
      </w:r>
    </w:p>
  </w:footnote>
  <w:footnote w:id="12">
    <w:p w:rsidR="00000000" w:rsidRDefault="00F661A2" w:rsidP="00E03BC5">
      <w:pPr>
        <w:pStyle w:val="ac"/>
        <w:spacing w:before="0"/>
      </w:pPr>
      <w:r>
        <w:rPr>
          <w:rStyle w:val="ab"/>
          <w:rFonts w:cs="David"/>
        </w:rPr>
        <w:footnoteRef/>
      </w:r>
      <w:r>
        <w:rPr>
          <w:rtl/>
        </w:rPr>
        <w:t xml:space="preserve"> ס"ח התשל"ג, עמ' 267.</w:t>
      </w:r>
    </w:p>
  </w:footnote>
  <w:footnote w:id="13">
    <w:p w:rsidR="00000000" w:rsidRDefault="00F661A2" w:rsidP="00E03BC5">
      <w:pPr>
        <w:pStyle w:val="ac"/>
        <w:spacing w:before="0"/>
      </w:pPr>
      <w:r>
        <w:rPr>
          <w:rStyle w:val="ab"/>
          <w:rFonts w:cs="David"/>
        </w:rPr>
        <w:footnoteRef/>
      </w:r>
      <w:r>
        <w:rPr>
          <w:rtl/>
        </w:rPr>
        <w:t xml:space="preserve"> ס"ח התשי"ב, עמ' 146.</w:t>
      </w:r>
    </w:p>
  </w:footnote>
  <w:footnote w:id="14">
    <w:p w:rsidR="00000000" w:rsidRDefault="00F661A2" w:rsidP="00E03BC5">
      <w:pPr>
        <w:pStyle w:val="ac"/>
        <w:spacing w:before="0"/>
      </w:pPr>
      <w:r>
        <w:rPr>
          <w:rStyle w:val="ab"/>
          <w:rFonts w:cs="David"/>
        </w:rPr>
        <w:footnoteRef/>
      </w:r>
      <w:r>
        <w:rPr>
          <w:rtl/>
        </w:rPr>
        <w:t xml:space="preserve"> ס"ח התשכ"ה עמ' 270; התש"ע, עמ' 269.</w:t>
      </w:r>
    </w:p>
  </w:footnote>
  <w:footnote w:id="15">
    <w:p w:rsidR="00000000" w:rsidRDefault="00F661A2" w:rsidP="00E03BC5">
      <w:pPr>
        <w:pStyle w:val="ac"/>
        <w:spacing w:before="0"/>
      </w:pPr>
      <w:r>
        <w:rPr>
          <w:rStyle w:val="ab"/>
          <w:rFonts w:cs="David"/>
        </w:rPr>
        <w:footnoteRef/>
      </w:r>
      <w:r>
        <w:rPr>
          <w:rtl/>
        </w:rPr>
        <w:t xml:space="preserve"> ס"ח התש"ע ,עמ' ...</w:t>
      </w:r>
    </w:p>
  </w:footnote>
  <w:footnote w:id="16">
    <w:p w:rsidR="00000000" w:rsidRDefault="00F661A2" w:rsidP="00E03BC5">
      <w:pPr>
        <w:pStyle w:val="ac"/>
        <w:spacing w:before="0"/>
      </w:pPr>
      <w:r>
        <w:rPr>
          <w:rStyle w:val="ab"/>
          <w:rFonts w:cs="David"/>
        </w:rPr>
        <w:footnoteRef/>
      </w:r>
      <w:r>
        <w:rPr>
          <w:rtl/>
        </w:rPr>
        <w:t xml:space="preserve"> ס"ח התשמ"א, עמ' 293.</w:t>
      </w:r>
    </w:p>
  </w:footnote>
  <w:footnote w:id="17">
    <w:p w:rsidR="00000000" w:rsidRDefault="00F661A2" w:rsidP="00E03BC5">
      <w:pPr>
        <w:pStyle w:val="ac"/>
        <w:spacing w:before="0"/>
      </w:pPr>
      <w:r>
        <w:rPr>
          <w:rStyle w:val="ab"/>
          <w:rFonts w:cs="David"/>
        </w:rPr>
        <w:footnoteRef/>
      </w:r>
      <w:r>
        <w:rPr>
          <w:rtl/>
        </w:rPr>
        <w:t xml:space="preserve"> ס"ח התשנ"ו, עמ' 176.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1A2" w:rsidRDefault="00F661A2">
    <w:pPr>
      <w:pStyle w:val="ae"/>
      <w:framePr w:wrap="around" w:vAnchor="text" w:hAnchor="margin" w:xAlign="center" w:y="1"/>
      <w:rPr>
        <w:rStyle w:val="af0"/>
        <w:rFonts w:cs="Hadasa Roso SL"/>
        <w:rtl/>
      </w:rPr>
    </w:pPr>
    <w:r>
      <w:rPr>
        <w:rStyle w:val="af0"/>
        <w:rFonts w:cs="Hadasa Roso SL"/>
      </w:rPr>
      <w:fldChar w:fldCharType="begin"/>
    </w:r>
    <w:r>
      <w:rPr>
        <w:rStyle w:val="af0"/>
        <w:rFonts w:cs="Hadasa Roso SL"/>
      </w:rPr>
      <w:instrText xml:space="preserve">PAGE  </w:instrText>
    </w:r>
    <w:r>
      <w:rPr>
        <w:rStyle w:val="af0"/>
        <w:rFonts w:cs="Hadasa Roso SL"/>
      </w:rPr>
      <w:fldChar w:fldCharType="end"/>
    </w:r>
  </w:p>
  <w:p w:rsidR="00F661A2" w:rsidRDefault="00F661A2">
    <w:pPr>
      <w:pStyle w:val="ae"/>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1A2" w:rsidRDefault="00F661A2">
    <w:pPr>
      <w:pStyle w:val="ae"/>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C2" w:rsidRDefault="00703BC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2957"/>
    <w:multiLevelType w:val="multilevel"/>
    <w:tmpl w:val="D20A7DD6"/>
    <w:lvl w:ilvl="0">
      <w:start w:val="1"/>
      <w:numFmt w:val="decimal"/>
      <w:lvlRestart w:val="0"/>
      <w:suff w:val="nothing"/>
      <w:lvlText w:val=".%1"/>
      <w:lvlJc w:val="left"/>
      <w:rPr>
        <w:rFonts w:cs="Times New Roman" w:hint="default"/>
      </w:rPr>
    </w:lvl>
    <w:lvl w:ilvl="1">
      <w:start w:val="1"/>
      <w:numFmt w:val="hebrew2"/>
      <w:lvlText w:val="(%2)"/>
      <w:lvlJc w:val="left"/>
      <w:pPr>
        <w:tabs>
          <w:tab w:val="num" w:pos="0"/>
        </w:tabs>
      </w:pPr>
      <w:rPr>
        <w:rFonts w:cs="Times New Roman" w:hint="default"/>
        <w:sz w:val="2"/>
        <w:szCs w:val="20"/>
      </w:rPr>
    </w:lvl>
    <w:lvl w:ilvl="2">
      <w:start w:val="1"/>
      <w:numFmt w:val="decimal"/>
      <w:lvlText w:val="(%3)"/>
      <w:lvlJc w:val="left"/>
      <w:pPr>
        <w:tabs>
          <w:tab w:val="num" w:pos="624"/>
        </w:tabs>
      </w:pPr>
      <w:rPr>
        <w:rFonts w:cs="Times New Roman" w:hint="default"/>
      </w:rPr>
    </w:lvl>
    <w:lvl w:ilvl="3">
      <w:start w:val="1"/>
      <w:numFmt w:val="hebrew1"/>
      <w:lvlText w:val="(%4)"/>
      <w:lvlJc w:val="left"/>
      <w:pPr>
        <w:tabs>
          <w:tab w:val="num" w:pos="624"/>
        </w:tabs>
      </w:pPr>
      <w:rPr>
        <w:rFonts w:cs="Times New Roman" w:hint="default"/>
        <w:sz w:val="2"/>
        <w:szCs w:val="20"/>
      </w:rPr>
    </w:lvl>
    <w:lvl w:ilvl="4">
      <w:start w:val="1"/>
      <w:numFmt w:val="decimal"/>
      <w:lvlText w:val="(%5)"/>
      <w:lvlJc w:val="left"/>
      <w:pPr>
        <w:tabs>
          <w:tab w:val="num" w:pos="624"/>
        </w:tabs>
      </w:pPr>
      <w:rPr>
        <w:rFonts w:cs="Times New Roman" w:hint="default"/>
      </w:rPr>
    </w:lvl>
    <w:lvl w:ilvl="5">
      <w:start w:val="1"/>
      <w:numFmt w:val="hebrew1"/>
      <w:lvlText w:val="(%6)"/>
      <w:lvlJc w:val="left"/>
      <w:pPr>
        <w:tabs>
          <w:tab w:val="num" w:pos="0"/>
        </w:tabs>
      </w:pPr>
      <w:rPr>
        <w:rFonts w:cs="Times New Roman" w:hint="default"/>
        <w:sz w:val="2"/>
        <w:szCs w:val="20"/>
      </w:rPr>
    </w:lvl>
    <w:lvl w:ilvl="6">
      <w:start w:val="1"/>
      <w:numFmt w:val="decimal"/>
      <w:lvlRestart w:val="0"/>
      <w:lvlText w:val="(%7)"/>
      <w:lvlJc w:val="left"/>
      <w:pPr>
        <w:tabs>
          <w:tab w:val="num" w:pos="0"/>
        </w:tabs>
      </w:pPr>
      <w:rPr>
        <w:rFonts w:cs="Times New Roman" w:hint="default"/>
      </w:rPr>
    </w:lvl>
    <w:lvl w:ilvl="7">
      <w:start w:val="1"/>
      <w:numFmt w:val="bullet"/>
      <w:lvlRestart w:val="0"/>
      <w:suff w:val="nothing"/>
      <w:lvlText w:val=""/>
      <w:lvlJc w:val="left"/>
      <w:rPr>
        <w:rFonts w:hint="default"/>
      </w:rPr>
    </w:lvl>
    <w:lvl w:ilvl="8">
      <w:start w:val="1"/>
      <w:numFmt w:val="none"/>
      <w:lvlRestart w:val="0"/>
      <w:suff w:val="nothing"/>
      <w:lvlText w:val=""/>
      <w:lvlJc w:val="left"/>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43"/>
    <w:rsid w:val="00022EBF"/>
    <w:rsid w:val="0002643E"/>
    <w:rsid w:val="0002757A"/>
    <w:rsid w:val="00027E2D"/>
    <w:rsid w:val="00033033"/>
    <w:rsid w:val="00047882"/>
    <w:rsid w:val="00077AF1"/>
    <w:rsid w:val="00094334"/>
    <w:rsid w:val="00097925"/>
    <w:rsid w:val="000D0D0F"/>
    <w:rsid w:val="000E3B18"/>
    <w:rsid w:val="000E4563"/>
    <w:rsid w:val="000E7E08"/>
    <w:rsid w:val="000F586D"/>
    <w:rsid w:val="000F6D7C"/>
    <w:rsid w:val="001253F6"/>
    <w:rsid w:val="00135743"/>
    <w:rsid w:val="001C4A6C"/>
    <w:rsid w:val="002000B0"/>
    <w:rsid w:val="00205DFF"/>
    <w:rsid w:val="0020793A"/>
    <w:rsid w:val="00222DA1"/>
    <w:rsid w:val="002373F5"/>
    <w:rsid w:val="00280B87"/>
    <w:rsid w:val="002C4285"/>
    <w:rsid w:val="002E1F11"/>
    <w:rsid w:val="002E6458"/>
    <w:rsid w:val="00331786"/>
    <w:rsid w:val="0034385F"/>
    <w:rsid w:val="00352E82"/>
    <w:rsid w:val="0037436C"/>
    <w:rsid w:val="0037452B"/>
    <w:rsid w:val="003948C0"/>
    <w:rsid w:val="003B4BC6"/>
    <w:rsid w:val="003C03C8"/>
    <w:rsid w:val="003C1215"/>
    <w:rsid w:val="003D27C5"/>
    <w:rsid w:val="003D58F4"/>
    <w:rsid w:val="004239B4"/>
    <w:rsid w:val="004265E2"/>
    <w:rsid w:val="00443D7D"/>
    <w:rsid w:val="004B1418"/>
    <w:rsid w:val="004B1FDD"/>
    <w:rsid w:val="004C68A2"/>
    <w:rsid w:val="004D7542"/>
    <w:rsid w:val="004E5E15"/>
    <w:rsid w:val="00515985"/>
    <w:rsid w:val="0052521E"/>
    <w:rsid w:val="005527D3"/>
    <w:rsid w:val="005652C2"/>
    <w:rsid w:val="0057628C"/>
    <w:rsid w:val="005A2EB8"/>
    <w:rsid w:val="005B6107"/>
    <w:rsid w:val="005D1A36"/>
    <w:rsid w:val="005F20ED"/>
    <w:rsid w:val="00606368"/>
    <w:rsid w:val="00696C5E"/>
    <w:rsid w:val="006B4B3F"/>
    <w:rsid w:val="006C2108"/>
    <w:rsid w:val="006D0910"/>
    <w:rsid w:val="006F219C"/>
    <w:rsid w:val="00703BC2"/>
    <w:rsid w:val="00732EFC"/>
    <w:rsid w:val="007428E7"/>
    <w:rsid w:val="00747E33"/>
    <w:rsid w:val="00765153"/>
    <w:rsid w:val="00787D9C"/>
    <w:rsid w:val="007C2914"/>
    <w:rsid w:val="007C4213"/>
    <w:rsid w:val="007E362D"/>
    <w:rsid w:val="00854E28"/>
    <w:rsid w:val="00855A92"/>
    <w:rsid w:val="008836D8"/>
    <w:rsid w:val="00885A35"/>
    <w:rsid w:val="00890350"/>
    <w:rsid w:val="008A5C70"/>
    <w:rsid w:val="009579F7"/>
    <w:rsid w:val="009B1679"/>
    <w:rsid w:val="009C37CC"/>
    <w:rsid w:val="009C7FC7"/>
    <w:rsid w:val="009E19BF"/>
    <w:rsid w:val="009F0EF8"/>
    <w:rsid w:val="00A15945"/>
    <w:rsid w:val="00A54DE5"/>
    <w:rsid w:val="00A9474C"/>
    <w:rsid w:val="00AA5399"/>
    <w:rsid w:val="00AC4CCE"/>
    <w:rsid w:val="00B16515"/>
    <w:rsid w:val="00B416AF"/>
    <w:rsid w:val="00B4412A"/>
    <w:rsid w:val="00BA09A3"/>
    <w:rsid w:val="00BA2FCA"/>
    <w:rsid w:val="00BD0880"/>
    <w:rsid w:val="00C0211F"/>
    <w:rsid w:val="00C35CC5"/>
    <w:rsid w:val="00C61EBB"/>
    <w:rsid w:val="00C63E8C"/>
    <w:rsid w:val="00C72DFC"/>
    <w:rsid w:val="00CA7AA2"/>
    <w:rsid w:val="00CA7D8A"/>
    <w:rsid w:val="00CA7E27"/>
    <w:rsid w:val="00CC515F"/>
    <w:rsid w:val="00CD1A3B"/>
    <w:rsid w:val="00CD2734"/>
    <w:rsid w:val="00D24673"/>
    <w:rsid w:val="00D4588A"/>
    <w:rsid w:val="00D703DA"/>
    <w:rsid w:val="00D82284"/>
    <w:rsid w:val="00D92FDC"/>
    <w:rsid w:val="00D9552D"/>
    <w:rsid w:val="00DA7B0E"/>
    <w:rsid w:val="00DC44A6"/>
    <w:rsid w:val="00DF5CB6"/>
    <w:rsid w:val="00E03BC5"/>
    <w:rsid w:val="00E125CC"/>
    <w:rsid w:val="00E36A7E"/>
    <w:rsid w:val="00E449A1"/>
    <w:rsid w:val="00E61062"/>
    <w:rsid w:val="00E62457"/>
    <w:rsid w:val="00EC7E05"/>
    <w:rsid w:val="00EE492B"/>
    <w:rsid w:val="00F05158"/>
    <w:rsid w:val="00F661A2"/>
    <w:rsid w:val="00F93ADC"/>
    <w:rsid w:val="00FF0DFF"/>
    <w:rsid w:val="00FF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6AF"/>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1">
    <w:name w:val="heading 1"/>
    <w:basedOn w:val="a"/>
    <w:next w:val="a"/>
    <w:link w:val="10"/>
    <w:uiPriority w:val="99"/>
    <w:qFormat/>
    <w:rsid w:val="009579F7"/>
    <w:pPr>
      <w:keepNext/>
      <w:jc w:val="center"/>
      <w:outlineLvl w:val="0"/>
    </w:pPr>
    <w:rPr>
      <w:rFonts w:cs="David"/>
      <w:b/>
      <w:bCs/>
      <w:sz w:val="28"/>
      <w:szCs w:val="28"/>
      <w:u w:val="single"/>
    </w:rPr>
  </w:style>
  <w:style w:type="paragraph" w:styleId="2">
    <w:name w:val="heading 2"/>
    <w:basedOn w:val="a"/>
    <w:next w:val="a"/>
    <w:link w:val="20"/>
    <w:uiPriority w:val="99"/>
    <w:qFormat/>
    <w:rsid w:val="009579F7"/>
    <w:pPr>
      <w:keepNext/>
      <w:jc w:val="center"/>
      <w:outlineLvl w:val="1"/>
    </w:pPr>
    <w:rPr>
      <w:rFonts w:cs="David"/>
      <w:b/>
      <w:bCs/>
      <w:sz w:val="26"/>
      <w:szCs w:val="26"/>
    </w:rPr>
  </w:style>
  <w:style w:type="character" w:default="1" w:styleId="a0">
    <w:name w:val="Default Paragraph Font"/>
    <w:uiPriority w:val="99"/>
    <w:semiHidden/>
    <w:rsid w:val="009579F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heme="majorHAnsi" w:eastAsiaTheme="majorEastAsia" w:hAnsiTheme="majorHAnsi" w:cstheme="majorBidi"/>
      <w:b/>
      <w:bCs/>
      <w:color w:val="000000"/>
      <w:spacing w:val="1"/>
      <w:kern w:val="32"/>
      <w:sz w:val="32"/>
      <w:szCs w:val="32"/>
      <w:lang w:eastAsia="ja-JP"/>
    </w:rPr>
  </w:style>
  <w:style w:type="character" w:customStyle="1" w:styleId="20">
    <w:name w:val="כותרת 2 תו"/>
    <w:basedOn w:val="a0"/>
    <w:link w:val="2"/>
    <w:uiPriority w:val="9"/>
    <w:semiHidden/>
    <w:rPr>
      <w:rFonts w:asciiTheme="majorHAnsi" w:eastAsiaTheme="majorEastAsia" w:hAnsiTheme="majorHAnsi" w:cstheme="majorBidi"/>
      <w:b/>
      <w:bCs/>
      <w:i/>
      <w:iCs/>
      <w:color w:val="000000"/>
      <w:spacing w:val="1"/>
      <w:sz w:val="28"/>
      <w:szCs w:val="28"/>
      <w:lang w:eastAsia="ja-JP"/>
    </w:rPr>
  </w:style>
  <w:style w:type="character" w:styleId="a3">
    <w:name w:val="annotation reference"/>
    <w:basedOn w:val="a0"/>
    <w:uiPriority w:val="99"/>
    <w:semiHidden/>
    <w:rsid w:val="009579F7"/>
    <w:rPr>
      <w:rFonts w:cs="Times New Roman"/>
      <w:sz w:val="16"/>
      <w:szCs w:val="16"/>
    </w:rPr>
  </w:style>
  <w:style w:type="paragraph" w:styleId="a4">
    <w:name w:val="annotation text"/>
    <w:basedOn w:val="a"/>
    <w:link w:val="a5"/>
    <w:uiPriority w:val="99"/>
    <w:semiHidden/>
    <w:rsid w:val="009579F7"/>
    <w:rPr>
      <w:sz w:val="20"/>
      <w:szCs w:val="20"/>
    </w:rPr>
  </w:style>
  <w:style w:type="character" w:customStyle="1" w:styleId="a5">
    <w:name w:val="טקסט הערה תו"/>
    <w:basedOn w:val="a0"/>
    <w:link w:val="a4"/>
    <w:uiPriority w:val="99"/>
    <w:semiHidden/>
    <w:rPr>
      <w:rFonts w:ascii="Hadasa Roso SL" w:eastAsia="MS Mincho" w:hAnsi="Hadasa Roso SL" w:cs="Hadasa Roso SL"/>
      <w:color w:val="000000"/>
      <w:spacing w:val="1"/>
      <w:sz w:val="20"/>
      <w:szCs w:val="20"/>
      <w:lang w:eastAsia="ja-JP"/>
    </w:rPr>
  </w:style>
  <w:style w:type="paragraph" w:customStyle="1" w:styleId="Cover1-Reshumot">
    <w:name w:val="Cover 1-Reshumot"/>
    <w:basedOn w:val="a"/>
    <w:uiPriority w:val="99"/>
    <w:rsid w:val="009579F7"/>
    <w:pPr>
      <w:tabs>
        <w:tab w:val="left" w:pos="1191"/>
        <w:tab w:val="left" w:pos="1587"/>
      </w:tabs>
      <w:snapToGrid w:val="0"/>
      <w:spacing w:before="240" w:after="240" w:line="480" w:lineRule="auto"/>
      <w:jc w:val="center"/>
    </w:pPr>
    <w:rPr>
      <w:rFonts w:ascii="Arial" w:eastAsia="Times New Roman" w:hAnsi="Arial" w:cs="David"/>
      <w:sz w:val="20"/>
      <w:szCs w:val="26"/>
    </w:rPr>
  </w:style>
  <w:style w:type="paragraph" w:customStyle="1" w:styleId="Cover2-HatzaotHok">
    <w:name w:val="Cover 2-HatzaotHok"/>
    <w:basedOn w:val="Cover1-Reshumot"/>
    <w:uiPriority w:val="99"/>
    <w:rsid w:val="009579F7"/>
    <w:rPr>
      <w:sz w:val="36"/>
      <w:szCs w:val="52"/>
    </w:rPr>
  </w:style>
  <w:style w:type="paragraph" w:customStyle="1" w:styleId="Cover3-Haknesset">
    <w:name w:val="Cover 3-Haknesset"/>
    <w:basedOn w:val="Cover1-Reshumot"/>
    <w:uiPriority w:val="99"/>
    <w:rsid w:val="009579F7"/>
    <w:rPr>
      <w:b/>
      <w:bCs/>
      <w:spacing w:val="60"/>
    </w:rPr>
  </w:style>
  <w:style w:type="paragraph" w:customStyle="1" w:styleId="Cover4-Date">
    <w:name w:val="Cover 4-Date"/>
    <w:basedOn w:val="a"/>
    <w:uiPriority w:val="99"/>
    <w:rsid w:val="009579F7"/>
    <w:pPr>
      <w:pBdr>
        <w:bottom w:val="single" w:sz="4" w:space="0" w:color="auto"/>
      </w:pBdr>
      <w:tabs>
        <w:tab w:val="center" w:pos="4820"/>
        <w:tab w:val="right" w:pos="9639"/>
      </w:tabs>
      <w:snapToGrid w:val="0"/>
      <w:spacing w:before="240" w:after="240" w:line="360" w:lineRule="auto"/>
    </w:pPr>
    <w:rPr>
      <w:rFonts w:ascii="Arial" w:eastAsia="Times New Roman" w:hAnsi="Arial" w:cs="David"/>
      <w:sz w:val="20"/>
      <w:szCs w:val="26"/>
    </w:rPr>
  </w:style>
  <w:style w:type="character" w:styleId="a6">
    <w:name w:val="endnote reference"/>
    <w:basedOn w:val="a0"/>
    <w:uiPriority w:val="99"/>
    <w:semiHidden/>
    <w:rsid w:val="009579F7"/>
    <w:rPr>
      <w:rFonts w:cs="Times New Roman"/>
      <w:vertAlign w:val="superscript"/>
    </w:rPr>
  </w:style>
  <w:style w:type="paragraph" w:customStyle="1" w:styleId="Ragil">
    <w:name w:val="Ragil"/>
    <w:basedOn w:val="a"/>
    <w:uiPriority w:val="99"/>
    <w:rsid w:val="009579F7"/>
    <w:pPr>
      <w:snapToGrid w:val="0"/>
      <w:spacing w:line="360" w:lineRule="auto"/>
    </w:pPr>
    <w:rPr>
      <w:rFonts w:ascii="Arial" w:eastAsia="Times New Roman" w:hAnsi="Arial" w:cs="David"/>
      <w:sz w:val="20"/>
      <w:szCs w:val="26"/>
    </w:rPr>
  </w:style>
  <w:style w:type="paragraph" w:styleId="a7">
    <w:name w:val="endnote text"/>
    <w:basedOn w:val="Ragil"/>
    <w:link w:val="a8"/>
    <w:uiPriority w:val="99"/>
    <w:semiHidden/>
    <w:rsid w:val="009579F7"/>
    <w:pPr>
      <w:ind w:left="227" w:hanging="227"/>
    </w:pPr>
    <w:rPr>
      <w:sz w:val="14"/>
      <w:szCs w:val="22"/>
    </w:rPr>
  </w:style>
  <w:style w:type="character" w:customStyle="1" w:styleId="a8">
    <w:name w:val="טקסט הערת סיום תו"/>
    <w:basedOn w:val="a0"/>
    <w:link w:val="a7"/>
    <w:uiPriority w:val="99"/>
    <w:semiHidden/>
    <w:rPr>
      <w:rFonts w:ascii="Hadasa Roso SL" w:eastAsia="MS Mincho" w:hAnsi="Hadasa Roso SL" w:cs="Hadasa Roso SL"/>
      <w:color w:val="000000"/>
      <w:spacing w:val="1"/>
      <w:sz w:val="20"/>
      <w:szCs w:val="20"/>
      <w:lang w:eastAsia="ja-JP"/>
    </w:rPr>
  </w:style>
  <w:style w:type="paragraph" w:styleId="a9">
    <w:name w:val="footer"/>
    <w:basedOn w:val="a"/>
    <w:link w:val="aa"/>
    <w:uiPriority w:val="99"/>
    <w:rsid w:val="009579F7"/>
    <w:pPr>
      <w:tabs>
        <w:tab w:val="center" w:pos="4153"/>
        <w:tab w:val="right" w:pos="8306"/>
      </w:tabs>
    </w:pPr>
  </w:style>
  <w:style w:type="character" w:customStyle="1" w:styleId="aa">
    <w:name w:val="כותרת תחתונה תו"/>
    <w:basedOn w:val="a0"/>
    <w:link w:val="a9"/>
    <w:uiPriority w:val="99"/>
    <w:semiHidden/>
    <w:rPr>
      <w:rFonts w:ascii="Hadasa Roso SL" w:eastAsia="MS Mincho" w:hAnsi="Hadasa Roso SL" w:cs="Hadasa Roso SL"/>
      <w:color w:val="000000"/>
      <w:spacing w:val="1"/>
      <w:sz w:val="17"/>
      <w:szCs w:val="17"/>
      <w:lang w:eastAsia="ja-JP"/>
    </w:rPr>
  </w:style>
  <w:style w:type="character" w:styleId="ab">
    <w:name w:val="footnote reference"/>
    <w:basedOn w:val="a0"/>
    <w:uiPriority w:val="99"/>
    <w:semiHidden/>
    <w:rsid w:val="009579F7"/>
    <w:rPr>
      <w:rFonts w:cs="Times New Roman"/>
      <w:vertAlign w:val="superscript"/>
    </w:rPr>
  </w:style>
  <w:style w:type="paragraph" w:styleId="ac">
    <w:name w:val="footnote text"/>
    <w:basedOn w:val="Ragil"/>
    <w:link w:val="ad"/>
    <w:autoRedefine/>
    <w:uiPriority w:val="99"/>
    <w:semiHidden/>
    <w:rsid w:val="009579F7"/>
    <w:pPr>
      <w:spacing w:line="240" w:lineRule="auto"/>
      <w:ind w:left="227" w:hanging="227"/>
    </w:pPr>
    <w:rPr>
      <w:sz w:val="14"/>
      <w:szCs w:val="20"/>
    </w:rPr>
  </w:style>
  <w:style w:type="character" w:customStyle="1" w:styleId="ad">
    <w:name w:val="טקסט הערת שוליים תו"/>
    <w:basedOn w:val="a0"/>
    <w:link w:val="ac"/>
    <w:uiPriority w:val="99"/>
    <w:semiHidden/>
    <w:rPr>
      <w:rFonts w:ascii="Hadasa Roso SL" w:eastAsia="MS Mincho" w:hAnsi="Hadasa Roso SL" w:cs="Hadasa Roso SL"/>
      <w:color w:val="000000"/>
      <w:spacing w:val="1"/>
      <w:sz w:val="20"/>
      <w:szCs w:val="20"/>
      <w:lang w:eastAsia="ja-JP"/>
    </w:rPr>
  </w:style>
  <w:style w:type="paragraph" w:customStyle="1" w:styleId="HeadDivreiHesber">
    <w:name w:val="Head DivreiHesber"/>
    <w:basedOn w:val="Ragil"/>
    <w:uiPriority w:val="99"/>
    <w:rsid w:val="009579F7"/>
    <w:pPr>
      <w:spacing w:before="360" w:after="120"/>
      <w:ind w:firstLine="0"/>
      <w:jc w:val="center"/>
    </w:pPr>
    <w:rPr>
      <w:b/>
      <w:spacing w:val="40"/>
    </w:rPr>
  </w:style>
  <w:style w:type="paragraph" w:customStyle="1" w:styleId="HeadHatzaotHok">
    <w:name w:val="Head HatzaotHok"/>
    <w:basedOn w:val="a"/>
    <w:link w:val="HeadHatzaotHok0"/>
    <w:uiPriority w:val="99"/>
    <w:rsid w:val="009579F7"/>
    <w:pPr>
      <w:keepNext/>
      <w:keepLines/>
      <w:snapToGrid w:val="0"/>
      <w:spacing w:before="240" w:line="360" w:lineRule="auto"/>
      <w:jc w:val="center"/>
    </w:pPr>
    <w:rPr>
      <w:rFonts w:ascii="Arial" w:eastAsia="Times New Roman" w:hAnsi="Arial" w:cs="David"/>
      <w:b/>
      <w:bCs/>
      <w:sz w:val="20"/>
      <w:szCs w:val="26"/>
    </w:rPr>
  </w:style>
  <w:style w:type="paragraph" w:customStyle="1" w:styleId="HeadHatzaotHok4Futer">
    <w:name w:val="Head HatzaotHok4Futer"/>
    <w:basedOn w:val="HeadHatzaotHok"/>
    <w:uiPriority w:val="99"/>
    <w:rsid w:val="009579F7"/>
    <w:pPr>
      <w:spacing w:before="120" w:after="120"/>
    </w:pPr>
    <w:rPr>
      <w:color w:val="FF0000"/>
      <w:w w:val="80"/>
    </w:rPr>
  </w:style>
  <w:style w:type="paragraph" w:customStyle="1" w:styleId="HeadMitparsemetBaze">
    <w:name w:val="Head MitparsemetBaze"/>
    <w:basedOn w:val="a"/>
    <w:uiPriority w:val="99"/>
    <w:rsid w:val="009579F7"/>
    <w:pPr>
      <w:keepNext/>
      <w:keepLines/>
      <w:pageBreakBefore/>
      <w:snapToGrid w:val="0"/>
      <w:spacing w:before="480" w:line="360" w:lineRule="auto"/>
    </w:pPr>
    <w:rPr>
      <w:rFonts w:ascii="Arial" w:eastAsia="Times New Roman" w:hAnsi="Arial" w:cs="David"/>
      <w:b/>
      <w:bCs/>
      <w:sz w:val="20"/>
      <w:szCs w:val="26"/>
    </w:rPr>
  </w:style>
  <w:style w:type="paragraph" w:styleId="ae">
    <w:name w:val="header"/>
    <w:basedOn w:val="a"/>
    <w:link w:val="af"/>
    <w:uiPriority w:val="99"/>
    <w:rsid w:val="009579F7"/>
    <w:pPr>
      <w:tabs>
        <w:tab w:val="center" w:pos="4153"/>
        <w:tab w:val="right" w:pos="8306"/>
      </w:tabs>
    </w:pPr>
  </w:style>
  <w:style w:type="character" w:customStyle="1" w:styleId="af">
    <w:name w:val="כותרת עליונה תו"/>
    <w:basedOn w:val="a0"/>
    <w:link w:val="ae"/>
    <w:uiPriority w:val="99"/>
    <w:semiHidden/>
    <w:rPr>
      <w:rFonts w:ascii="Hadasa Roso SL" w:eastAsia="MS Mincho" w:hAnsi="Hadasa Roso SL" w:cs="Hadasa Roso SL"/>
      <w:color w:val="000000"/>
      <w:spacing w:val="1"/>
      <w:sz w:val="17"/>
      <w:szCs w:val="17"/>
      <w:lang w:eastAsia="ja-JP"/>
    </w:rPr>
  </w:style>
  <w:style w:type="paragraph" w:customStyle="1" w:styleId="Hesber">
    <w:name w:val="Hesber"/>
    <w:basedOn w:val="Ragil"/>
    <w:uiPriority w:val="99"/>
    <w:rsid w:val="009579F7"/>
  </w:style>
  <w:style w:type="paragraph" w:customStyle="1" w:styleId="Hesber1st">
    <w:name w:val="Hesber 1st"/>
    <w:basedOn w:val="Hesber"/>
    <w:uiPriority w:val="99"/>
    <w:rsid w:val="009579F7"/>
    <w:pPr>
      <w:tabs>
        <w:tab w:val="left" w:pos="680"/>
        <w:tab w:val="left" w:pos="1020"/>
      </w:tabs>
      <w:ind w:firstLine="0"/>
    </w:pPr>
  </w:style>
  <w:style w:type="paragraph" w:customStyle="1" w:styleId="HesberHeading">
    <w:name w:val="Hesber Heading"/>
    <w:basedOn w:val="Hesber"/>
    <w:uiPriority w:val="99"/>
    <w:rsid w:val="009579F7"/>
    <w:pPr>
      <w:keepNext/>
      <w:keepLines/>
      <w:spacing w:before="240"/>
      <w:ind w:firstLine="0"/>
    </w:pPr>
    <w:rPr>
      <w:b/>
      <w:bCs/>
    </w:rPr>
  </w:style>
  <w:style w:type="paragraph" w:customStyle="1" w:styleId="HesberWriters">
    <w:name w:val="Hesber Writers"/>
    <w:basedOn w:val="Hesber"/>
    <w:uiPriority w:val="99"/>
    <w:rsid w:val="009579F7"/>
    <w:pPr>
      <w:spacing w:before="120" w:after="6000"/>
      <w:ind w:left="1418" w:firstLine="0"/>
      <w:jc w:val="right"/>
    </w:pPr>
    <w:rPr>
      <w:b/>
      <w:bCs/>
    </w:rPr>
  </w:style>
  <w:style w:type="character" w:styleId="Hyperlink">
    <w:name w:val="Hyperlink"/>
    <w:basedOn w:val="a0"/>
    <w:uiPriority w:val="99"/>
    <w:rsid w:val="009579F7"/>
    <w:rPr>
      <w:rFonts w:cs="Times New Roman"/>
      <w:color w:val="0000FF"/>
      <w:u w:val="single"/>
    </w:rPr>
  </w:style>
  <w:style w:type="character" w:styleId="af0">
    <w:name w:val="page number"/>
    <w:basedOn w:val="a0"/>
    <w:uiPriority w:val="99"/>
    <w:rsid w:val="009579F7"/>
    <w:rPr>
      <w:rFonts w:cs="Times New Roman"/>
    </w:rPr>
  </w:style>
  <w:style w:type="paragraph" w:customStyle="1" w:styleId="TableText">
    <w:name w:val="Table Text"/>
    <w:basedOn w:val="Ragil"/>
    <w:uiPriority w:val="99"/>
    <w:rsid w:val="009579F7"/>
    <w:pPr>
      <w:keepLines/>
      <w:tabs>
        <w:tab w:val="left" w:pos="624"/>
        <w:tab w:val="left" w:pos="1247"/>
      </w:tabs>
      <w:ind w:right="57" w:firstLine="0"/>
    </w:pPr>
  </w:style>
  <w:style w:type="paragraph" w:customStyle="1" w:styleId="TableBlock">
    <w:name w:val="Table Block"/>
    <w:basedOn w:val="TableText"/>
    <w:uiPriority w:val="99"/>
    <w:rsid w:val="009579F7"/>
    <w:pPr>
      <w:ind w:right="0"/>
    </w:pPr>
  </w:style>
  <w:style w:type="paragraph" w:customStyle="1" w:styleId="TableBlockOutdent">
    <w:name w:val="Table BlockOutdent"/>
    <w:basedOn w:val="TableBlock"/>
    <w:uiPriority w:val="99"/>
    <w:rsid w:val="009579F7"/>
    <w:pPr>
      <w:ind w:left="624" w:hanging="624"/>
    </w:pPr>
  </w:style>
  <w:style w:type="table" w:styleId="af1">
    <w:name w:val="Table Grid"/>
    <w:basedOn w:val="a1"/>
    <w:uiPriority w:val="99"/>
    <w:rsid w:val="009579F7"/>
    <w:pPr>
      <w:bidi/>
      <w:spacing w:after="0" w:line="240" w:lineRule="auto"/>
    </w:pPr>
    <w:rPr>
      <w:rFonts w:ascii="Hadasa Roso SL" w:hAnsi="Hadasa Roso S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Text"/>
    <w:uiPriority w:val="99"/>
    <w:rsid w:val="009579F7"/>
    <w:pPr>
      <w:ind w:right="0"/>
      <w:jc w:val="center"/>
    </w:pPr>
    <w:rPr>
      <w:b/>
      <w:bCs/>
    </w:rPr>
  </w:style>
  <w:style w:type="paragraph" w:customStyle="1" w:styleId="TableSideHeading">
    <w:name w:val="Table SideHeading"/>
    <w:basedOn w:val="TableText"/>
    <w:uiPriority w:val="99"/>
    <w:rsid w:val="009579F7"/>
  </w:style>
  <w:style w:type="paragraph" w:customStyle="1" w:styleId="TableInnerSideHeading">
    <w:name w:val="Table InnerSideHeading"/>
    <w:basedOn w:val="TableSideHeading"/>
    <w:uiPriority w:val="99"/>
    <w:rsid w:val="009579F7"/>
  </w:style>
  <w:style w:type="paragraph" w:customStyle="1" w:styleId="TableText2">
    <w:name w:val="Table Text2"/>
    <w:basedOn w:val="TableText"/>
    <w:uiPriority w:val="99"/>
    <w:rsid w:val="009579F7"/>
  </w:style>
  <w:style w:type="paragraph" w:styleId="af2">
    <w:name w:val="Title"/>
    <w:basedOn w:val="a"/>
    <w:link w:val="af3"/>
    <w:uiPriority w:val="99"/>
    <w:qFormat/>
    <w:rsid w:val="009579F7"/>
    <w:pPr>
      <w:jc w:val="center"/>
    </w:pPr>
    <w:rPr>
      <w:rFonts w:cs="David"/>
      <w:b/>
      <w:bCs/>
      <w:sz w:val="28"/>
      <w:szCs w:val="28"/>
      <w:u w:val="single"/>
    </w:rPr>
  </w:style>
  <w:style w:type="character" w:customStyle="1" w:styleId="af3">
    <w:name w:val="כותרת טקסט תו"/>
    <w:basedOn w:val="a0"/>
    <w:link w:val="af2"/>
    <w:uiPriority w:val="10"/>
    <w:rPr>
      <w:rFonts w:asciiTheme="majorHAnsi" w:eastAsiaTheme="majorEastAsia" w:hAnsiTheme="majorHAnsi" w:cstheme="majorBidi"/>
      <w:b/>
      <w:bCs/>
      <w:color w:val="000000"/>
      <w:spacing w:val="1"/>
      <w:kern w:val="28"/>
      <w:sz w:val="32"/>
      <w:szCs w:val="32"/>
      <w:lang w:eastAsia="ja-JP"/>
    </w:rPr>
  </w:style>
  <w:style w:type="paragraph" w:customStyle="1" w:styleId="TOC">
    <w:name w:val="TOC"/>
    <w:basedOn w:val="a"/>
    <w:uiPriority w:val="99"/>
    <w:rsid w:val="009579F7"/>
    <w:pPr>
      <w:tabs>
        <w:tab w:val="left" w:leader="dot" w:pos="8789"/>
      </w:tabs>
      <w:snapToGrid w:val="0"/>
      <w:spacing w:before="120" w:line="360" w:lineRule="auto"/>
      <w:ind w:left="284" w:right="284"/>
    </w:pPr>
    <w:rPr>
      <w:rFonts w:ascii="Arial" w:eastAsia="Times New Roman" w:hAnsi="Arial" w:cs="David"/>
      <w:sz w:val="20"/>
      <w:szCs w:val="26"/>
    </w:rPr>
  </w:style>
  <w:style w:type="paragraph" w:customStyle="1" w:styleId="TOCpg">
    <w:name w:val="TOC pg"/>
    <w:basedOn w:val="TOC"/>
    <w:uiPriority w:val="99"/>
    <w:rsid w:val="009579F7"/>
    <w:pPr>
      <w:spacing w:after="120"/>
      <w:ind w:right="567"/>
      <w:jc w:val="right"/>
    </w:pPr>
  </w:style>
  <w:style w:type="paragraph" w:customStyle="1" w:styleId="Noparagraphstyle">
    <w:name w:val="[No paragraph style]"/>
    <w:uiPriority w:val="99"/>
    <w:rsid w:val="00B416AF"/>
    <w:pPr>
      <w:widowControl w:val="0"/>
      <w:autoSpaceDE w:val="0"/>
      <w:autoSpaceDN w:val="0"/>
      <w:bidi/>
      <w:adjustRightInd w:val="0"/>
      <w:snapToGrid w:val="0"/>
      <w:spacing w:after="0" w:line="360" w:lineRule="auto"/>
      <w:textAlignment w:val="center"/>
    </w:pPr>
    <w:rPr>
      <w:rFonts w:ascii="Arial" w:hAnsi="Arial" w:cs="David"/>
      <w:color w:val="000000"/>
      <w:sz w:val="20"/>
      <w:szCs w:val="26"/>
      <w:lang w:eastAsia="ja-JP"/>
    </w:rPr>
  </w:style>
  <w:style w:type="character" w:customStyle="1" w:styleId="HeadHatzaotHok0">
    <w:name w:val="Head HatzaotHok תו"/>
    <w:basedOn w:val="a0"/>
    <w:link w:val="HeadHatzaotHok"/>
    <w:uiPriority w:val="99"/>
    <w:locked/>
    <w:rsid w:val="00B16515"/>
    <w:rPr>
      <w:rFonts w:ascii="Arial" w:eastAsia="Times New Roman" w:hAnsi="Arial" w:cs="David"/>
      <w:b/>
      <w:bCs/>
      <w:snapToGrid w:val="0"/>
      <w:color w:val="000000"/>
      <w:spacing w:val="1"/>
      <w:sz w:val="26"/>
      <w:szCs w:val="26"/>
      <w:lang w:val="en-US" w:eastAsia="ja-JP"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6AF"/>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1">
    <w:name w:val="heading 1"/>
    <w:basedOn w:val="a"/>
    <w:next w:val="a"/>
    <w:link w:val="10"/>
    <w:uiPriority w:val="99"/>
    <w:qFormat/>
    <w:rsid w:val="009579F7"/>
    <w:pPr>
      <w:keepNext/>
      <w:jc w:val="center"/>
      <w:outlineLvl w:val="0"/>
    </w:pPr>
    <w:rPr>
      <w:rFonts w:cs="David"/>
      <w:b/>
      <w:bCs/>
      <w:sz w:val="28"/>
      <w:szCs w:val="28"/>
      <w:u w:val="single"/>
    </w:rPr>
  </w:style>
  <w:style w:type="paragraph" w:styleId="2">
    <w:name w:val="heading 2"/>
    <w:basedOn w:val="a"/>
    <w:next w:val="a"/>
    <w:link w:val="20"/>
    <w:uiPriority w:val="99"/>
    <w:qFormat/>
    <w:rsid w:val="009579F7"/>
    <w:pPr>
      <w:keepNext/>
      <w:jc w:val="center"/>
      <w:outlineLvl w:val="1"/>
    </w:pPr>
    <w:rPr>
      <w:rFonts w:cs="David"/>
      <w:b/>
      <w:bCs/>
      <w:sz w:val="26"/>
      <w:szCs w:val="26"/>
    </w:rPr>
  </w:style>
  <w:style w:type="character" w:default="1" w:styleId="a0">
    <w:name w:val="Default Paragraph Font"/>
    <w:uiPriority w:val="99"/>
    <w:semiHidden/>
    <w:rsid w:val="009579F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heme="majorHAnsi" w:eastAsiaTheme="majorEastAsia" w:hAnsiTheme="majorHAnsi" w:cstheme="majorBidi"/>
      <w:b/>
      <w:bCs/>
      <w:color w:val="000000"/>
      <w:spacing w:val="1"/>
      <w:kern w:val="32"/>
      <w:sz w:val="32"/>
      <w:szCs w:val="32"/>
      <w:lang w:eastAsia="ja-JP"/>
    </w:rPr>
  </w:style>
  <w:style w:type="character" w:customStyle="1" w:styleId="20">
    <w:name w:val="כותרת 2 תו"/>
    <w:basedOn w:val="a0"/>
    <w:link w:val="2"/>
    <w:uiPriority w:val="9"/>
    <w:semiHidden/>
    <w:rPr>
      <w:rFonts w:asciiTheme="majorHAnsi" w:eastAsiaTheme="majorEastAsia" w:hAnsiTheme="majorHAnsi" w:cstheme="majorBidi"/>
      <w:b/>
      <w:bCs/>
      <w:i/>
      <w:iCs/>
      <w:color w:val="000000"/>
      <w:spacing w:val="1"/>
      <w:sz w:val="28"/>
      <w:szCs w:val="28"/>
      <w:lang w:eastAsia="ja-JP"/>
    </w:rPr>
  </w:style>
  <w:style w:type="character" w:styleId="a3">
    <w:name w:val="annotation reference"/>
    <w:basedOn w:val="a0"/>
    <w:uiPriority w:val="99"/>
    <w:semiHidden/>
    <w:rsid w:val="009579F7"/>
    <w:rPr>
      <w:rFonts w:cs="Times New Roman"/>
      <w:sz w:val="16"/>
      <w:szCs w:val="16"/>
    </w:rPr>
  </w:style>
  <w:style w:type="paragraph" w:styleId="a4">
    <w:name w:val="annotation text"/>
    <w:basedOn w:val="a"/>
    <w:link w:val="a5"/>
    <w:uiPriority w:val="99"/>
    <w:semiHidden/>
    <w:rsid w:val="009579F7"/>
    <w:rPr>
      <w:sz w:val="20"/>
      <w:szCs w:val="20"/>
    </w:rPr>
  </w:style>
  <w:style w:type="character" w:customStyle="1" w:styleId="a5">
    <w:name w:val="טקסט הערה תו"/>
    <w:basedOn w:val="a0"/>
    <w:link w:val="a4"/>
    <w:uiPriority w:val="99"/>
    <w:semiHidden/>
    <w:rPr>
      <w:rFonts w:ascii="Hadasa Roso SL" w:eastAsia="MS Mincho" w:hAnsi="Hadasa Roso SL" w:cs="Hadasa Roso SL"/>
      <w:color w:val="000000"/>
      <w:spacing w:val="1"/>
      <w:sz w:val="20"/>
      <w:szCs w:val="20"/>
      <w:lang w:eastAsia="ja-JP"/>
    </w:rPr>
  </w:style>
  <w:style w:type="paragraph" w:customStyle="1" w:styleId="Cover1-Reshumot">
    <w:name w:val="Cover 1-Reshumot"/>
    <w:basedOn w:val="a"/>
    <w:uiPriority w:val="99"/>
    <w:rsid w:val="009579F7"/>
    <w:pPr>
      <w:tabs>
        <w:tab w:val="left" w:pos="1191"/>
        <w:tab w:val="left" w:pos="1587"/>
      </w:tabs>
      <w:snapToGrid w:val="0"/>
      <w:spacing w:before="240" w:after="240" w:line="480" w:lineRule="auto"/>
      <w:jc w:val="center"/>
    </w:pPr>
    <w:rPr>
      <w:rFonts w:ascii="Arial" w:eastAsia="Times New Roman" w:hAnsi="Arial" w:cs="David"/>
      <w:sz w:val="20"/>
      <w:szCs w:val="26"/>
    </w:rPr>
  </w:style>
  <w:style w:type="paragraph" w:customStyle="1" w:styleId="Cover2-HatzaotHok">
    <w:name w:val="Cover 2-HatzaotHok"/>
    <w:basedOn w:val="Cover1-Reshumot"/>
    <w:uiPriority w:val="99"/>
    <w:rsid w:val="009579F7"/>
    <w:rPr>
      <w:sz w:val="36"/>
      <w:szCs w:val="52"/>
    </w:rPr>
  </w:style>
  <w:style w:type="paragraph" w:customStyle="1" w:styleId="Cover3-Haknesset">
    <w:name w:val="Cover 3-Haknesset"/>
    <w:basedOn w:val="Cover1-Reshumot"/>
    <w:uiPriority w:val="99"/>
    <w:rsid w:val="009579F7"/>
    <w:rPr>
      <w:b/>
      <w:bCs/>
      <w:spacing w:val="60"/>
    </w:rPr>
  </w:style>
  <w:style w:type="paragraph" w:customStyle="1" w:styleId="Cover4-Date">
    <w:name w:val="Cover 4-Date"/>
    <w:basedOn w:val="a"/>
    <w:uiPriority w:val="99"/>
    <w:rsid w:val="009579F7"/>
    <w:pPr>
      <w:pBdr>
        <w:bottom w:val="single" w:sz="4" w:space="0" w:color="auto"/>
      </w:pBdr>
      <w:tabs>
        <w:tab w:val="center" w:pos="4820"/>
        <w:tab w:val="right" w:pos="9639"/>
      </w:tabs>
      <w:snapToGrid w:val="0"/>
      <w:spacing w:before="240" w:after="240" w:line="360" w:lineRule="auto"/>
    </w:pPr>
    <w:rPr>
      <w:rFonts w:ascii="Arial" w:eastAsia="Times New Roman" w:hAnsi="Arial" w:cs="David"/>
      <w:sz w:val="20"/>
      <w:szCs w:val="26"/>
    </w:rPr>
  </w:style>
  <w:style w:type="character" w:styleId="a6">
    <w:name w:val="endnote reference"/>
    <w:basedOn w:val="a0"/>
    <w:uiPriority w:val="99"/>
    <w:semiHidden/>
    <w:rsid w:val="009579F7"/>
    <w:rPr>
      <w:rFonts w:cs="Times New Roman"/>
      <w:vertAlign w:val="superscript"/>
    </w:rPr>
  </w:style>
  <w:style w:type="paragraph" w:customStyle="1" w:styleId="Ragil">
    <w:name w:val="Ragil"/>
    <w:basedOn w:val="a"/>
    <w:uiPriority w:val="99"/>
    <w:rsid w:val="009579F7"/>
    <w:pPr>
      <w:snapToGrid w:val="0"/>
      <w:spacing w:line="360" w:lineRule="auto"/>
    </w:pPr>
    <w:rPr>
      <w:rFonts w:ascii="Arial" w:eastAsia="Times New Roman" w:hAnsi="Arial" w:cs="David"/>
      <w:sz w:val="20"/>
      <w:szCs w:val="26"/>
    </w:rPr>
  </w:style>
  <w:style w:type="paragraph" w:styleId="a7">
    <w:name w:val="endnote text"/>
    <w:basedOn w:val="Ragil"/>
    <w:link w:val="a8"/>
    <w:uiPriority w:val="99"/>
    <w:semiHidden/>
    <w:rsid w:val="009579F7"/>
    <w:pPr>
      <w:ind w:left="227" w:hanging="227"/>
    </w:pPr>
    <w:rPr>
      <w:sz w:val="14"/>
      <w:szCs w:val="22"/>
    </w:rPr>
  </w:style>
  <w:style w:type="character" w:customStyle="1" w:styleId="a8">
    <w:name w:val="טקסט הערת סיום תו"/>
    <w:basedOn w:val="a0"/>
    <w:link w:val="a7"/>
    <w:uiPriority w:val="99"/>
    <w:semiHidden/>
    <w:rPr>
      <w:rFonts w:ascii="Hadasa Roso SL" w:eastAsia="MS Mincho" w:hAnsi="Hadasa Roso SL" w:cs="Hadasa Roso SL"/>
      <w:color w:val="000000"/>
      <w:spacing w:val="1"/>
      <w:sz w:val="20"/>
      <w:szCs w:val="20"/>
      <w:lang w:eastAsia="ja-JP"/>
    </w:rPr>
  </w:style>
  <w:style w:type="paragraph" w:styleId="a9">
    <w:name w:val="footer"/>
    <w:basedOn w:val="a"/>
    <w:link w:val="aa"/>
    <w:uiPriority w:val="99"/>
    <w:rsid w:val="009579F7"/>
    <w:pPr>
      <w:tabs>
        <w:tab w:val="center" w:pos="4153"/>
        <w:tab w:val="right" w:pos="8306"/>
      </w:tabs>
    </w:pPr>
  </w:style>
  <w:style w:type="character" w:customStyle="1" w:styleId="aa">
    <w:name w:val="כותרת תחתונה תו"/>
    <w:basedOn w:val="a0"/>
    <w:link w:val="a9"/>
    <w:uiPriority w:val="99"/>
    <w:semiHidden/>
    <w:rPr>
      <w:rFonts w:ascii="Hadasa Roso SL" w:eastAsia="MS Mincho" w:hAnsi="Hadasa Roso SL" w:cs="Hadasa Roso SL"/>
      <w:color w:val="000000"/>
      <w:spacing w:val="1"/>
      <w:sz w:val="17"/>
      <w:szCs w:val="17"/>
      <w:lang w:eastAsia="ja-JP"/>
    </w:rPr>
  </w:style>
  <w:style w:type="character" w:styleId="ab">
    <w:name w:val="footnote reference"/>
    <w:basedOn w:val="a0"/>
    <w:uiPriority w:val="99"/>
    <w:semiHidden/>
    <w:rsid w:val="009579F7"/>
    <w:rPr>
      <w:rFonts w:cs="Times New Roman"/>
      <w:vertAlign w:val="superscript"/>
    </w:rPr>
  </w:style>
  <w:style w:type="paragraph" w:styleId="ac">
    <w:name w:val="footnote text"/>
    <w:basedOn w:val="Ragil"/>
    <w:link w:val="ad"/>
    <w:autoRedefine/>
    <w:uiPriority w:val="99"/>
    <w:semiHidden/>
    <w:rsid w:val="009579F7"/>
    <w:pPr>
      <w:spacing w:line="240" w:lineRule="auto"/>
      <w:ind w:left="227" w:hanging="227"/>
    </w:pPr>
    <w:rPr>
      <w:sz w:val="14"/>
      <w:szCs w:val="20"/>
    </w:rPr>
  </w:style>
  <w:style w:type="character" w:customStyle="1" w:styleId="ad">
    <w:name w:val="טקסט הערת שוליים תו"/>
    <w:basedOn w:val="a0"/>
    <w:link w:val="ac"/>
    <w:uiPriority w:val="99"/>
    <w:semiHidden/>
    <w:rPr>
      <w:rFonts w:ascii="Hadasa Roso SL" w:eastAsia="MS Mincho" w:hAnsi="Hadasa Roso SL" w:cs="Hadasa Roso SL"/>
      <w:color w:val="000000"/>
      <w:spacing w:val="1"/>
      <w:sz w:val="20"/>
      <w:szCs w:val="20"/>
      <w:lang w:eastAsia="ja-JP"/>
    </w:rPr>
  </w:style>
  <w:style w:type="paragraph" w:customStyle="1" w:styleId="HeadDivreiHesber">
    <w:name w:val="Head DivreiHesber"/>
    <w:basedOn w:val="Ragil"/>
    <w:uiPriority w:val="99"/>
    <w:rsid w:val="009579F7"/>
    <w:pPr>
      <w:spacing w:before="360" w:after="120"/>
      <w:ind w:firstLine="0"/>
      <w:jc w:val="center"/>
    </w:pPr>
    <w:rPr>
      <w:b/>
      <w:spacing w:val="40"/>
    </w:rPr>
  </w:style>
  <w:style w:type="paragraph" w:customStyle="1" w:styleId="HeadHatzaotHok">
    <w:name w:val="Head HatzaotHok"/>
    <w:basedOn w:val="a"/>
    <w:link w:val="HeadHatzaotHok0"/>
    <w:uiPriority w:val="99"/>
    <w:rsid w:val="009579F7"/>
    <w:pPr>
      <w:keepNext/>
      <w:keepLines/>
      <w:snapToGrid w:val="0"/>
      <w:spacing w:before="240" w:line="360" w:lineRule="auto"/>
      <w:jc w:val="center"/>
    </w:pPr>
    <w:rPr>
      <w:rFonts w:ascii="Arial" w:eastAsia="Times New Roman" w:hAnsi="Arial" w:cs="David"/>
      <w:b/>
      <w:bCs/>
      <w:sz w:val="20"/>
      <w:szCs w:val="26"/>
    </w:rPr>
  </w:style>
  <w:style w:type="paragraph" w:customStyle="1" w:styleId="HeadHatzaotHok4Futer">
    <w:name w:val="Head HatzaotHok4Futer"/>
    <w:basedOn w:val="HeadHatzaotHok"/>
    <w:uiPriority w:val="99"/>
    <w:rsid w:val="009579F7"/>
    <w:pPr>
      <w:spacing w:before="120" w:after="120"/>
    </w:pPr>
    <w:rPr>
      <w:color w:val="FF0000"/>
      <w:w w:val="80"/>
    </w:rPr>
  </w:style>
  <w:style w:type="paragraph" w:customStyle="1" w:styleId="HeadMitparsemetBaze">
    <w:name w:val="Head MitparsemetBaze"/>
    <w:basedOn w:val="a"/>
    <w:uiPriority w:val="99"/>
    <w:rsid w:val="009579F7"/>
    <w:pPr>
      <w:keepNext/>
      <w:keepLines/>
      <w:pageBreakBefore/>
      <w:snapToGrid w:val="0"/>
      <w:spacing w:before="480" w:line="360" w:lineRule="auto"/>
    </w:pPr>
    <w:rPr>
      <w:rFonts w:ascii="Arial" w:eastAsia="Times New Roman" w:hAnsi="Arial" w:cs="David"/>
      <w:b/>
      <w:bCs/>
      <w:sz w:val="20"/>
      <w:szCs w:val="26"/>
    </w:rPr>
  </w:style>
  <w:style w:type="paragraph" w:styleId="ae">
    <w:name w:val="header"/>
    <w:basedOn w:val="a"/>
    <w:link w:val="af"/>
    <w:uiPriority w:val="99"/>
    <w:rsid w:val="009579F7"/>
    <w:pPr>
      <w:tabs>
        <w:tab w:val="center" w:pos="4153"/>
        <w:tab w:val="right" w:pos="8306"/>
      </w:tabs>
    </w:pPr>
  </w:style>
  <w:style w:type="character" w:customStyle="1" w:styleId="af">
    <w:name w:val="כותרת עליונה תו"/>
    <w:basedOn w:val="a0"/>
    <w:link w:val="ae"/>
    <w:uiPriority w:val="99"/>
    <w:semiHidden/>
    <w:rPr>
      <w:rFonts w:ascii="Hadasa Roso SL" w:eastAsia="MS Mincho" w:hAnsi="Hadasa Roso SL" w:cs="Hadasa Roso SL"/>
      <w:color w:val="000000"/>
      <w:spacing w:val="1"/>
      <w:sz w:val="17"/>
      <w:szCs w:val="17"/>
      <w:lang w:eastAsia="ja-JP"/>
    </w:rPr>
  </w:style>
  <w:style w:type="paragraph" w:customStyle="1" w:styleId="Hesber">
    <w:name w:val="Hesber"/>
    <w:basedOn w:val="Ragil"/>
    <w:uiPriority w:val="99"/>
    <w:rsid w:val="009579F7"/>
  </w:style>
  <w:style w:type="paragraph" w:customStyle="1" w:styleId="Hesber1st">
    <w:name w:val="Hesber 1st"/>
    <w:basedOn w:val="Hesber"/>
    <w:uiPriority w:val="99"/>
    <w:rsid w:val="009579F7"/>
    <w:pPr>
      <w:tabs>
        <w:tab w:val="left" w:pos="680"/>
        <w:tab w:val="left" w:pos="1020"/>
      </w:tabs>
      <w:ind w:firstLine="0"/>
    </w:pPr>
  </w:style>
  <w:style w:type="paragraph" w:customStyle="1" w:styleId="HesberHeading">
    <w:name w:val="Hesber Heading"/>
    <w:basedOn w:val="Hesber"/>
    <w:uiPriority w:val="99"/>
    <w:rsid w:val="009579F7"/>
    <w:pPr>
      <w:keepNext/>
      <w:keepLines/>
      <w:spacing w:before="240"/>
      <w:ind w:firstLine="0"/>
    </w:pPr>
    <w:rPr>
      <w:b/>
      <w:bCs/>
    </w:rPr>
  </w:style>
  <w:style w:type="paragraph" w:customStyle="1" w:styleId="HesberWriters">
    <w:name w:val="Hesber Writers"/>
    <w:basedOn w:val="Hesber"/>
    <w:uiPriority w:val="99"/>
    <w:rsid w:val="009579F7"/>
    <w:pPr>
      <w:spacing w:before="120" w:after="6000"/>
      <w:ind w:left="1418" w:firstLine="0"/>
      <w:jc w:val="right"/>
    </w:pPr>
    <w:rPr>
      <w:b/>
      <w:bCs/>
    </w:rPr>
  </w:style>
  <w:style w:type="character" w:styleId="Hyperlink">
    <w:name w:val="Hyperlink"/>
    <w:basedOn w:val="a0"/>
    <w:uiPriority w:val="99"/>
    <w:rsid w:val="009579F7"/>
    <w:rPr>
      <w:rFonts w:cs="Times New Roman"/>
      <w:color w:val="0000FF"/>
      <w:u w:val="single"/>
    </w:rPr>
  </w:style>
  <w:style w:type="character" w:styleId="af0">
    <w:name w:val="page number"/>
    <w:basedOn w:val="a0"/>
    <w:uiPriority w:val="99"/>
    <w:rsid w:val="009579F7"/>
    <w:rPr>
      <w:rFonts w:cs="Times New Roman"/>
    </w:rPr>
  </w:style>
  <w:style w:type="paragraph" w:customStyle="1" w:styleId="TableText">
    <w:name w:val="Table Text"/>
    <w:basedOn w:val="Ragil"/>
    <w:uiPriority w:val="99"/>
    <w:rsid w:val="009579F7"/>
    <w:pPr>
      <w:keepLines/>
      <w:tabs>
        <w:tab w:val="left" w:pos="624"/>
        <w:tab w:val="left" w:pos="1247"/>
      </w:tabs>
      <w:ind w:right="57" w:firstLine="0"/>
    </w:pPr>
  </w:style>
  <w:style w:type="paragraph" w:customStyle="1" w:styleId="TableBlock">
    <w:name w:val="Table Block"/>
    <w:basedOn w:val="TableText"/>
    <w:uiPriority w:val="99"/>
    <w:rsid w:val="009579F7"/>
    <w:pPr>
      <w:ind w:right="0"/>
    </w:pPr>
  </w:style>
  <w:style w:type="paragraph" w:customStyle="1" w:styleId="TableBlockOutdent">
    <w:name w:val="Table BlockOutdent"/>
    <w:basedOn w:val="TableBlock"/>
    <w:uiPriority w:val="99"/>
    <w:rsid w:val="009579F7"/>
    <w:pPr>
      <w:ind w:left="624" w:hanging="624"/>
    </w:pPr>
  </w:style>
  <w:style w:type="table" w:styleId="af1">
    <w:name w:val="Table Grid"/>
    <w:basedOn w:val="a1"/>
    <w:uiPriority w:val="99"/>
    <w:rsid w:val="009579F7"/>
    <w:pPr>
      <w:bidi/>
      <w:spacing w:after="0" w:line="240" w:lineRule="auto"/>
    </w:pPr>
    <w:rPr>
      <w:rFonts w:ascii="Hadasa Roso SL" w:hAnsi="Hadasa Roso S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Text"/>
    <w:uiPriority w:val="99"/>
    <w:rsid w:val="009579F7"/>
    <w:pPr>
      <w:ind w:right="0"/>
      <w:jc w:val="center"/>
    </w:pPr>
    <w:rPr>
      <w:b/>
      <w:bCs/>
    </w:rPr>
  </w:style>
  <w:style w:type="paragraph" w:customStyle="1" w:styleId="TableSideHeading">
    <w:name w:val="Table SideHeading"/>
    <w:basedOn w:val="TableText"/>
    <w:uiPriority w:val="99"/>
    <w:rsid w:val="009579F7"/>
  </w:style>
  <w:style w:type="paragraph" w:customStyle="1" w:styleId="TableInnerSideHeading">
    <w:name w:val="Table InnerSideHeading"/>
    <w:basedOn w:val="TableSideHeading"/>
    <w:uiPriority w:val="99"/>
    <w:rsid w:val="009579F7"/>
  </w:style>
  <w:style w:type="paragraph" w:customStyle="1" w:styleId="TableText2">
    <w:name w:val="Table Text2"/>
    <w:basedOn w:val="TableText"/>
    <w:uiPriority w:val="99"/>
    <w:rsid w:val="009579F7"/>
  </w:style>
  <w:style w:type="paragraph" w:styleId="af2">
    <w:name w:val="Title"/>
    <w:basedOn w:val="a"/>
    <w:link w:val="af3"/>
    <w:uiPriority w:val="99"/>
    <w:qFormat/>
    <w:rsid w:val="009579F7"/>
    <w:pPr>
      <w:jc w:val="center"/>
    </w:pPr>
    <w:rPr>
      <w:rFonts w:cs="David"/>
      <w:b/>
      <w:bCs/>
      <w:sz w:val="28"/>
      <w:szCs w:val="28"/>
      <w:u w:val="single"/>
    </w:rPr>
  </w:style>
  <w:style w:type="character" w:customStyle="1" w:styleId="af3">
    <w:name w:val="כותרת טקסט תו"/>
    <w:basedOn w:val="a0"/>
    <w:link w:val="af2"/>
    <w:uiPriority w:val="10"/>
    <w:rPr>
      <w:rFonts w:asciiTheme="majorHAnsi" w:eastAsiaTheme="majorEastAsia" w:hAnsiTheme="majorHAnsi" w:cstheme="majorBidi"/>
      <w:b/>
      <w:bCs/>
      <w:color w:val="000000"/>
      <w:spacing w:val="1"/>
      <w:kern w:val="28"/>
      <w:sz w:val="32"/>
      <w:szCs w:val="32"/>
      <w:lang w:eastAsia="ja-JP"/>
    </w:rPr>
  </w:style>
  <w:style w:type="paragraph" w:customStyle="1" w:styleId="TOC">
    <w:name w:val="TOC"/>
    <w:basedOn w:val="a"/>
    <w:uiPriority w:val="99"/>
    <w:rsid w:val="009579F7"/>
    <w:pPr>
      <w:tabs>
        <w:tab w:val="left" w:leader="dot" w:pos="8789"/>
      </w:tabs>
      <w:snapToGrid w:val="0"/>
      <w:spacing w:before="120" w:line="360" w:lineRule="auto"/>
      <w:ind w:left="284" w:right="284"/>
    </w:pPr>
    <w:rPr>
      <w:rFonts w:ascii="Arial" w:eastAsia="Times New Roman" w:hAnsi="Arial" w:cs="David"/>
      <w:sz w:val="20"/>
      <w:szCs w:val="26"/>
    </w:rPr>
  </w:style>
  <w:style w:type="paragraph" w:customStyle="1" w:styleId="TOCpg">
    <w:name w:val="TOC pg"/>
    <w:basedOn w:val="TOC"/>
    <w:uiPriority w:val="99"/>
    <w:rsid w:val="009579F7"/>
    <w:pPr>
      <w:spacing w:after="120"/>
      <w:ind w:right="567"/>
      <w:jc w:val="right"/>
    </w:pPr>
  </w:style>
  <w:style w:type="paragraph" w:customStyle="1" w:styleId="Noparagraphstyle">
    <w:name w:val="[No paragraph style]"/>
    <w:uiPriority w:val="99"/>
    <w:rsid w:val="00B416AF"/>
    <w:pPr>
      <w:widowControl w:val="0"/>
      <w:autoSpaceDE w:val="0"/>
      <w:autoSpaceDN w:val="0"/>
      <w:bidi/>
      <w:adjustRightInd w:val="0"/>
      <w:snapToGrid w:val="0"/>
      <w:spacing w:after="0" w:line="360" w:lineRule="auto"/>
      <w:textAlignment w:val="center"/>
    </w:pPr>
    <w:rPr>
      <w:rFonts w:ascii="Arial" w:hAnsi="Arial" w:cs="David"/>
      <w:color w:val="000000"/>
      <w:sz w:val="20"/>
      <w:szCs w:val="26"/>
      <w:lang w:eastAsia="ja-JP"/>
    </w:rPr>
  </w:style>
  <w:style w:type="character" w:customStyle="1" w:styleId="HeadHatzaotHok0">
    <w:name w:val="Head HatzaotHok תו"/>
    <w:basedOn w:val="a0"/>
    <w:link w:val="HeadHatzaotHok"/>
    <w:uiPriority w:val="99"/>
    <w:locked/>
    <w:rsid w:val="00B16515"/>
    <w:rPr>
      <w:rFonts w:ascii="Arial" w:eastAsia="Times New Roman" w:hAnsi="Arial" w:cs="David"/>
      <w:b/>
      <w:bCs/>
      <w:snapToGrid w:val="0"/>
      <w:color w:val="000000"/>
      <w:spacing w:val="1"/>
      <w:sz w:val="26"/>
      <w:szCs w:val="26"/>
      <w:lang w:val="en-US"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1491;&#1508;&#1504;&#1492;\&#1504;&#1493;&#1505;&#1495;%20&#1492;&#1495;&#1493;&#1511;\&#1514;&#1489;&#1504;&#1497;&#1493;&#1514;%20&#1495;&#1491;&#1513;&#1493;&#1514;\&#1514;&#1489;&#1504;&#1497;&#1493;&#1514;%20&#1500;&#1508;&#1497;%20&#1505;&#1493;&#1490;&#1497;%20&#1492;&#1511;&#1512;&#1497;&#1488;&#1493;&#1514;\&#1514;&#1489;&#1504;&#1497;&#1514;%20&#1495;&#1493;&#1511;%20&#1513;&#1492;&#1514;&#1511;&#1489;&#1500;%207.4.08%20&#1505;&#1493;&#1508;&#1497;.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B510CBCF4B6E984498D57C868CAAA155" ma:contentTypeVersion="2" ma:contentTypeDescription="צור מסמך חדש." ma:contentTypeScope="" ma:versionID="c0f30c3791336ac506cc03506e68cb3a">
  <xsd:schema xmlns:xsd="http://www.w3.org/2001/XMLSchema" xmlns:xs="http://www.w3.org/2001/XMLSchema" xmlns:p="http://schemas.microsoft.com/office/2006/metadata/properties" xmlns:ns1="http://schemas.microsoft.com/sharepoint/v3" targetNamespace="http://schemas.microsoft.com/office/2006/metadata/properties" ma:root="true" ma:fieldsID="9a5dcc66744a863882eefb816d1939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D1EBE8-9C30-4F1E-BC1E-D35F93021B3A}"/>
</file>

<file path=customXml/itemProps2.xml><?xml version="1.0" encoding="utf-8"?>
<ds:datastoreItem xmlns:ds="http://schemas.openxmlformats.org/officeDocument/2006/customXml" ds:itemID="{C589CE50-3E19-4C4C-8A31-51FB50F5BE0F}"/>
</file>

<file path=customXml/itemProps3.xml><?xml version="1.0" encoding="utf-8"?>
<ds:datastoreItem xmlns:ds="http://schemas.openxmlformats.org/officeDocument/2006/customXml" ds:itemID="{17ABD4F9-C870-4E1A-BDCA-8CF8A1DDC8C9}"/>
</file>

<file path=docProps/app.xml><?xml version="1.0" encoding="utf-8"?>
<Properties xmlns="http://schemas.openxmlformats.org/officeDocument/2006/extended-properties" xmlns:vt="http://schemas.openxmlformats.org/officeDocument/2006/docPropsVTypes">
  <Template>תבנית חוק שהתקבל 7.4.08 סופי</Template>
  <TotalTime>1</TotalTime>
  <Pages>12</Pages>
  <Words>2470</Words>
  <Characters>12350</Characters>
  <Application>Microsoft Office Word</Application>
  <DocSecurity>0</DocSecurity>
  <Lines>102</Lines>
  <Paragraphs>29</Paragraphs>
  <ScaleCrop>false</ScaleCrop>
  <HeadingPairs>
    <vt:vector size="2" baseType="variant">
      <vt:variant>
        <vt:lpstr>שם</vt:lpstr>
      </vt:variant>
      <vt:variant>
        <vt:i4>1</vt:i4>
      </vt:variant>
    </vt:vector>
  </HeadingPairs>
  <TitlesOfParts>
    <vt:vector size="1" baseType="lpstr">
      <vt:lpstr>חוק ברית הזוגיות לחסרי דת, התש"ע-2010 - נוסח לפרסום ברשומות</vt:lpstr>
    </vt:vector>
  </TitlesOfParts>
  <Company>knesset</Company>
  <LinksUpToDate>false</LinksUpToDate>
  <CharactersWithSpaces>14791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חוק ברית הזוגיות לחסרי דת, התש"ע-2010 - נוסח לפרסום ברשומות</dc:title>
  <dc:creator>דפנה - כנסת</dc:creator>
  <cp:lastModifiedBy>Michael Kolodyozh</cp:lastModifiedBy>
  <cp:revision>2</cp:revision>
  <cp:lastPrinted>2010-03-16T09:59:00Z</cp:lastPrinted>
  <dcterms:created xsi:type="dcterms:W3CDTF">2016-03-01T08:00:00Z</dcterms:created>
  <dcterms:modified xsi:type="dcterms:W3CDTF">2016-03-01T08:00:00Z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Number">
    <vt:lpwstr>01151610</vt:lpwstr>
  </property>
  <property fmtid="{D5CDD505-2E9C-101B-9397-08002B2CF9AE}" pid="3" name="ContentTypeId">
    <vt:lpwstr>0x010100B510CBCF4B6E984498D57C868CAAA155</vt:lpwstr>
  </property>
  <property fmtid="{D5CDD505-2E9C-101B-9397-08002B2CF9AE}" pid="4" name="ContentType">
    <vt:lpwstr>הלשכה המשפטית - נוסח חוק שהתקבל בכנסת</vt:lpwstr>
  </property>
  <property fmtid="{D5CDD505-2E9C-101B-9397-08002B2CF9AE}" pid="5" name="SDCategoryID">
    <vt:lpwstr>af7aeada14c2;#</vt:lpwstr>
  </property>
  <property fmtid="{D5CDD505-2E9C-101B-9397-08002B2CF9AE}" pid="6" name="SDCategories">
    <vt:lpwstr>:כללי2:הלשכה המשפטית:חקיקה - נוסח:חקיקה ראשית - נוסח:6. חוקים שהתקבלו בכנסת - נוסח לא רשמי;#</vt:lpwstr>
  </property>
  <property fmtid="{D5CDD505-2E9C-101B-9397-08002B2CF9AE}" pid="7" name="SDDocDate">
    <vt:lpwstr>2010-03-16T00:00:00Z</vt:lpwstr>
  </property>
  <property fmtid="{D5CDD505-2E9C-101B-9397-08002B2CF9AE}" pid="8" name="SDHebDate">
    <vt:lpwstr>א' בניסן, התש"ע</vt:lpwstr>
  </property>
  <property fmtid="{D5CDD505-2E9C-101B-9397-08002B2CF9AE}" pid="9" name="SDAuthor">
    <vt:lpwstr>לילך יעיש</vt:lpwstr>
  </property>
  <property fmtid="{D5CDD505-2E9C-101B-9397-08002B2CF9AE}" pid="10" name="SDAsmachta">
    <vt:lpwstr/>
  </property>
  <property fmtid="{D5CDD505-2E9C-101B-9397-08002B2CF9AE}" pid="11" name="NumHoveretHatzaatHok">
    <vt:lpwstr/>
  </property>
  <property fmtid="{D5CDD505-2E9C-101B-9397-08002B2CF9AE}" pid="12" name="Vaada">
    <vt:lpwstr>(בחר)</vt:lpwstr>
  </property>
  <property fmtid="{D5CDD505-2E9C-101B-9397-08002B2CF9AE}" pid="13" name="HebrewDate">
    <vt:lpwstr/>
  </property>
  <property fmtid="{D5CDD505-2E9C-101B-9397-08002B2CF9AE}" pid="14" name="MechaberMismach">
    <vt:lpwstr/>
  </property>
  <property fmtid="{D5CDD505-2E9C-101B-9397-08002B2CF9AE}" pid="15" name="יוזם הצעת החוק">
    <vt:lpwstr/>
  </property>
  <property fmtid="{D5CDD505-2E9C-101B-9397-08002B2CF9AE}" pid="16" name="HokNumBook">
    <vt:lpwstr/>
  </property>
  <property fmtid="{D5CDD505-2E9C-101B-9397-08002B2CF9AE}" pid="17" name="SDOriginalID">
    <vt:lpwstr/>
  </property>
  <property fmtid="{D5CDD505-2E9C-101B-9397-08002B2CF9AE}" pid="18" name="SDOfflineTo">
    <vt:lpwstr/>
  </property>
  <property fmtid="{D5CDD505-2E9C-101B-9397-08002B2CF9AE}" pid="19" name="MisHatzaatChok">
    <vt:lpwstr/>
  </property>
  <property fmtid="{D5CDD505-2E9C-101B-9397-08002B2CF9AE}" pid="20" name="HokDate1">
    <vt:lpwstr/>
  </property>
  <property fmtid="{D5CDD505-2E9C-101B-9397-08002B2CF9AE}" pid="21" name="To1">
    <vt:lpwstr/>
  </property>
  <property fmtid="{D5CDD505-2E9C-101B-9397-08002B2CF9AE}" pid="22" name="YozemHatzaa_ChakList">
    <vt:lpwstr/>
  </property>
  <property fmtid="{D5CDD505-2E9C-101B-9397-08002B2CF9AE}" pid="23" name="מספר חוברת">
    <vt:lpwstr/>
  </property>
  <property fmtid="{D5CDD505-2E9C-101B-9397-08002B2CF9AE}" pid="24" name="FileNum">
    <vt:lpwstr/>
  </property>
  <property fmtid="{D5CDD505-2E9C-101B-9397-08002B2CF9AE}" pid="25" name="HanchayaNum">
    <vt:lpwstr/>
  </property>
  <property fmtid="{D5CDD505-2E9C-101B-9397-08002B2CF9AE}" pid="26" name="מספר הצח">
    <vt:lpwstr/>
  </property>
  <property fmtid="{D5CDD505-2E9C-101B-9397-08002B2CF9AE}" pid="27" name="Writer_UserList">
    <vt:lpwstr/>
  </property>
  <property fmtid="{D5CDD505-2E9C-101B-9397-08002B2CF9AE}" pid="28" name="body">
    <vt:lpwstr/>
  </property>
  <property fmtid="{D5CDD505-2E9C-101B-9397-08002B2CF9AE}" pid="29" name="Cc">
    <vt:lpwstr/>
  </property>
  <property fmtid="{D5CDD505-2E9C-101B-9397-08002B2CF9AE}" pid="30" name="From">
    <vt:lpwstr/>
  </property>
  <property fmtid="{D5CDD505-2E9C-101B-9397-08002B2CF9AE}" pid="31" name="To">
    <vt:lpwstr/>
  </property>
  <property fmtid="{D5CDD505-2E9C-101B-9397-08002B2CF9AE}" pid="32" name="Sides">
    <vt:lpwstr/>
  </property>
  <property fmtid="{D5CDD505-2E9C-101B-9397-08002B2CF9AE}" pid="33" name="Approved">
    <vt:lpwstr/>
  </property>
  <property fmtid="{D5CDD505-2E9C-101B-9397-08002B2CF9AE}" pid="34" name="SDToList">
    <vt:lpwstr/>
  </property>
</Properties>
</file>