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2C" w:rsidRPr="0000131B" w:rsidRDefault="008F462C" w:rsidP="008F462C">
      <w:pPr>
        <w:pStyle w:val="HeadHatzaotHok"/>
        <w:jc w:val="right"/>
        <w:rPr>
          <w:b w:val="0"/>
          <w:bCs w:val="0"/>
          <w:szCs w:val="20"/>
        </w:rPr>
      </w:pPr>
      <w:r w:rsidRPr="0000131B">
        <w:rPr>
          <w:b w:val="0"/>
          <w:bCs w:val="0"/>
          <w:szCs w:val="20"/>
          <w:rtl/>
        </w:rPr>
        <w:t xml:space="preserve">מספר פנימי: </w:t>
      </w:r>
      <w:bookmarkStart w:id="0" w:name="LGS_Internal_ID"/>
      <w:r>
        <w:rPr>
          <w:b w:val="0"/>
          <w:bCs w:val="0"/>
          <w:szCs w:val="20"/>
          <w:rtl/>
        </w:rPr>
        <w:t>563280</w:t>
      </w:r>
      <w:bookmarkEnd w:id="0"/>
    </w:p>
    <w:p w:rsidR="008F462C" w:rsidRPr="00DB7060" w:rsidRDefault="008F462C" w:rsidP="008F462C">
      <w:pPr>
        <w:pStyle w:val="HeadHatzaotHok"/>
        <w:rPr>
          <w:sz w:val="28"/>
          <w:szCs w:val="28"/>
          <w:rtl/>
        </w:rPr>
      </w:pPr>
      <w:r w:rsidRPr="00DB7060">
        <w:rPr>
          <w:sz w:val="28"/>
          <w:szCs w:val="28"/>
          <w:rtl/>
        </w:rPr>
        <w:t xml:space="preserve">הכנסת </w:t>
      </w:r>
      <w:bookmarkStart w:id="1" w:name="LGS_Knesset_Num"/>
      <w:r>
        <w:rPr>
          <w:sz w:val="28"/>
          <w:szCs w:val="28"/>
          <w:rtl/>
        </w:rPr>
        <w:t>העשרים</w:t>
      </w:r>
      <w:bookmarkEnd w:id="1"/>
    </w:p>
    <w:p w:rsidR="008F462C" w:rsidRPr="00F67051" w:rsidRDefault="008F462C" w:rsidP="008F462C">
      <w:pPr>
        <w:rPr>
          <w:rFonts w:cs="David"/>
          <w:b/>
          <w:bCs/>
          <w:sz w:val="26"/>
          <w:szCs w:val="26"/>
          <w:rtl/>
        </w:rPr>
      </w:pPr>
    </w:p>
    <w:p w:rsidR="008F462C" w:rsidRDefault="008F462C" w:rsidP="008F462C">
      <w:pPr>
        <w:pStyle w:val="David"/>
        <w:ind w:left="3544"/>
        <w:rPr>
          <w:b/>
          <w:bCs/>
          <w:rtl/>
        </w:rPr>
      </w:pPr>
      <w:bookmarkStart w:id="2" w:name="LGS_Initiators_List"/>
      <w:r>
        <w:rPr>
          <w:b/>
          <w:bCs/>
          <w:rtl/>
        </w:rPr>
        <w:t>יוזמת:</w:t>
      </w:r>
      <w:r>
        <w:tab/>
      </w:r>
      <w:r>
        <w:rPr>
          <w:b/>
          <w:bCs/>
          <w:rtl/>
        </w:rPr>
        <w:t xml:space="preserve">      חברת הכנסת</w:t>
      </w:r>
      <w:bookmarkEnd w:id="2"/>
      <w:r w:rsidRPr="00F67051">
        <w:rPr>
          <w:b/>
          <w:bCs/>
        </w:rPr>
        <w:tab/>
      </w:r>
      <w:bookmarkStart w:id="3" w:name="LGS_PM_Names"/>
      <w:r>
        <w:rPr>
          <w:b/>
          <w:bCs/>
          <w:rtl/>
        </w:rPr>
        <w:t>מרב מיכאלי</w:t>
      </w:r>
      <w:bookmarkEnd w:id="3"/>
    </w:p>
    <w:p w:rsidR="008F462C" w:rsidRPr="00CF1AA2" w:rsidRDefault="008F462C" w:rsidP="008F462C">
      <w:pPr>
        <w:pStyle w:val="David"/>
        <w:ind w:left="3544"/>
        <w:rPr>
          <w:b/>
          <w:bCs/>
          <w:rtl/>
        </w:rPr>
      </w:pPr>
      <w:bookmarkStart w:id="4" w:name="LGS_Join_List"/>
      <w:r>
        <w:rPr>
          <w:rtl/>
        </w:rPr>
        <w:t xml:space="preserve"> </w:t>
      </w:r>
      <w:bookmarkEnd w:id="4"/>
      <w:r w:rsidRPr="00CF1AA2">
        <w:rPr>
          <w:rtl/>
        </w:rPr>
        <w:tab/>
      </w:r>
      <w:bookmarkStart w:id="5" w:name="LGS_PM_NamesJoin"/>
      <w:r>
        <w:rPr>
          <w:rtl/>
        </w:rPr>
        <w:t xml:space="preserve"> </w:t>
      </w:r>
      <w:bookmarkEnd w:id="5"/>
    </w:p>
    <w:p w:rsidR="008F462C" w:rsidRPr="00E06736" w:rsidRDefault="00A522EB" w:rsidP="008F462C">
      <w:pPr>
        <w:pStyle w:val="David"/>
        <w:ind w:left="3544"/>
        <w:rPr>
          <w:rtl/>
        </w:rPr>
      </w:pPr>
      <w:r>
        <w:rPr>
          <w:noProof/>
          <w:lang w:eastAsia="en-US"/>
        </w:rPr>
        <w:pict>
          <v:polyline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w:r>
      <w:r w:rsidR="008F462C" w:rsidRPr="00E06736">
        <w:rPr>
          <w:rtl/>
        </w:rPr>
        <w:tab/>
      </w:r>
      <w:r w:rsidR="008F462C">
        <w:tab/>
      </w:r>
      <w:r w:rsidR="008F462C">
        <w:tab/>
      </w:r>
      <w:r w:rsidR="008F462C" w:rsidRPr="00E06736">
        <w:rPr>
          <w:rtl/>
        </w:rPr>
        <w:tab/>
      </w:r>
      <w:r w:rsidR="008F462C" w:rsidRPr="00E06736">
        <w:tab/>
      </w:r>
      <w:bookmarkStart w:id="6" w:name="Private_Number"/>
      <w:r w:rsidR="008F462C">
        <w:rPr>
          <w:rtl/>
        </w:rPr>
        <w:t>פ/974/20</w:t>
      </w:r>
      <w:bookmarkEnd w:id="6"/>
      <w:r w:rsidR="008F462C" w:rsidRPr="00E06736">
        <w:rPr>
          <w:rtl/>
        </w:rPr>
        <w:tab/>
      </w:r>
      <w:r w:rsidR="008F462C" w:rsidRPr="00E06736">
        <w:rPr>
          <w:rtl/>
        </w:rPr>
        <w:tab/>
      </w:r>
      <w:r w:rsidR="008F462C" w:rsidRPr="00E06736">
        <w:rPr>
          <w:rtl/>
        </w:rPr>
        <w:tab/>
      </w:r>
    </w:p>
    <w:p w:rsidR="008F462C" w:rsidRDefault="008F462C" w:rsidP="008F462C">
      <w:pPr>
        <w:spacing w:before="0" w:line="360" w:lineRule="auto"/>
        <w:ind w:left="2880" w:firstLine="720"/>
        <w:rPr>
          <w:rFonts w:cs="David"/>
          <w:sz w:val="26"/>
          <w:szCs w:val="26"/>
          <w:rtl/>
        </w:rPr>
      </w:pPr>
    </w:p>
    <w:p w:rsidR="008F462C" w:rsidRPr="00F67051" w:rsidRDefault="008F462C" w:rsidP="009859FD">
      <w:pPr>
        <w:pStyle w:val="HeadHatzaotHok"/>
        <w:rPr>
          <w:rtl/>
        </w:rPr>
      </w:pPr>
      <w:bookmarkStart w:id="7" w:name="LGS_Subject"/>
      <w:r>
        <w:rPr>
          <w:rtl/>
        </w:rPr>
        <w:t>הצעת חוק בתי דין רבניים (קיום פסקי דין של גירושין) (תיקון – סמכות בית המשפט לענייני משפחה), התשע"ה–2015</w:t>
      </w:r>
      <w:bookmarkEnd w:id="7"/>
    </w:p>
    <w:p w:rsidR="008F462C" w:rsidRDefault="008F462C" w:rsidP="008F462C">
      <w:pPr>
        <w:pStyle w:val="HeadDivreiHesber"/>
        <w:spacing w:before="0" w:after="0" w:line="240" w:lineRule="auto"/>
        <w:rPr>
          <w:rtl/>
        </w:rPr>
      </w:pPr>
    </w:p>
    <w:tbl>
      <w:tblPr>
        <w:bidiVisual/>
        <w:tblW w:w="9640" w:type="dxa"/>
        <w:tblLayout w:type="fixed"/>
        <w:tblCellMar>
          <w:top w:w="57" w:type="dxa"/>
          <w:left w:w="0" w:type="dxa"/>
          <w:bottom w:w="57" w:type="dxa"/>
          <w:right w:w="0" w:type="dxa"/>
        </w:tblCellMar>
        <w:tblLook w:val="04A0"/>
      </w:tblPr>
      <w:tblGrid>
        <w:gridCol w:w="1873"/>
        <w:gridCol w:w="624"/>
        <w:gridCol w:w="624"/>
        <w:gridCol w:w="624"/>
        <w:gridCol w:w="624"/>
        <w:gridCol w:w="624"/>
        <w:gridCol w:w="4647"/>
      </w:tblGrid>
      <w:tr w:rsidR="008F462C" w:rsidTr="009C65B1">
        <w:trPr>
          <w:cantSplit/>
        </w:trPr>
        <w:tc>
          <w:tcPr>
            <w:tcW w:w="1873" w:type="dxa"/>
            <w:hideMark/>
          </w:tcPr>
          <w:p w:rsidR="008F462C" w:rsidRDefault="008F462C" w:rsidP="000C0CA1">
            <w:pPr>
              <w:pStyle w:val="TableSideHeading"/>
              <w:keepLines w:val="0"/>
              <w:rPr>
                <w:b/>
              </w:rPr>
            </w:pPr>
            <w:r>
              <w:rPr>
                <w:b/>
                <w:sz w:val="26"/>
                <w:rtl/>
              </w:rPr>
              <w:t>תיקון סעיף 1</w:t>
            </w:r>
          </w:p>
        </w:tc>
        <w:tc>
          <w:tcPr>
            <w:tcW w:w="624" w:type="dxa"/>
            <w:hideMark/>
          </w:tcPr>
          <w:p w:rsidR="008F462C" w:rsidRDefault="008F462C" w:rsidP="000C0CA1">
            <w:pPr>
              <w:pStyle w:val="TableText"/>
              <w:keepLines w:val="0"/>
              <w:rPr>
                <w:b/>
              </w:rPr>
            </w:pPr>
            <w:r>
              <w:rPr>
                <w:b/>
                <w:sz w:val="26"/>
                <w:rtl/>
              </w:rPr>
              <w:t xml:space="preserve">1. </w:t>
            </w:r>
          </w:p>
        </w:tc>
        <w:tc>
          <w:tcPr>
            <w:tcW w:w="7143" w:type="dxa"/>
            <w:gridSpan w:val="5"/>
            <w:hideMark/>
          </w:tcPr>
          <w:p w:rsidR="008F462C" w:rsidRDefault="008F462C" w:rsidP="009C65B1">
            <w:pPr>
              <w:pStyle w:val="TableBlock"/>
              <w:rPr>
                <w:color w:val="008000"/>
              </w:rPr>
            </w:pPr>
            <w:r>
              <w:rPr>
                <w:sz w:val="26"/>
                <w:rtl/>
              </w:rPr>
              <w:t>בחוק בתי דין רבניים (קיום פסקי דין של גירושין), התשנ"ה–1995</w:t>
            </w:r>
            <w:r>
              <w:rPr>
                <w:szCs w:val="20"/>
                <w:rtl/>
              </w:rPr>
              <w:footnoteReference w:id="2"/>
            </w:r>
            <w:r>
              <w:rPr>
                <w:sz w:val="26"/>
                <w:rtl/>
              </w:rPr>
              <w:t xml:space="preserve"> (להלן – החוק העיקרי), בסעיף 1 – </w:t>
            </w:r>
          </w:p>
        </w:tc>
      </w:tr>
      <w:tr w:rsidR="008F462C" w:rsidTr="009C65B1">
        <w:trPr>
          <w:cantSplit/>
        </w:trPr>
        <w:tc>
          <w:tcPr>
            <w:tcW w:w="1873" w:type="dxa"/>
          </w:tcPr>
          <w:p w:rsidR="008F462C" w:rsidRDefault="008F462C" w:rsidP="000C0CA1">
            <w:pPr>
              <w:pStyle w:val="TableSideHeading"/>
              <w:keepLines w:val="0"/>
              <w:rPr>
                <w:b/>
                <w:sz w:val="26"/>
              </w:rPr>
            </w:pPr>
          </w:p>
        </w:tc>
        <w:tc>
          <w:tcPr>
            <w:tcW w:w="624" w:type="dxa"/>
          </w:tcPr>
          <w:p w:rsidR="008F462C" w:rsidRDefault="008F462C" w:rsidP="000C0CA1">
            <w:pPr>
              <w:pStyle w:val="TableText"/>
              <w:rPr>
                <w:sz w:val="26"/>
              </w:rPr>
            </w:pPr>
          </w:p>
        </w:tc>
        <w:tc>
          <w:tcPr>
            <w:tcW w:w="7143" w:type="dxa"/>
            <w:gridSpan w:val="5"/>
            <w:hideMark/>
          </w:tcPr>
          <w:p w:rsidR="008F462C" w:rsidRDefault="008F462C" w:rsidP="009C65B1">
            <w:pPr>
              <w:pStyle w:val="TableBlock"/>
              <w:rPr>
                <w:sz w:val="26"/>
              </w:rPr>
            </w:pPr>
            <w:r>
              <w:rPr>
                <w:sz w:val="26"/>
                <w:rtl/>
              </w:rPr>
              <w:t>(1)</w:t>
            </w:r>
            <w:r>
              <w:rPr>
                <w:sz w:val="26"/>
                <w:rtl/>
              </w:rPr>
              <w:tab/>
              <w:t>בסעיף קטן (א), במקום "רשאי בית הדין" יבוא "רשאית הערכאה השיפוטית אליה הוגשה בקשה לפי סעיף 1א";</w:t>
            </w:r>
          </w:p>
        </w:tc>
      </w:tr>
      <w:tr w:rsidR="008F462C" w:rsidTr="009C65B1">
        <w:trPr>
          <w:cantSplit/>
        </w:trPr>
        <w:tc>
          <w:tcPr>
            <w:tcW w:w="1873" w:type="dxa"/>
          </w:tcPr>
          <w:p w:rsidR="008F462C" w:rsidRDefault="008F462C" w:rsidP="000C0CA1">
            <w:pPr>
              <w:pStyle w:val="TableSideHeading"/>
              <w:keepLines w:val="0"/>
              <w:rPr>
                <w:b/>
                <w:sz w:val="26"/>
              </w:rPr>
            </w:pPr>
          </w:p>
        </w:tc>
        <w:tc>
          <w:tcPr>
            <w:tcW w:w="624" w:type="dxa"/>
          </w:tcPr>
          <w:p w:rsidR="008F462C" w:rsidRDefault="008F462C" w:rsidP="000C0CA1">
            <w:pPr>
              <w:pStyle w:val="TableText"/>
              <w:keepLines w:val="0"/>
              <w:rPr>
                <w:b/>
              </w:rPr>
            </w:pPr>
          </w:p>
        </w:tc>
        <w:tc>
          <w:tcPr>
            <w:tcW w:w="7143" w:type="dxa"/>
            <w:gridSpan w:val="5"/>
            <w:hideMark/>
          </w:tcPr>
          <w:p w:rsidR="008F462C" w:rsidRDefault="008F462C" w:rsidP="009C65B1">
            <w:pPr>
              <w:pStyle w:val="TableBlock"/>
              <w:rPr>
                <w:sz w:val="26"/>
              </w:rPr>
            </w:pPr>
            <w:r>
              <w:rPr>
                <w:sz w:val="26"/>
                <w:rtl/>
              </w:rPr>
              <w:t>(2)</w:t>
            </w:r>
            <w:r>
              <w:rPr>
                <w:sz w:val="26"/>
                <w:rtl/>
              </w:rPr>
              <w:tab/>
              <w:t>בסעיף קטן (ג), אחרי "באישור נשיא בית הדין הרבני הגדול" יבוא "או בית המשפט לענייני משפחה באישור נשיא בית המשפט לענייני משפחה לפי העניין";</w:t>
            </w:r>
          </w:p>
        </w:tc>
      </w:tr>
      <w:tr w:rsidR="008F462C" w:rsidTr="009C65B1">
        <w:trPr>
          <w:cantSplit/>
        </w:trPr>
        <w:tc>
          <w:tcPr>
            <w:tcW w:w="1873" w:type="dxa"/>
          </w:tcPr>
          <w:p w:rsidR="008F462C" w:rsidRDefault="008F462C" w:rsidP="000C0CA1">
            <w:pPr>
              <w:pStyle w:val="TableSideHeading"/>
              <w:keepLines w:val="0"/>
              <w:rPr>
                <w:b/>
                <w:sz w:val="26"/>
              </w:rPr>
            </w:pPr>
          </w:p>
        </w:tc>
        <w:tc>
          <w:tcPr>
            <w:tcW w:w="624" w:type="dxa"/>
          </w:tcPr>
          <w:p w:rsidR="008F462C" w:rsidRDefault="008F462C" w:rsidP="000C0CA1">
            <w:pPr>
              <w:pStyle w:val="TableText"/>
              <w:keepLines w:val="0"/>
              <w:rPr>
                <w:b/>
              </w:rPr>
            </w:pPr>
          </w:p>
        </w:tc>
        <w:tc>
          <w:tcPr>
            <w:tcW w:w="7143" w:type="dxa"/>
            <w:gridSpan w:val="5"/>
            <w:hideMark/>
          </w:tcPr>
          <w:p w:rsidR="008F462C" w:rsidRDefault="008F462C" w:rsidP="009C65B1">
            <w:pPr>
              <w:pStyle w:val="TableBlock"/>
              <w:rPr>
                <w:sz w:val="26"/>
              </w:rPr>
            </w:pPr>
            <w:r>
              <w:rPr>
                <w:sz w:val="26"/>
                <w:rtl/>
              </w:rPr>
              <w:t>(3)</w:t>
            </w:r>
            <w:r>
              <w:rPr>
                <w:sz w:val="26"/>
                <w:rtl/>
              </w:rPr>
              <w:tab/>
              <w:t xml:space="preserve">בסעיף קטן (ה), אחרי "נשיא בית הדין הרבני הגדול" יבוא "או נשיא בית המשפט לענייני משפחה לפי העניין". </w:t>
            </w:r>
          </w:p>
        </w:tc>
      </w:tr>
      <w:tr w:rsidR="008F462C" w:rsidTr="009C65B1">
        <w:trPr>
          <w:cantSplit/>
        </w:trPr>
        <w:tc>
          <w:tcPr>
            <w:tcW w:w="1873" w:type="dxa"/>
            <w:hideMark/>
          </w:tcPr>
          <w:p w:rsidR="008F462C" w:rsidRDefault="008F462C" w:rsidP="000C0CA1">
            <w:pPr>
              <w:pStyle w:val="TableSideHeading"/>
              <w:keepLines w:val="0"/>
              <w:rPr>
                <w:b/>
                <w:sz w:val="26"/>
              </w:rPr>
            </w:pPr>
            <w:r>
              <w:rPr>
                <w:b/>
                <w:sz w:val="26"/>
                <w:rtl/>
              </w:rPr>
              <w:t>הוספת סעיף 1א</w:t>
            </w:r>
          </w:p>
        </w:tc>
        <w:tc>
          <w:tcPr>
            <w:tcW w:w="624" w:type="dxa"/>
            <w:hideMark/>
          </w:tcPr>
          <w:p w:rsidR="008F462C" w:rsidRDefault="008F462C" w:rsidP="000C0CA1">
            <w:pPr>
              <w:pStyle w:val="TableText"/>
              <w:rPr>
                <w:sz w:val="26"/>
              </w:rPr>
            </w:pPr>
            <w:r>
              <w:rPr>
                <w:b/>
                <w:sz w:val="26"/>
                <w:rtl/>
              </w:rPr>
              <w:t>2.</w:t>
            </w:r>
          </w:p>
        </w:tc>
        <w:tc>
          <w:tcPr>
            <w:tcW w:w="7143" w:type="dxa"/>
            <w:gridSpan w:val="5"/>
            <w:hideMark/>
          </w:tcPr>
          <w:p w:rsidR="008F462C" w:rsidRDefault="008F462C" w:rsidP="009C65B1">
            <w:pPr>
              <w:pStyle w:val="TableBlock"/>
              <w:rPr>
                <w:color w:val="008000"/>
                <w:sz w:val="26"/>
              </w:rPr>
            </w:pPr>
            <w:r>
              <w:rPr>
                <w:sz w:val="26"/>
                <w:rtl/>
              </w:rPr>
              <w:t xml:space="preserve">אחרי סעיף 1 לחוק העיקרי יבוא: </w:t>
            </w:r>
          </w:p>
        </w:tc>
      </w:tr>
      <w:tr w:rsidR="008F462C" w:rsidTr="009C65B1">
        <w:trPr>
          <w:cantSplit/>
        </w:trPr>
        <w:tc>
          <w:tcPr>
            <w:tcW w:w="1873" w:type="dxa"/>
          </w:tcPr>
          <w:p w:rsidR="008F462C" w:rsidRDefault="008F462C" w:rsidP="000C0CA1">
            <w:pPr>
              <w:pStyle w:val="TableSideHeading"/>
              <w:keepLines w:val="0"/>
            </w:pPr>
          </w:p>
        </w:tc>
        <w:tc>
          <w:tcPr>
            <w:tcW w:w="624" w:type="dxa"/>
          </w:tcPr>
          <w:p w:rsidR="008F462C" w:rsidRDefault="008F462C" w:rsidP="000C0CA1">
            <w:pPr>
              <w:pStyle w:val="TableText"/>
              <w:keepLines w:val="0"/>
            </w:pPr>
          </w:p>
        </w:tc>
        <w:tc>
          <w:tcPr>
            <w:tcW w:w="1872" w:type="dxa"/>
            <w:gridSpan w:val="3"/>
            <w:hideMark/>
          </w:tcPr>
          <w:p w:rsidR="008F462C" w:rsidRDefault="008F462C" w:rsidP="000C0CA1">
            <w:pPr>
              <w:pStyle w:val="TableInnerSideHeading"/>
            </w:pPr>
            <w:r>
              <w:rPr>
                <w:b/>
                <w:sz w:val="26"/>
                <w:rtl/>
              </w:rPr>
              <w:t>"סמכות מתן צו הגבלה</w:t>
            </w:r>
          </w:p>
        </w:tc>
        <w:tc>
          <w:tcPr>
            <w:tcW w:w="624" w:type="dxa"/>
            <w:hideMark/>
          </w:tcPr>
          <w:p w:rsidR="008F462C" w:rsidRDefault="008F462C" w:rsidP="000C0CA1">
            <w:pPr>
              <w:pStyle w:val="TableText"/>
            </w:pPr>
            <w:r>
              <w:rPr>
                <w:sz w:val="26"/>
                <w:rtl/>
              </w:rPr>
              <w:t>1א.</w:t>
            </w:r>
          </w:p>
        </w:tc>
        <w:tc>
          <w:tcPr>
            <w:tcW w:w="4647" w:type="dxa"/>
            <w:hideMark/>
          </w:tcPr>
          <w:p w:rsidR="008F462C" w:rsidRDefault="008F462C" w:rsidP="009C65B1">
            <w:pPr>
              <w:pStyle w:val="TableBlock"/>
              <w:rPr>
                <w:color w:val="FF0000"/>
              </w:rPr>
            </w:pPr>
            <w:r>
              <w:rPr>
                <w:sz w:val="26"/>
                <w:rtl/>
              </w:rPr>
              <w:t>(א)</w:t>
            </w:r>
            <w:r>
              <w:rPr>
                <w:sz w:val="26"/>
                <w:rtl/>
              </w:rPr>
              <w:tab/>
              <w:t xml:space="preserve">לאחר שבית הדין הרבני קבע בפסק דין שיש ליתן או לקבל גט, רשאים בעלי הדין להגיש בקשה לבית הדין הרבני או לבית המשפט לענייני משפחה, לפי בחירתם, לשם הטלת צו הגבלה נגד הצד שאינו מקיים את פסק הדין. </w:t>
            </w:r>
          </w:p>
        </w:tc>
      </w:tr>
      <w:tr w:rsidR="008F462C" w:rsidTr="009C65B1">
        <w:trPr>
          <w:cantSplit/>
        </w:trPr>
        <w:tc>
          <w:tcPr>
            <w:tcW w:w="1873" w:type="dxa"/>
          </w:tcPr>
          <w:p w:rsidR="008F462C" w:rsidRDefault="008F462C" w:rsidP="000C0CA1">
            <w:pPr>
              <w:pStyle w:val="TableSideHeading"/>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4647" w:type="dxa"/>
            <w:hideMark/>
          </w:tcPr>
          <w:p w:rsidR="008F462C" w:rsidRDefault="008F462C" w:rsidP="009C65B1">
            <w:pPr>
              <w:pStyle w:val="TableBlock"/>
              <w:rPr>
                <w:color w:val="FF0000"/>
              </w:rPr>
            </w:pPr>
            <w:r>
              <w:rPr>
                <w:sz w:val="26"/>
                <w:rtl/>
              </w:rPr>
              <w:t>(ב)</w:t>
            </w:r>
            <w:r>
              <w:rPr>
                <w:sz w:val="26"/>
                <w:rtl/>
              </w:rPr>
              <w:tab/>
              <w:t xml:space="preserve">החל בית הדין הרבני או </w:t>
            </w:r>
            <w:r>
              <w:rPr>
                <w:color w:val="auto"/>
                <w:sz w:val="26"/>
                <w:rtl/>
              </w:rPr>
              <w:t>בית המשפט לענייני משפחה את הדיון בצו ההגבלה, תהא סמכות הדיון בצו ההגבלה נתונה לאותה ערכאה שיפוטית עד למתן הגט על ידי בעל הדין הסרבן.</w:t>
            </w:r>
            <w:r>
              <w:rPr>
                <w:sz w:val="26"/>
                <w:rtl/>
              </w:rPr>
              <w:t xml:space="preserve">  </w:t>
            </w:r>
          </w:p>
        </w:tc>
      </w:tr>
      <w:tr w:rsidR="008F462C" w:rsidTr="009C65B1">
        <w:trPr>
          <w:cantSplit/>
        </w:trPr>
        <w:tc>
          <w:tcPr>
            <w:tcW w:w="1873" w:type="dxa"/>
          </w:tcPr>
          <w:p w:rsidR="008F462C" w:rsidRDefault="008F462C" w:rsidP="000C0CA1">
            <w:pPr>
              <w:pStyle w:val="TableSideHeading"/>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4647" w:type="dxa"/>
            <w:hideMark/>
          </w:tcPr>
          <w:p w:rsidR="008F462C" w:rsidRDefault="008F462C" w:rsidP="009C65B1">
            <w:pPr>
              <w:pStyle w:val="TableBlock"/>
              <w:rPr>
                <w:sz w:val="26"/>
              </w:rPr>
            </w:pPr>
            <w:r>
              <w:rPr>
                <w:sz w:val="26"/>
                <w:rtl/>
              </w:rPr>
              <w:t>(ג)</w:t>
            </w:r>
            <w:r>
              <w:rPr>
                <w:sz w:val="26"/>
                <w:rtl/>
              </w:rPr>
              <w:tab/>
              <w:t>בחוק זה, "הערכאה השיפוטית" – בית הדין הרבני או בית המשפט לענייני משפחה אליו הוגשה בקשה לפי סעיף זה."</w:t>
            </w:r>
          </w:p>
        </w:tc>
      </w:tr>
      <w:tr w:rsidR="008F462C" w:rsidTr="009C65B1">
        <w:trPr>
          <w:cantSplit/>
        </w:trPr>
        <w:tc>
          <w:tcPr>
            <w:tcW w:w="1873" w:type="dxa"/>
            <w:hideMark/>
          </w:tcPr>
          <w:p w:rsidR="008F462C" w:rsidRDefault="008F462C" w:rsidP="000C0CA1">
            <w:pPr>
              <w:pStyle w:val="TableSideHeading"/>
              <w:ind w:right="0"/>
              <w:rPr>
                <w:sz w:val="26"/>
              </w:rPr>
            </w:pPr>
            <w:r>
              <w:rPr>
                <w:sz w:val="26"/>
                <w:rtl/>
              </w:rPr>
              <w:lastRenderedPageBreak/>
              <w:t>תיקון סעיף 2</w:t>
            </w:r>
          </w:p>
        </w:tc>
        <w:tc>
          <w:tcPr>
            <w:tcW w:w="624" w:type="dxa"/>
            <w:hideMark/>
          </w:tcPr>
          <w:p w:rsidR="008F462C" w:rsidRDefault="008F462C" w:rsidP="000C0CA1">
            <w:pPr>
              <w:pStyle w:val="TableText"/>
              <w:ind w:right="0"/>
              <w:jc w:val="both"/>
            </w:pPr>
            <w:r>
              <w:rPr>
                <w:sz w:val="26"/>
                <w:rtl/>
              </w:rPr>
              <w:t>3.</w:t>
            </w:r>
          </w:p>
        </w:tc>
        <w:tc>
          <w:tcPr>
            <w:tcW w:w="7143" w:type="dxa"/>
            <w:gridSpan w:val="5"/>
            <w:hideMark/>
          </w:tcPr>
          <w:p w:rsidR="008F462C" w:rsidRDefault="008F462C" w:rsidP="009C65B1">
            <w:pPr>
              <w:pStyle w:val="TableBlock"/>
              <w:rPr>
                <w:sz w:val="26"/>
              </w:rPr>
            </w:pPr>
            <w:r>
              <w:rPr>
                <w:sz w:val="26"/>
                <w:rtl/>
              </w:rPr>
              <w:t xml:space="preserve">בסעיף 2 לחוק העיקרי, בכל מקום, במקום "רשאי בית הדין הרבני" יבוא "רשאית הערכאה השיפוטית". </w:t>
            </w:r>
          </w:p>
        </w:tc>
      </w:tr>
      <w:tr w:rsidR="008F462C" w:rsidTr="009C65B1">
        <w:trPr>
          <w:cantSplit/>
        </w:trPr>
        <w:tc>
          <w:tcPr>
            <w:tcW w:w="1873" w:type="dxa"/>
            <w:hideMark/>
          </w:tcPr>
          <w:p w:rsidR="008F462C" w:rsidRDefault="008F462C" w:rsidP="000C0CA1">
            <w:pPr>
              <w:pStyle w:val="TableSideHeading"/>
              <w:ind w:right="0"/>
              <w:rPr>
                <w:sz w:val="26"/>
              </w:rPr>
            </w:pPr>
            <w:r>
              <w:rPr>
                <w:sz w:val="26"/>
                <w:rtl/>
              </w:rPr>
              <w:t>תיקון סעיף 2א</w:t>
            </w:r>
          </w:p>
        </w:tc>
        <w:tc>
          <w:tcPr>
            <w:tcW w:w="624" w:type="dxa"/>
            <w:hideMark/>
          </w:tcPr>
          <w:p w:rsidR="008F462C" w:rsidRDefault="008F462C" w:rsidP="000C0CA1">
            <w:pPr>
              <w:pStyle w:val="TableText"/>
              <w:rPr>
                <w:sz w:val="26"/>
              </w:rPr>
            </w:pPr>
            <w:r>
              <w:rPr>
                <w:sz w:val="26"/>
                <w:rtl/>
              </w:rPr>
              <w:t xml:space="preserve">4. </w:t>
            </w:r>
          </w:p>
        </w:tc>
        <w:tc>
          <w:tcPr>
            <w:tcW w:w="7143" w:type="dxa"/>
            <w:gridSpan w:val="5"/>
            <w:hideMark/>
          </w:tcPr>
          <w:p w:rsidR="008F462C" w:rsidRDefault="008F462C" w:rsidP="009C65B1">
            <w:pPr>
              <w:pStyle w:val="TableBlock"/>
              <w:rPr>
                <w:color w:val="auto"/>
                <w:sz w:val="26"/>
              </w:rPr>
            </w:pPr>
            <w:r>
              <w:rPr>
                <w:color w:val="auto"/>
                <w:sz w:val="26"/>
                <w:rtl/>
              </w:rPr>
              <w:t xml:space="preserve">בסעיף 2א לחוק העיקרי – </w:t>
            </w:r>
          </w:p>
        </w:tc>
      </w:tr>
      <w:tr w:rsidR="008F462C" w:rsidTr="009C65B1">
        <w:trPr>
          <w:cantSplit/>
        </w:trPr>
        <w:tc>
          <w:tcPr>
            <w:tcW w:w="1873" w:type="dxa"/>
          </w:tcPr>
          <w:p w:rsidR="008F462C" w:rsidRDefault="008F462C" w:rsidP="000C0CA1">
            <w:pPr>
              <w:pStyle w:val="TableSideHeading"/>
              <w:ind w:right="0"/>
              <w:rPr>
                <w:sz w:val="26"/>
              </w:rPr>
            </w:pPr>
          </w:p>
        </w:tc>
        <w:tc>
          <w:tcPr>
            <w:tcW w:w="624" w:type="dxa"/>
          </w:tcPr>
          <w:p w:rsidR="008F462C" w:rsidRDefault="008F462C" w:rsidP="000C0CA1">
            <w:pPr>
              <w:pStyle w:val="TableText"/>
              <w:rPr>
                <w:sz w:val="26"/>
              </w:rPr>
            </w:pPr>
          </w:p>
        </w:tc>
        <w:tc>
          <w:tcPr>
            <w:tcW w:w="7143" w:type="dxa"/>
            <w:gridSpan w:val="5"/>
            <w:hideMark/>
          </w:tcPr>
          <w:p w:rsidR="008F462C" w:rsidRDefault="008F462C" w:rsidP="009C65B1">
            <w:pPr>
              <w:pStyle w:val="TableBlock"/>
              <w:rPr>
                <w:color w:val="auto"/>
                <w:sz w:val="26"/>
              </w:rPr>
            </w:pPr>
            <w:r>
              <w:rPr>
                <w:color w:val="auto"/>
                <w:sz w:val="26"/>
                <w:rtl/>
              </w:rPr>
              <w:t>(1)</w:t>
            </w:r>
            <w:r>
              <w:rPr>
                <w:color w:val="auto"/>
                <w:sz w:val="26"/>
                <w:rtl/>
              </w:rPr>
              <w:tab/>
              <w:t xml:space="preserve">בסעיף קטן (א), ברישה – </w:t>
            </w:r>
          </w:p>
        </w:tc>
      </w:tr>
      <w:tr w:rsidR="008F462C" w:rsidTr="009C65B1">
        <w:trPr>
          <w:cantSplit/>
        </w:trPr>
        <w:tc>
          <w:tcPr>
            <w:tcW w:w="1873" w:type="dxa"/>
          </w:tcPr>
          <w:p w:rsidR="008F462C" w:rsidRDefault="008F462C" w:rsidP="000C0CA1">
            <w:pPr>
              <w:pStyle w:val="TableSideHeading"/>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6519" w:type="dxa"/>
            <w:gridSpan w:val="4"/>
            <w:hideMark/>
          </w:tcPr>
          <w:p w:rsidR="008F462C" w:rsidRDefault="008F462C" w:rsidP="009C65B1">
            <w:pPr>
              <w:pStyle w:val="TableBlock"/>
            </w:pPr>
            <w:r>
              <w:rPr>
                <w:sz w:val="26"/>
                <w:rtl/>
              </w:rPr>
              <w:t>(א)</w:t>
            </w:r>
            <w:r>
              <w:rPr>
                <w:sz w:val="26"/>
                <w:rtl/>
              </w:rPr>
              <w:tab/>
            </w:r>
            <w:r>
              <w:rPr>
                <w:color w:val="auto"/>
                <w:sz w:val="26"/>
                <w:rtl/>
              </w:rPr>
              <w:t>במקום "נתן בית הדין" יבוא "נתנה הערכאה השיפוטית";</w:t>
            </w:r>
          </w:p>
        </w:tc>
      </w:tr>
      <w:tr w:rsidR="008F462C" w:rsidTr="009C65B1">
        <w:trPr>
          <w:cantSplit/>
        </w:trPr>
        <w:tc>
          <w:tcPr>
            <w:tcW w:w="1873" w:type="dxa"/>
          </w:tcPr>
          <w:p w:rsidR="008F462C" w:rsidRDefault="008F462C" w:rsidP="000C0CA1">
            <w:pPr>
              <w:pStyle w:val="TableSideHeading"/>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6519" w:type="dxa"/>
            <w:gridSpan w:val="4"/>
            <w:hideMark/>
          </w:tcPr>
          <w:p w:rsidR="008F462C" w:rsidRDefault="008F462C" w:rsidP="009C65B1">
            <w:pPr>
              <w:pStyle w:val="TableBlock"/>
              <w:rPr>
                <w:sz w:val="26"/>
              </w:rPr>
            </w:pPr>
            <w:r>
              <w:rPr>
                <w:sz w:val="26"/>
                <w:rtl/>
              </w:rPr>
              <w:t>(ב)</w:t>
            </w:r>
            <w:r>
              <w:rPr>
                <w:sz w:val="26"/>
                <w:rtl/>
              </w:rPr>
              <w:tab/>
            </w:r>
            <w:r>
              <w:rPr>
                <w:color w:val="auto"/>
                <w:sz w:val="26"/>
                <w:rtl/>
              </w:rPr>
              <w:t>במקום "רשאי בית הדין" יבוא "רשאית הערכאה השיפוטית";</w:t>
            </w:r>
          </w:p>
        </w:tc>
      </w:tr>
      <w:tr w:rsidR="008F462C" w:rsidTr="009C65B1">
        <w:trPr>
          <w:cantSplit/>
        </w:trPr>
        <w:tc>
          <w:tcPr>
            <w:tcW w:w="1873" w:type="dxa"/>
          </w:tcPr>
          <w:p w:rsidR="008F462C" w:rsidRDefault="008F462C" w:rsidP="000C0CA1">
            <w:pPr>
              <w:pStyle w:val="TableSideHeading"/>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6519" w:type="dxa"/>
            <w:gridSpan w:val="4"/>
            <w:hideMark/>
          </w:tcPr>
          <w:p w:rsidR="008F462C" w:rsidRDefault="008F462C" w:rsidP="009C65B1">
            <w:pPr>
              <w:pStyle w:val="TableBlock"/>
              <w:rPr>
                <w:sz w:val="26"/>
              </w:rPr>
            </w:pPr>
            <w:r>
              <w:rPr>
                <w:sz w:val="26"/>
                <w:rtl/>
              </w:rPr>
              <w:t>(ג)</w:t>
            </w:r>
            <w:r>
              <w:rPr>
                <w:sz w:val="26"/>
                <w:rtl/>
              </w:rPr>
              <w:tab/>
              <w:t>במקום "רשאי בית הדין הרבני" יבוא "רשאית הערכאה השיפוטית";</w:t>
            </w:r>
          </w:p>
        </w:tc>
      </w:tr>
      <w:tr w:rsidR="008F462C" w:rsidTr="009C65B1">
        <w:trPr>
          <w:cantSplit/>
        </w:trPr>
        <w:tc>
          <w:tcPr>
            <w:tcW w:w="1873" w:type="dxa"/>
          </w:tcPr>
          <w:p w:rsidR="008F462C" w:rsidRDefault="008F462C" w:rsidP="000C0CA1">
            <w:pPr>
              <w:pStyle w:val="TableSideHeading"/>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6519" w:type="dxa"/>
            <w:gridSpan w:val="4"/>
            <w:hideMark/>
          </w:tcPr>
          <w:p w:rsidR="008F462C" w:rsidRDefault="008F462C" w:rsidP="009C65B1">
            <w:pPr>
              <w:pStyle w:val="TableBlock"/>
              <w:rPr>
                <w:sz w:val="26"/>
              </w:rPr>
            </w:pPr>
            <w:r>
              <w:rPr>
                <w:sz w:val="26"/>
                <w:rtl/>
              </w:rPr>
              <w:t>(ד)</w:t>
            </w:r>
            <w:r>
              <w:rPr>
                <w:sz w:val="26"/>
                <w:rtl/>
              </w:rPr>
              <w:tab/>
              <w:t>בפסקה (3), במקום "בית הדין הרבני לא יורה" יבוא "הערכאה השיפוטית לא תורה";</w:t>
            </w:r>
          </w:p>
        </w:tc>
      </w:tr>
      <w:tr w:rsidR="008F462C" w:rsidTr="009C65B1">
        <w:trPr>
          <w:cantSplit/>
        </w:trPr>
        <w:tc>
          <w:tcPr>
            <w:tcW w:w="1873" w:type="dxa"/>
          </w:tcPr>
          <w:p w:rsidR="008F462C" w:rsidRDefault="008F462C" w:rsidP="000C0CA1">
            <w:pPr>
              <w:pStyle w:val="TableSideHeading"/>
              <w:ind w:right="0"/>
              <w:rPr>
                <w:sz w:val="26"/>
              </w:rPr>
            </w:pPr>
          </w:p>
        </w:tc>
        <w:tc>
          <w:tcPr>
            <w:tcW w:w="624" w:type="dxa"/>
          </w:tcPr>
          <w:p w:rsidR="008F462C" w:rsidRDefault="008F462C" w:rsidP="000C0CA1">
            <w:pPr>
              <w:pStyle w:val="TableText"/>
              <w:rPr>
                <w:sz w:val="26"/>
              </w:rPr>
            </w:pPr>
          </w:p>
        </w:tc>
        <w:tc>
          <w:tcPr>
            <w:tcW w:w="7143" w:type="dxa"/>
            <w:gridSpan w:val="5"/>
            <w:hideMark/>
          </w:tcPr>
          <w:p w:rsidR="008F462C" w:rsidRDefault="008F462C" w:rsidP="009C65B1">
            <w:pPr>
              <w:pStyle w:val="TableBlock"/>
              <w:rPr>
                <w:color w:val="auto"/>
                <w:sz w:val="26"/>
              </w:rPr>
            </w:pPr>
            <w:r>
              <w:rPr>
                <w:color w:val="auto"/>
                <w:sz w:val="26"/>
                <w:rtl/>
              </w:rPr>
              <w:t>(2)</w:t>
            </w:r>
            <w:r>
              <w:rPr>
                <w:color w:val="auto"/>
                <w:sz w:val="26"/>
                <w:rtl/>
              </w:rPr>
              <w:tab/>
              <w:t>בסעיף קטן (ב), במקום "בית הדין הרבני לא יורה" יבוא "הערכאה השיפוטית לא תורה"</w:t>
            </w:r>
            <w:r>
              <w:rPr>
                <w:sz w:val="26"/>
                <w:rtl/>
              </w:rPr>
              <w:t>, ובמקום "שוכנע" יבוא "שוכנעה"</w:t>
            </w:r>
            <w:r>
              <w:rPr>
                <w:color w:val="auto"/>
                <w:sz w:val="26"/>
                <w:rtl/>
              </w:rPr>
              <w:t>.</w:t>
            </w:r>
          </w:p>
        </w:tc>
      </w:tr>
      <w:tr w:rsidR="008F462C" w:rsidTr="009C65B1">
        <w:trPr>
          <w:cantSplit/>
        </w:trPr>
        <w:tc>
          <w:tcPr>
            <w:tcW w:w="1873" w:type="dxa"/>
            <w:hideMark/>
          </w:tcPr>
          <w:p w:rsidR="008F462C" w:rsidRDefault="008F462C" w:rsidP="000C0CA1">
            <w:pPr>
              <w:pStyle w:val="TableSideHeading"/>
              <w:ind w:right="0"/>
              <w:rPr>
                <w:sz w:val="26"/>
              </w:rPr>
            </w:pPr>
            <w:r>
              <w:rPr>
                <w:sz w:val="26"/>
                <w:rtl/>
              </w:rPr>
              <w:t>תיקון סעיף 3</w:t>
            </w:r>
          </w:p>
        </w:tc>
        <w:tc>
          <w:tcPr>
            <w:tcW w:w="624" w:type="dxa"/>
            <w:hideMark/>
          </w:tcPr>
          <w:p w:rsidR="008F462C" w:rsidRPr="0047590A" w:rsidRDefault="008F462C" w:rsidP="000C0CA1">
            <w:pPr>
              <w:pStyle w:val="TableText"/>
              <w:ind w:right="0"/>
              <w:jc w:val="both"/>
            </w:pPr>
            <w:r w:rsidRPr="0047590A">
              <w:rPr>
                <w:rtl/>
              </w:rPr>
              <w:t>5.</w:t>
            </w:r>
          </w:p>
        </w:tc>
        <w:tc>
          <w:tcPr>
            <w:tcW w:w="7143" w:type="dxa"/>
            <w:gridSpan w:val="5"/>
            <w:hideMark/>
          </w:tcPr>
          <w:p w:rsidR="008F462C" w:rsidRDefault="008F462C" w:rsidP="009C65B1">
            <w:pPr>
              <w:pStyle w:val="TableBlock"/>
              <w:rPr>
                <w:sz w:val="26"/>
              </w:rPr>
            </w:pPr>
            <w:r>
              <w:rPr>
                <w:sz w:val="26"/>
                <w:rtl/>
              </w:rPr>
              <w:t xml:space="preserve">בסעיף 3 לחוק העיקרי – </w:t>
            </w:r>
          </w:p>
        </w:tc>
      </w:tr>
      <w:tr w:rsidR="008F462C" w:rsidTr="009C65B1">
        <w:trPr>
          <w:cantSplit/>
        </w:trPr>
        <w:tc>
          <w:tcPr>
            <w:tcW w:w="1873" w:type="dxa"/>
          </w:tcPr>
          <w:p w:rsidR="008F462C" w:rsidRDefault="008F462C" w:rsidP="000C0CA1">
            <w:pPr>
              <w:pStyle w:val="TableSideHeading"/>
              <w:ind w:right="0"/>
              <w:rPr>
                <w:sz w:val="26"/>
              </w:rPr>
            </w:pPr>
          </w:p>
        </w:tc>
        <w:tc>
          <w:tcPr>
            <w:tcW w:w="624" w:type="dxa"/>
          </w:tcPr>
          <w:p w:rsidR="008F462C" w:rsidRDefault="008F462C" w:rsidP="000C0CA1">
            <w:pPr>
              <w:pStyle w:val="TableText"/>
              <w:rPr>
                <w:sz w:val="26"/>
              </w:rPr>
            </w:pPr>
          </w:p>
        </w:tc>
        <w:tc>
          <w:tcPr>
            <w:tcW w:w="7143" w:type="dxa"/>
            <w:gridSpan w:val="5"/>
            <w:hideMark/>
          </w:tcPr>
          <w:p w:rsidR="008F462C" w:rsidRDefault="008F462C" w:rsidP="009C65B1">
            <w:pPr>
              <w:pStyle w:val="TableBlock"/>
              <w:rPr>
                <w:sz w:val="26"/>
              </w:rPr>
            </w:pPr>
            <w:r>
              <w:rPr>
                <w:sz w:val="26"/>
                <w:rtl/>
              </w:rPr>
              <w:t>(1)</w:t>
            </w:r>
            <w:r>
              <w:rPr>
                <w:sz w:val="26"/>
                <w:rtl/>
              </w:rPr>
              <w:tab/>
              <w:t xml:space="preserve">בסעיף קטן (א) – </w:t>
            </w:r>
          </w:p>
        </w:tc>
      </w:tr>
      <w:tr w:rsidR="008F462C" w:rsidTr="009C65B1">
        <w:trPr>
          <w:cantSplit/>
        </w:trPr>
        <w:tc>
          <w:tcPr>
            <w:tcW w:w="1873" w:type="dxa"/>
          </w:tcPr>
          <w:p w:rsidR="008F462C" w:rsidRDefault="008F462C" w:rsidP="000C0CA1">
            <w:pPr>
              <w:pStyle w:val="TableSideHeading"/>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6519" w:type="dxa"/>
            <w:gridSpan w:val="4"/>
            <w:hideMark/>
          </w:tcPr>
          <w:p w:rsidR="008F462C" w:rsidRDefault="008F462C" w:rsidP="009C65B1">
            <w:pPr>
              <w:pStyle w:val="TableBlock"/>
            </w:pPr>
            <w:r>
              <w:rPr>
                <w:sz w:val="26"/>
                <w:rtl/>
              </w:rPr>
              <w:t>(א)</w:t>
            </w:r>
            <w:r>
              <w:rPr>
                <w:sz w:val="26"/>
                <w:rtl/>
              </w:rPr>
              <w:tab/>
              <w:t>במקום "ציווה בית דין רבני" יבוא "ציוותה הערכאה השיפוטית";</w:t>
            </w:r>
          </w:p>
        </w:tc>
      </w:tr>
      <w:tr w:rsidR="008F462C" w:rsidTr="009C65B1">
        <w:trPr>
          <w:cantSplit/>
        </w:trPr>
        <w:tc>
          <w:tcPr>
            <w:tcW w:w="1873" w:type="dxa"/>
          </w:tcPr>
          <w:p w:rsidR="008F462C" w:rsidRDefault="008F462C" w:rsidP="000C0CA1">
            <w:pPr>
              <w:pStyle w:val="TableSideHeading"/>
            </w:pPr>
          </w:p>
        </w:tc>
        <w:tc>
          <w:tcPr>
            <w:tcW w:w="624" w:type="dxa"/>
          </w:tcPr>
          <w:p w:rsidR="008F462C" w:rsidRDefault="008F462C" w:rsidP="000C0CA1">
            <w:pPr>
              <w:pStyle w:val="TableText"/>
            </w:pPr>
          </w:p>
        </w:tc>
        <w:tc>
          <w:tcPr>
            <w:tcW w:w="624" w:type="dxa"/>
          </w:tcPr>
          <w:p w:rsidR="008F462C" w:rsidRDefault="008F462C" w:rsidP="000C0CA1">
            <w:pPr>
              <w:pStyle w:val="TableText"/>
            </w:pPr>
          </w:p>
        </w:tc>
        <w:tc>
          <w:tcPr>
            <w:tcW w:w="6519" w:type="dxa"/>
            <w:gridSpan w:val="4"/>
            <w:hideMark/>
          </w:tcPr>
          <w:p w:rsidR="008F462C" w:rsidRDefault="008F462C" w:rsidP="009C65B1">
            <w:pPr>
              <w:pStyle w:val="TableBlock"/>
              <w:rPr>
                <w:sz w:val="26"/>
              </w:rPr>
            </w:pPr>
            <w:r>
              <w:rPr>
                <w:sz w:val="26"/>
                <w:rtl/>
              </w:rPr>
              <w:t>(ב)</w:t>
            </w:r>
            <w:r>
              <w:rPr>
                <w:sz w:val="26"/>
                <w:rtl/>
              </w:rPr>
              <w:tab/>
            </w:r>
            <w:r w:rsidR="009859FD">
              <w:rPr>
                <w:sz w:val="26"/>
                <w:rtl/>
              </w:rPr>
              <w:t xml:space="preserve">אחרי "בית הדין הרבני שנתן את הצו" יבוא "או </w:t>
            </w:r>
            <w:r>
              <w:rPr>
                <w:sz w:val="26"/>
                <w:rtl/>
              </w:rPr>
              <w:t xml:space="preserve">בית </w:t>
            </w:r>
            <w:r w:rsidR="009859FD">
              <w:rPr>
                <w:sz w:val="26"/>
                <w:rtl/>
              </w:rPr>
              <w:t>המשפט לענייני משפחה שנתן את הצו,</w:t>
            </w:r>
            <w:r>
              <w:rPr>
                <w:sz w:val="26"/>
                <w:rtl/>
              </w:rPr>
              <w:t xml:space="preserve"> לפי הענ</w:t>
            </w:r>
            <w:r w:rsidR="009859FD">
              <w:rPr>
                <w:sz w:val="26"/>
                <w:rtl/>
              </w:rPr>
              <w:t>י</w:t>
            </w:r>
            <w:r>
              <w:rPr>
                <w:sz w:val="26"/>
                <w:rtl/>
              </w:rPr>
              <w:t xml:space="preserve">ין"; </w:t>
            </w:r>
          </w:p>
        </w:tc>
      </w:tr>
      <w:tr w:rsidR="008F462C" w:rsidTr="009C65B1">
        <w:trPr>
          <w:cantSplit/>
        </w:trPr>
        <w:tc>
          <w:tcPr>
            <w:tcW w:w="1873" w:type="dxa"/>
          </w:tcPr>
          <w:p w:rsidR="008F462C" w:rsidRDefault="008F462C" w:rsidP="000C0CA1">
            <w:pPr>
              <w:pStyle w:val="TableSideHeading"/>
              <w:ind w:right="0"/>
              <w:rPr>
                <w:sz w:val="26"/>
              </w:rPr>
            </w:pPr>
          </w:p>
        </w:tc>
        <w:tc>
          <w:tcPr>
            <w:tcW w:w="624" w:type="dxa"/>
          </w:tcPr>
          <w:p w:rsidR="008F462C" w:rsidRDefault="008F462C" w:rsidP="000C0CA1">
            <w:pPr>
              <w:pStyle w:val="TableText"/>
              <w:rPr>
                <w:sz w:val="26"/>
              </w:rPr>
            </w:pPr>
          </w:p>
        </w:tc>
        <w:tc>
          <w:tcPr>
            <w:tcW w:w="7143" w:type="dxa"/>
            <w:gridSpan w:val="5"/>
            <w:hideMark/>
          </w:tcPr>
          <w:p w:rsidR="008F462C" w:rsidRDefault="008F462C" w:rsidP="009C65B1">
            <w:pPr>
              <w:pStyle w:val="TableBlock"/>
              <w:rPr>
                <w:sz w:val="26"/>
              </w:rPr>
            </w:pPr>
            <w:r>
              <w:rPr>
                <w:sz w:val="26"/>
                <w:rtl/>
              </w:rPr>
              <w:t>(2)</w:t>
            </w:r>
            <w:r>
              <w:rPr>
                <w:sz w:val="26"/>
                <w:rtl/>
              </w:rPr>
              <w:tab/>
              <w:t>בסעיף קטן (ב), במקום "רשאי בית הדין, אם ראה" יבוא "רשאית הערכאה השיפוטית, אם ראתה".</w:t>
            </w:r>
          </w:p>
        </w:tc>
      </w:tr>
      <w:tr w:rsidR="008F462C" w:rsidTr="009C65B1">
        <w:trPr>
          <w:cantSplit/>
        </w:trPr>
        <w:tc>
          <w:tcPr>
            <w:tcW w:w="1873" w:type="dxa"/>
            <w:hideMark/>
          </w:tcPr>
          <w:p w:rsidR="008F462C" w:rsidRDefault="008F462C" w:rsidP="000C0CA1">
            <w:pPr>
              <w:pStyle w:val="TableSideHeading"/>
              <w:ind w:right="0"/>
              <w:rPr>
                <w:sz w:val="26"/>
              </w:rPr>
            </w:pPr>
            <w:r>
              <w:rPr>
                <w:sz w:val="26"/>
                <w:rtl/>
              </w:rPr>
              <w:t>תיקון סעיף 3א</w:t>
            </w:r>
          </w:p>
        </w:tc>
        <w:tc>
          <w:tcPr>
            <w:tcW w:w="624" w:type="dxa"/>
            <w:hideMark/>
          </w:tcPr>
          <w:p w:rsidR="008F462C" w:rsidRPr="0047590A" w:rsidRDefault="008F462C" w:rsidP="000C0CA1">
            <w:pPr>
              <w:pStyle w:val="TableText"/>
              <w:ind w:right="0"/>
              <w:jc w:val="both"/>
            </w:pPr>
            <w:r w:rsidRPr="0047590A">
              <w:rPr>
                <w:rtl/>
              </w:rPr>
              <w:t>6.</w:t>
            </w:r>
          </w:p>
        </w:tc>
        <w:tc>
          <w:tcPr>
            <w:tcW w:w="7143" w:type="dxa"/>
            <w:gridSpan w:val="5"/>
            <w:hideMark/>
          </w:tcPr>
          <w:p w:rsidR="008F462C" w:rsidRDefault="008F462C" w:rsidP="009C65B1">
            <w:pPr>
              <w:pStyle w:val="TableBlock"/>
              <w:rPr>
                <w:sz w:val="26"/>
              </w:rPr>
            </w:pPr>
            <w:r>
              <w:rPr>
                <w:sz w:val="26"/>
                <w:rtl/>
              </w:rPr>
              <w:t xml:space="preserve">בסעיף 3א לחוק העיקרי – </w:t>
            </w:r>
          </w:p>
        </w:tc>
      </w:tr>
      <w:tr w:rsidR="008F462C" w:rsidTr="009C65B1">
        <w:trPr>
          <w:cantSplit/>
        </w:trPr>
        <w:tc>
          <w:tcPr>
            <w:tcW w:w="1873" w:type="dxa"/>
          </w:tcPr>
          <w:p w:rsidR="008F462C" w:rsidRDefault="008F462C" w:rsidP="000C0CA1">
            <w:pPr>
              <w:pStyle w:val="TableSideHeading"/>
              <w:ind w:right="0"/>
              <w:rPr>
                <w:sz w:val="26"/>
              </w:rPr>
            </w:pPr>
          </w:p>
        </w:tc>
        <w:tc>
          <w:tcPr>
            <w:tcW w:w="624" w:type="dxa"/>
          </w:tcPr>
          <w:p w:rsidR="008F462C" w:rsidRDefault="008F462C" w:rsidP="000C0CA1">
            <w:pPr>
              <w:pStyle w:val="TableText"/>
              <w:rPr>
                <w:sz w:val="26"/>
              </w:rPr>
            </w:pPr>
          </w:p>
        </w:tc>
        <w:tc>
          <w:tcPr>
            <w:tcW w:w="7143" w:type="dxa"/>
            <w:gridSpan w:val="5"/>
            <w:hideMark/>
          </w:tcPr>
          <w:p w:rsidR="008F462C" w:rsidRDefault="008F462C" w:rsidP="009C65B1">
            <w:pPr>
              <w:pStyle w:val="TableBlock"/>
              <w:rPr>
                <w:sz w:val="26"/>
              </w:rPr>
            </w:pPr>
            <w:r>
              <w:rPr>
                <w:sz w:val="26"/>
                <w:rtl/>
              </w:rPr>
              <w:t>(1)</w:t>
            </w:r>
            <w:r>
              <w:rPr>
                <w:sz w:val="26"/>
                <w:rtl/>
              </w:rPr>
              <w:tab/>
              <w:t>בסעיף קטן (א), במקום "נתן בית הדין" יבוא "נתנה הערכאה השיפוטית", ובמקום "רשאי בית הדין" יבוא "רשאית הערכאה השיפוטית";</w:t>
            </w:r>
          </w:p>
        </w:tc>
      </w:tr>
      <w:tr w:rsidR="008F462C" w:rsidTr="009C65B1">
        <w:trPr>
          <w:cantSplit/>
        </w:trPr>
        <w:tc>
          <w:tcPr>
            <w:tcW w:w="1873" w:type="dxa"/>
          </w:tcPr>
          <w:p w:rsidR="008F462C" w:rsidRDefault="008F462C" w:rsidP="000C0CA1">
            <w:pPr>
              <w:pStyle w:val="TableSideHeading"/>
              <w:ind w:right="0"/>
              <w:rPr>
                <w:sz w:val="26"/>
              </w:rPr>
            </w:pPr>
          </w:p>
        </w:tc>
        <w:tc>
          <w:tcPr>
            <w:tcW w:w="624" w:type="dxa"/>
          </w:tcPr>
          <w:p w:rsidR="008F462C" w:rsidRDefault="008F462C" w:rsidP="000C0CA1">
            <w:pPr>
              <w:pStyle w:val="TableText"/>
              <w:rPr>
                <w:sz w:val="26"/>
              </w:rPr>
            </w:pPr>
          </w:p>
        </w:tc>
        <w:tc>
          <w:tcPr>
            <w:tcW w:w="7143" w:type="dxa"/>
            <w:gridSpan w:val="5"/>
            <w:hideMark/>
          </w:tcPr>
          <w:p w:rsidR="008F462C" w:rsidRDefault="008F462C" w:rsidP="009C65B1">
            <w:pPr>
              <w:pStyle w:val="TableBlock"/>
              <w:rPr>
                <w:sz w:val="26"/>
              </w:rPr>
            </w:pPr>
            <w:r>
              <w:rPr>
                <w:sz w:val="26"/>
                <w:rtl/>
              </w:rPr>
              <w:t>(2)</w:t>
            </w:r>
            <w:r>
              <w:rPr>
                <w:sz w:val="26"/>
                <w:rtl/>
              </w:rPr>
              <w:tab/>
              <w:t>בסעיף קטן (ב), במקום "בית הדין רשאי" יבוא "הערכאה השיפוטית רשאית", ובמקום "שבית הדין ידון" יבוא "שתדון";</w:t>
            </w:r>
          </w:p>
        </w:tc>
      </w:tr>
      <w:tr w:rsidR="008F462C" w:rsidTr="009C65B1">
        <w:trPr>
          <w:cantSplit/>
        </w:trPr>
        <w:tc>
          <w:tcPr>
            <w:tcW w:w="1873" w:type="dxa"/>
          </w:tcPr>
          <w:p w:rsidR="008F462C" w:rsidRDefault="008F462C" w:rsidP="000C0CA1">
            <w:pPr>
              <w:pStyle w:val="TableSideHeading"/>
              <w:ind w:right="0"/>
              <w:rPr>
                <w:sz w:val="26"/>
              </w:rPr>
            </w:pPr>
          </w:p>
        </w:tc>
        <w:tc>
          <w:tcPr>
            <w:tcW w:w="624" w:type="dxa"/>
          </w:tcPr>
          <w:p w:rsidR="008F462C" w:rsidRDefault="008F462C" w:rsidP="000C0CA1">
            <w:pPr>
              <w:pStyle w:val="TableText"/>
              <w:rPr>
                <w:sz w:val="26"/>
              </w:rPr>
            </w:pPr>
          </w:p>
        </w:tc>
        <w:tc>
          <w:tcPr>
            <w:tcW w:w="7143" w:type="dxa"/>
            <w:gridSpan w:val="5"/>
            <w:hideMark/>
          </w:tcPr>
          <w:p w:rsidR="008F462C" w:rsidRDefault="008F462C" w:rsidP="009C65B1">
            <w:pPr>
              <w:pStyle w:val="TableBlock"/>
              <w:rPr>
                <w:sz w:val="26"/>
              </w:rPr>
            </w:pPr>
            <w:r>
              <w:rPr>
                <w:sz w:val="26"/>
                <w:rtl/>
              </w:rPr>
              <w:t>(3)</w:t>
            </w:r>
            <w:r>
              <w:rPr>
                <w:sz w:val="26"/>
                <w:rtl/>
              </w:rPr>
              <w:tab/>
              <w:t>בסעיף קטן (ה), במקום "שבית הדין הורה" יבוא "שהערכאה השיפוטית הורתה".</w:t>
            </w:r>
          </w:p>
        </w:tc>
      </w:tr>
      <w:tr w:rsidR="008F462C" w:rsidTr="009C65B1">
        <w:trPr>
          <w:cantSplit/>
        </w:trPr>
        <w:tc>
          <w:tcPr>
            <w:tcW w:w="1873" w:type="dxa"/>
            <w:hideMark/>
          </w:tcPr>
          <w:p w:rsidR="008F462C" w:rsidRDefault="008F462C" w:rsidP="000C0CA1">
            <w:pPr>
              <w:pStyle w:val="TableSideHeading"/>
              <w:ind w:right="0"/>
              <w:rPr>
                <w:sz w:val="26"/>
              </w:rPr>
            </w:pPr>
            <w:r>
              <w:rPr>
                <w:sz w:val="26"/>
                <w:rtl/>
              </w:rPr>
              <w:t>תיקון סעיף 4</w:t>
            </w:r>
          </w:p>
        </w:tc>
        <w:tc>
          <w:tcPr>
            <w:tcW w:w="624" w:type="dxa"/>
            <w:hideMark/>
          </w:tcPr>
          <w:p w:rsidR="008F462C" w:rsidRPr="0047590A" w:rsidRDefault="008F462C" w:rsidP="000C0CA1">
            <w:pPr>
              <w:pStyle w:val="TableText"/>
              <w:ind w:right="0"/>
              <w:jc w:val="both"/>
            </w:pPr>
            <w:r w:rsidRPr="0047590A">
              <w:rPr>
                <w:rtl/>
              </w:rPr>
              <w:t>7.</w:t>
            </w:r>
          </w:p>
        </w:tc>
        <w:tc>
          <w:tcPr>
            <w:tcW w:w="7143" w:type="dxa"/>
            <w:gridSpan w:val="5"/>
            <w:hideMark/>
          </w:tcPr>
          <w:p w:rsidR="008F462C" w:rsidRDefault="008F462C" w:rsidP="009C65B1">
            <w:pPr>
              <w:pStyle w:val="TableBlock"/>
              <w:rPr>
                <w:sz w:val="26"/>
              </w:rPr>
            </w:pPr>
            <w:r>
              <w:rPr>
                <w:sz w:val="26"/>
                <w:rtl/>
              </w:rPr>
              <w:t>בסעיף 4 לחוק העיקרי –</w:t>
            </w:r>
          </w:p>
        </w:tc>
      </w:tr>
      <w:tr w:rsidR="008F462C" w:rsidTr="009C65B1">
        <w:trPr>
          <w:cantSplit/>
        </w:trPr>
        <w:tc>
          <w:tcPr>
            <w:tcW w:w="1873" w:type="dxa"/>
          </w:tcPr>
          <w:p w:rsidR="008F462C" w:rsidRDefault="008F462C" w:rsidP="000C0CA1">
            <w:pPr>
              <w:pStyle w:val="TableSideHeading"/>
              <w:ind w:right="0"/>
              <w:rPr>
                <w:sz w:val="26"/>
              </w:rPr>
            </w:pPr>
          </w:p>
        </w:tc>
        <w:tc>
          <w:tcPr>
            <w:tcW w:w="624" w:type="dxa"/>
          </w:tcPr>
          <w:p w:rsidR="008F462C" w:rsidRDefault="008F462C" w:rsidP="000C0CA1">
            <w:pPr>
              <w:pStyle w:val="TableText"/>
              <w:rPr>
                <w:sz w:val="26"/>
              </w:rPr>
            </w:pPr>
          </w:p>
        </w:tc>
        <w:tc>
          <w:tcPr>
            <w:tcW w:w="7143" w:type="dxa"/>
            <w:gridSpan w:val="5"/>
            <w:hideMark/>
          </w:tcPr>
          <w:p w:rsidR="008F462C" w:rsidRDefault="008F462C" w:rsidP="009C65B1">
            <w:pPr>
              <w:pStyle w:val="TableBlock"/>
              <w:rPr>
                <w:sz w:val="26"/>
              </w:rPr>
            </w:pPr>
            <w:r>
              <w:rPr>
                <w:sz w:val="26"/>
                <w:rtl/>
              </w:rPr>
              <w:t>(1)</w:t>
            </w:r>
            <w:r>
              <w:rPr>
                <w:sz w:val="26"/>
                <w:rtl/>
              </w:rPr>
              <w:tab/>
              <w:t>בסעיף קטן (ב), במקום "בבואו ליתן צו הגבלה ישקול בית הדין הרבני" יבוא "בבואה ליתן צו הגבלה תשקול הערכאה השיפוטית", ובמקום "החלטת בית הדין" יבוא "ההחלטה";</w:t>
            </w:r>
          </w:p>
        </w:tc>
      </w:tr>
      <w:tr w:rsidR="008F462C" w:rsidTr="009C65B1">
        <w:trPr>
          <w:cantSplit/>
        </w:trPr>
        <w:tc>
          <w:tcPr>
            <w:tcW w:w="1873" w:type="dxa"/>
          </w:tcPr>
          <w:p w:rsidR="008F462C" w:rsidRDefault="008F462C" w:rsidP="000C0CA1">
            <w:pPr>
              <w:pStyle w:val="TableSideHeading"/>
              <w:ind w:right="0"/>
              <w:rPr>
                <w:sz w:val="26"/>
              </w:rPr>
            </w:pPr>
          </w:p>
        </w:tc>
        <w:tc>
          <w:tcPr>
            <w:tcW w:w="624" w:type="dxa"/>
          </w:tcPr>
          <w:p w:rsidR="008F462C" w:rsidRDefault="008F462C" w:rsidP="000C0CA1">
            <w:pPr>
              <w:pStyle w:val="TableText"/>
              <w:rPr>
                <w:sz w:val="26"/>
              </w:rPr>
            </w:pPr>
          </w:p>
        </w:tc>
        <w:tc>
          <w:tcPr>
            <w:tcW w:w="7143" w:type="dxa"/>
            <w:gridSpan w:val="5"/>
            <w:hideMark/>
          </w:tcPr>
          <w:p w:rsidR="008F462C" w:rsidRDefault="008F462C" w:rsidP="009C65B1">
            <w:pPr>
              <w:pStyle w:val="TableBlock"/>
              <w:rPr>
                <w:sz w:val="26"/>
              </w:rPr>
            </w:pPr>
            <w:r>
              <w:rPr>
                <w:sz w:val="26"/>
                <w:rtl/>
              </w:rPr>
              <w:t>(2)</w:t>
            </w:r>
            <w:r>
              <w:rPr>
                <w:sz w:val="26"/>
                <w:rtl/>
              </w:rPr>
              <w:tab/>
              <w:t>בסעיף קטן (ג), במקום "לו" יבוא "לה", במקום "רשאי בית הדין הרבני" יבוא "רשאית הערכאה השיפוטית", במקום "שנתן" יבוא "שנתנה", במקום "ביוזמתו" יבוא "ביוזמתה", במקום "ואולם בית הדין לא ידחה" יבוא "ואולם לא יידחה", ובמקום "ראה" יבוא "ראתה הערכאה השיפוטית".</w:t>
            </w:r>
          </w:p>
        </w:tc>
      </w:tr>
      <w:tr w:rsidR="008F462C" w:rsidTr="009C65B1">
        <w:trPr>
          <w:cantSplit/>
        </w:trPr>
        <w:tc>
          <w:tcPr>
            <w:tcW w:w="1873" w:type="dxa"/>
          </w:tcPr>
          <w:p w:rsidR="008F462C" w:rsidRDefault="008F462C" w:rsidP="000C0CA1">
            <w:pPr>
              <w:pStyle w:val="TableSideHeading"/>
              <w:ind w:right="0"/>
              <w:rPr>
                <w:sz w:val="26"/>
              </w:rPr>
            </w:pPr>
            <w:r>
              <w:rPr>
                <w:sz w:val="26"/>
                <w:rtl/>
              </w:rPr>
              <w:t>תיקון סעיף 4א</w:t>
            </w:r>
          </w:p>
        </w:tc>
        <w:tc>
          <w:tcPr>
            <w:tcW w:w="624" w:type="dxa"/>
          </w:tcPr>
          <w:p w:rsidR="008F462C" w:rsidRDefault="008F462C" w:rsidP="000C0CA1">
            <w:pPr>
              <w:pStyle w:val="TableText"/>
            </w:pPr>
            <w:r>
              <w:rPr>
                <w:rtl/>
              </w:rPr>
              <w:t>8.</w:t>
            </w:r>
          </w:p>
        </w:tc>
        <w:tc>
          <w:tcPr>
            <w:tcW w:w="7143" w:type="dxa"/>
            <w:gridSpan w:val="5"/>
          </w:tcPr>
          <w:p w:rsidR="008F462C" w:rsidRDefault="008F462C" w:rsidP="009C65B1">
            <w:pPr>
              <w:pStyle w:val="TableBlock"/>
              <w:rPr>
                <w:sz w:val="26"/>
                <w:rtl/>
              </w:rPr>
            </w:pPr>
            <w:r>
              <w:rPr>
                <w:sz w:val="26"/>
                <w:rtl/>
              </w:rPr>
              <w:t>בסעיף 4א לחוק העיקרי, בסופו יבוא:</w:t>
            </w:r>
          </w:p>
        </w:tc>
      </w:tr>
      <w:tr w:rsidR="008F462C" w:rsidTr="009C65B1">
        <w:trPr>
          <w:cantSplit/>
        </w:trPr>
        <w:tc>
          <w:tcPr>
            <w:tcW w:w="1873" w:type="dxa"/>
          </w:tcPr>
          <w:p w:rsidR="008F462C" w:rsidRDefault="008F462C" w:rsidP="000C0CA1">
            <w:pPr>
              <w:pStyle w:val="TableSideHeading"/>
              <w:ind w:right="0"/>
              <w:rPr>
                <w:sz w:val="26"/>
                <w:rtl/>
              </w:rPr>
            </w:pPr>
          </w:p>
        </w:tc>
        <w:tc>
          <w:tcPr>
            <w:tcW w:w="624" w:type="dxa"/>
          </w:tcPr>
          <w:p w:rsidR="008F462C" w:rsidRDefault="008F462C" w:rsidP="000C0CA1">
            <w:pPr>
              <w:pStyle w:val="TableText"/>
              <w:rPr>
                <w:rtl/>
              </w:rPr>
            </w:pPr>
          </w:p>
        </w:tc>
        <w:tc>
          <w:tcPr>
            <w:tcW w:w="7143" w:type="dxa"/>
            <w:gridSpan w:val="5"/>
          </w:tcPr>
          <w:p w:rsidR="008F462C" w:rsidRDefault="008F462C" w:rsidP="009C65B1">
            <w:pPr>
              <w:pStyle w:val="TableBlock"/>
              <w:rPr>
                <w:sz w:val="26"/>
                <w:rtl/>
              </w:rPr>
            </w:pPr>
            <w:r>
              <w:rPr>
                <w:sz w:val="26"/>
                <w:rtl/>
              </w:rPr>
              <w:t>"(ד)</w:t>
            </w:r>
            <w:r>
              <w:rPr>
                <w:sz w:val="26"/>
                <w:rtl/>
              </w:rPr>
              <w:tab/>
              <w:t>ניתן צו הגבלה בבית משפט לענייני משפחה, יחולו הוראות סעיף זה לעניין ערעור לבית הדין הרבני הגדול על ערעור לבית המשפט המחוזי."</w:t>
            </w:r>
          </w:p>
        </w:tc>
      </w:tr>
      <w:tr w:rsidR="008F462C" w:rsidTr="009C65B1">
        <w:trPr>
          <w:cantSplit/>
        </w:trPr>
        <w:tc>
          <w:tcPr>
            <w:tcW w:w="1873" w:type="dxa"/>
            <w:hideMark/>
          </w:tcPr>
          <w:p w:rsidR="008F462C" w:rsidRDefault="008F462C" w:rsidP="000C0CA1">
            <w:pPr>
              <w:pStyle w:val="TableSideHeading"/>
              <w:ind w:right="0"/>
              <w:rPr>
                <w:sz w:val="26"/>
              </w:rPr>
            </w:pPr>
            <w:r>
              <w:rPr>
                <w:sz w:val="26"/>
                <w:rtl/>
              </w:rPr>
              <w:t>תיקון סעיף 6</w:t>
            </w:r>
          </w:p>
        </w:tc>
        <w:tc>
          <w:tcPr>
            <w:tcW w:w="624" w:type="dxa"/>
            <w:hideMark/>
          </w:tcPr>
          <w:p w:rsidR="008F462C" w:rsidRPr="0047590A" w:rsidRDefault="008F462C" w:rsidP="000C0CA1">
            <w:pPr>
              <w:pStyle w:val="TableText"/>
              <w:ind w:right="0"/>
              <w:jc w:val="both"/>
            </w:pPr>
            <w:r w:rsidRPr="0047590A">
              <w:rPr>
                <w:rtl/>
              </w:rPr>
              <w:t>9.</w:t>
            </w:r>
          </w:p>
        </w:tc>
        <w:tc>
          <w:tcPr>
            <w:tcW w:w="7143" w:type="dxa"/>
            <w:gridSpan w:val="5"/>
            <w:hideMark/>
          </w:tcPr>
          <w:p w:rsidR="008F462C" w:rsidRDefault="008F462C" w:rsidP="009C65B1">
            <w:pPr>
              <w:pStyle w:val="TableBlock"/>
              <w:rPr>
                <w:sz w:val="26"/>
              </w:rPr>
            </w:pPr>
            <w:r>
              <w:rPr>
                <w:sz w:val="26"/>
                <w:rtl/>
              </w:rPr>
              <w:t xml:space="preserve">בסעיף 6 לחוק העיקרי, במקום "רשאי בית הדין הרבני" יבוא "רשאית הערכאה השיפוטית". </w:t>
            </w:r>
          </w:p>
        </w:tc>
      </w:tr>
      <w:tr w:rsidR="008F462C" w:rsidTr="009C65B1">
        <w:trPr>
          <w:cantSplit/>
        </w:trPr>
        <w:tc>
          <w:tcPr>
            <w:tcW w:w="1873" w:type="dxa"/>
          </w:tcPr>
          <w:p w:rsidR="008F462C" w:rsidRDefault="008F462C" w:rsidP="000C0CA1">
            <w:pPr>
              <w:pStyle w:val="TableSideHeading"/>
              <w:ind w:right="0"/>
              <w:rPr>
                <w:sz w:val="26"/>
                <w:rtl/>
              </w:rPr>
            </w:pPr>
            <w:r>
              <w:rPr>
                <w:sz w:val="26"/>
                <w:rtl/>
              </w:rPr>
              <w:t>תיקון סעיף 12</w:t>
            </w:r>
          </w:p>
        </w:tc>
        <w:tc>
          <w:tcPr>
            <w:tcW w:w="624" w:type="dxa"/>
          </w:tcPr>
          <w:p w:rsidR="008F462C" w:rsidRDefault="008F462C" w:rsidP="000C0CA1">
            <w:pPr>
              <w:pStyle w:val="TableText"/>
              <w:rPr>
                <w:rtl/>
              </w:rPr>
            </w:pPr>
            <w:r>
              <w:rPr>
                <w:rtl/>
              </w:rPr>
              <w:t>10.</w:t>
            </w:r>
          </w:p>
        </w:tc>
        <w:tc>
          <w:tcPr>
            <w:tcW w:w="7143" w:type="dxa"/>
            <w:gridSpan w:val="5"/>
          </w:tcPr>
          <w:p w:rsidR="008F462C" w:rsidRDefault="008F462C" w:rsidP="009C65B1">
            <w:pPr>
              <w:pStyle w:val="TableBlock"/>
              <w:rPr>
                <w:sz w:val="26"/>
                <w:rtl/>
              </w:rPr>
            </w:pPr>
            <w:r>
              <w:rPr>
                <w:sz w:val="26"/>
                <w:rtl/>
              </w:rPr>
              <w:t>בסעיף 12 לחוק העיקרי, אחרי "שר המשפטים" יבוא "הנהלת בתי המשפט".</w:t>
            </w:r>
          </w:p>
        </w:tc>
      </w:tr>
    </w:tbl>
    <w:p w:rsidR="008F462C" w:rsidRDefault="008F462C" w:rsidP="008F462C">
      <w:pPr>
        <w:pStyle w:val="HeadDivreiHesber"/>
        <w:rPr>
          <w:rtl/>
        </w:rPr>
      </w:pPr>
      <w:r w:rsidRPr="0027450A">
        <w:rPr>
          <w:rtl/>
        </w:rPr>
        <w:t>דברי הסבר</w:t>
      </w:r>
    </w:p>
    <w:p w:rsidR="008F462C" w:rsidRPr="009C65B1" w:rsidRDefault="008F462C" w:rsidP="009C65B1">
      <w:pPr>
        <w:pStyle w:val="Hesber"/>
        <w:rPr>
          <w:rtl/>
        </w:rPr>
      </w:pPr>
      <w:r w:rsidRPr="009C65B1">
        <w:rPr>
          <w:rtl/>
        </w:rPr>
        <w:t xml:space="preserve">בהצעת חוק זו מוצע כי הטלת צווי הגבלה על סרבני גט תוכל להיעשות הן על ידי בתי הדין הרבניים והן על ידי בתי המשפט לענייני משפחה. </w:t>
      </w:r>
    </w:p>
    <w:p w:rsidR="008F462C" w:rsidRPr="009C65B1" w:rsidRDefault="008F462C" w:rsidP="009C65B1">
      <w:pPr>
        <w:pStyle w:val="Hesber"/>
        <w:rPr>
          <w:rtl/>
        </w:rPr>
      </w:pPr>
      <w:r w:rsidRPr="009C65B1">
        <w:rPr>
          <w:rtl/>
        </w:rPr>
        <w:t xml:space="preserve">בדוח מבקר המדינה לשנת 2003 נמצא כי "בשל המצב המיוחד והרגיש של בעלי הדין, יש שמסורבות גט חוששות ליזום בעצמן דיון למתן צווי הגבלה או להחמרתם...". </w:t>
      </w:r>
    </w:p>
    <w:p w:rsidR="008F462C" w:rsidRPr="009C65B1" w:rsidRDefault="008F462C" w:rsidP="009C65B1">
      <w:pPr>
        <w:pStyle w:val="Hesber"/>
        <w:rPr>
          <w:rtl/>
        </w:rPr>
      </w:pPr>
      <w:r w:rsidRPr="009C65B1">
        <w:rPr>
          <w:rtl/>
        </w:rPr>
        <w:t xml:space="preserve">בית הדין הרבני חושש לכפות על הגבר את מתן הגט, מאחר שרצונו של הגבר במתן הגט הוא דרישה מדאורייתא. כפייה זו יכולה לגרום ליצירת ''גט מעושה'', כדי למנוע זאת בית הדין הרבני מנסה להביא את הצדדים למתן וקבלת גט מרצון. </w:t>
      </w:r>
    </w:p>
    <w:p w:rsidR="008F462C" w:rsidRPr="009C65B1" w:rsidRDefault="008F462C" w:rsidP="009C65B1">
      <w:pPr>
        <w:pStyle w:val="Hesber"/>
        <w:rPr>
          <w:rtl/>
        </w:rPr>
      </w:pPr>
      <w:r w:rsidRPr="009C65B1">
        <w:rPr>
          <w:rtl/>
        </w:rPr>
        <w:t>הצעת חוק זו נועדה להקל במעט על מצוקתן של נשים אלה באמצעות פנייה לערכאה אזרחית, רק לשם הטלת צווי הגבלה על סרבן הגט.</w:t>
      </w:r>
    </w:p>
    <w:p w:rsidR="008F462C" w:rsidRPr="009C65B1" w:rsidRDefault="008F462C" w:rsidP="009C65B1">
      <w:pPr>
        <w:pStyle w:val="Hesber"/>
        <w:rPr>
          <w:rtl/>
        </w:rPr>
      </w:pPr>
      <w:r w:rsidRPr="009C65B1">
        <w:rPr>
          <w:rtl/>
        </w:rPr>
        <w:t xml:space="preserve">נראה כי כיום בשלה העת להעניק לבתי המשפט לענייני משפחה סמכות מקבילה לעניין הטלת צווי ההגבלה. </w:t>
      </w:r>
    </w:p>
    <w:p w:rsidR="008F462C" w:rsidRPr="009C65B1" w:rsidRDefault="008F462C" w:rsidP="009C65B1">
      <w:pPr>
        <w:pStyle w:val="Hesber"/>
        <w:rPr>
          <w:rtl/>
        </w:rPr>
      </w:pPr>
      <w:r w:rsidRPr="009C65B1">
        <w:rPr>
          <w:rtl/>
        </w:rPr>
        <w:t xml:space="preserve">יודגש, כי בהצעה זו אין כל נגיסה בסמכויות בתי הדין הרבניים. כידוע, לבתי הדין הרבניים סמכות שיפוט ייחודית בענייני נישואין וגירושין של יהודים. במקרה דנן, מדובר במתן סמכות לבתי המשפט לענייני משפחה רק לאחר שבית הדין הרבני כבר נתן פסק דין לגירושין. החוק בנוסחו כיום מאפשר הטלת סנקציות (חברתיות בעיקרן) על סרבני גט. זאת ניתן לעשות רק לאחר שכבר פסק בית הדין הרבני כי יש לתת גט. אשר על כן, מתן סמכות מקבילה לבתי המשפט לענייני משפחה להטלת צווי הגבלה על סרבני גט, אינה גורעת כלל מסמכותו הייחודית של בית הדין הרבני בענייני נישואין וגירושין. </w:t>
      </w:r>
    </w:p>
    <w:p w:rsidR="008F462C" w:rsidRPr="009C65B1" w:rsidRDefault="008F462C" w:rsidP="009C65B1">
      <w:pPr>
        <w:pStyle w:val="Hesber"/>
        <w:rPr>
          <w:rtl/>
        </w:rPr>
      </w:pPr>
      <w:r w:rsidRPr="009C65B1">
        <w:rPr>
          <w:rtl/>
        </w:rPr>
        <w:t>דוגמה לסמכות מקבילה לבית המשפט המחוזי, לאחר מתן פסק דין לגט על ידי בית הדין הרבני, אשר אינה גורעת מסמכותו הייחודית של בית הדין הרבני, ניתן למצוא כבר היום בסעיף 6 לחוק שיפוט בתי דין רבניים (נישואין וגירושין), התשי"ג–1953. הסעיף קובע כי בית המשפט המחוזי רשאי לכפות על סרבן גט לקיים את פסק הדין באמצעות מאסר, וזאת לאחר שניתן פסק דין לגירושין על ידי בית הדין הרבני.</w:t>
      </w:r>
    </w:p>
    <w:p w:rsidR="008F462C" w:rsidRPr="009C65B1" w:rsidRDefault="008F462C" w:rsidP="009C65B1">
      <w:pPr>
        <w:pStyle w:val="Hesber"/>
        <w:rPr>
          <w:rtl/>
        </w:rPr>
      </w:pPr>
      <w:r w:rsidRPr="009C65B1">
        <w:rPr>
          <w:rtl/>
        </w:rPr>
        <w:t>לאור האמור לעיל, מוצע להעניק לבית המשפט לענייני משפחה סמכות מקבילה לסמכותו של בית הדין הרבני להטלת צווי הגבלה, לאחר מתן פסק דין לגט על ידי בית הדין, וזאת במטרה לזרז ולייעל את ההליכים ולהקל על מצוקתן של מסורבות הגט.</w:t>
      </w:r>
    </w:p>
    <w:p w:rsidR="008F462C" w:rsidRPr="009C65B1" w:rsidRDefault="008F462C" w:rsidP="009C65B1">
      <w:pPr>
        <w:pStyle w:val="Hesber"/>
        <w:rPr>
          <w:rtl/>
        </w:rPr>
      </w:pPr>
      <w:r w:rsidRPr="009C65B1">
        <w:rPr>
          <w:rtl/>
        </w:rPr>
        <w:lastRenderedPageBreak/>
        <w:t xml:space="preserve">הצעת חוק זו נכתבה בסיוע המרכז לקידום מעמד האשה ע"ש רות ועמנואל רקמן, במסגרת התכנית לסיוע משפטי לנשים בדיני משפחה, באוניברסיטת בר אילן. </w:t>
      </w:r>
    </w:p>
    <w:p w:rsidR="008F462C" w:rsidRPr="009C65B1" w:rsidRDefault="008F462C" w:rsidP="009C65B1">
      <w:pPr>
        <w:pStyle w:val="Hesber"/>
        <w:rPr>
          <w:rtl/>
        </w:rPr>
      </w:pPr>
      <w:r w:rsidRPr="009C65B1">
        <w:rPr>
          <w:rtl/>
        </w:rPr>
        <w:t>הצעת חוק דומה בעיקרה הונחה על שולחן הכנסת השמונה-עשרה על ידי חברת הכנסת רונית תירוש וקבוצת חברי הכנסת (פ/2401/18).</w:t>
      </w:r>
    </w:p>
    <w:p w:rsidR="008F462C" w:rsidRPr="009C65B1" w:rsidRDefault="008F462C" w:rsidP="009C65B1">
      <w:pPr>
        <w:pStyle w:val="Hesber"/>
        <w:rPr>
          <w:rtl/>
        </w:rPr>
      </w:pPr>
      <w:r w:rsidRPr="009C65B1">
        <w:rPr>
          <w:rtl/>
        </w:rPr>
        <w:t>הצעת חוק זהה הונחה על שולחן הכנסת התשע-עשרה על ידי חבר הכנסת ניצן הורוביץ וקבוצת חברי הכנסת (פ/490/19).</w:t>
      </w:r>
    </w:p>
    <w:p w:rsidR="008F462C" w:rsidRDefault="008F462C" w:rsidP="008F462C">
      <w:pPr>
        <w:pStyle w:val="Hesber"/>
        <w:rPr>
          <w:rtl/>
        </w:rPr>
      </w:pPr>
    </w:p>
    <w:p w:rsidR="009859FD" w:rsidRDefault="009859FD" w:rsidP="008F462C">
      <w:pPr>
        <w:pStyle w:val="Hesber"/>
        <w:rPr>
          <w:rtl/>
        </w:rPr>
      </w:pPr>
    </w:p>
    <w:p w:rsidR="009859FD" w:rsidRDefault="009859FD" w:rsidP="008F462C">
      <w:pPr>
        <w:pStyle w:val="Hesber"/>
        <w:rPr>
          <w:rtl/>
        </w:rPr>
      </w:pPr>
    </w:p>
    <w:p w:rsidR="00E13C27" w:rsidRDefault="00E13C27" w:rsidP="008F462C">
      <w:pPr>
        <w:rPr>
          <w:rtl/>
        </w:rPr>
      </w:pPr>
    </w:p>
    <w:p w:rsidR="009859FD" w:rsidRPr="0022704F" w:rsidRDefault="009859FD" w:rsidP="0022704F">
      <w:pPr>
        <w:ind w:left="340" w:firstLine="0"/>
        <w:rPr>
          <w:rFonts w:cs="David"/>
          <w:snapToGrid w:val="0"/>
          <w:spacing w:val="0"/>
          <w:sz w:val="20"/>
          <w:szCs w:val="26"/>
          <w:rtl/>
        </w:rPr>
      </w:pPr>
      <w:r w:rsidRPr="0022704F">
        <w:rPr>
          <w:rFonts w:cs="David"/>
          <w:snapToGrid w:val="0"/>
          <w:spacing w:val="0"/>
          <w:sz w:val="20"/>
          <w:szCs w:val="26"/>
          <w:rtl/>
        </w:rPr>
        <w:t>---------------------------------</w:t>
      </w:r>
    </w:p>
    <w:p w:rsidR="009859FD" w:rsidRPr="0022704F" w:rsidRDefault="009859FD" w:rsidP="0022704F">
      <w:pPr>
        <w:ind w:left="340" w:firstLine="0"/>
        <w:rPr>
          <w:rFonts w:cs="David"/>
          <w:snapToGrid w:val="0"/>
          <w:spacing w:val="0"/>
          <w:sz w:val="20"/>
          <w:szCs w:val="26"/>
          <w:rtl/>
        </w:rPr>
      </w:pPr>
      <w:r w:rsidRPr="0022704F">
        <w:rPr>
          <w:rFonts w:cs="David"/>
          <w:snapToGrid w:val="0"/>
          <w:spacing w:val="0"/>
          <w:sz w:val="20"/>
          <w:szCs w:val="26"/>
          <w:rtl/>
        </w:rPr>
        <w:t>הוגשה ליו"ר הכנסת והסגנים</w:t>
      </w:r>
    </w:p>
    <w:p w:rsidR="009859FD" w:rsidRPr="0022704F" w:rsidRDefault="009859FD" w:rsidP="0022704F">
      <w:pPr>
        <w:ind w:left="340" w:firstLine="0"/>
        <w:rPr>
          <w:rFonts w:cs="David"/>
          <w:snapToGrid w:val="0"/>
          <w:spacing w:val="0"/>
          <w:sz w:val="20"/>
          <w:szCs w:val="26"/>
          <w:rtl/>
        </w:rPr>
      </w:pPr>
      <w:r w:rsidRPr="0022704F">
        <w:rPr>
          <w:rFonts w:cs="David"/>
          <w:snapToGrid w:val="0"/>
          <w:spacing w:val="0"/>
          <w:sz w:val="20"/>
          <w:szCs w:val="26"/>
          <w:rtl/>
        </w:rPr>
        <w:t>והונחה על שולחן הכנסת ביום</w:t>
      </w:r>
    </w:p>
    <w:p w:rsidR="009859FD" w:rsidRPr="009859FD" w:rsidRDefault="009859FD" w:rsidP="009859FD">
      <w:pPr>
        <w:ind w:left="340" w:firstLine="0"/>
        <w:rPr>
          <w:rFonts w:cs="David"/>
          <w:snapToGrid w:val="0"/>
          <w:spacing w:val="0"/>
          <w:sz w:val="20"/>
          <w:szCs w:val="26"/>
          <w:rtl/>
        </w:rPr>
      </w:pPr>
      <w:r>
        <w:rPr>
          <w:rFonts w:cs="David"/>
          <w:snapToGrid w:val="0"/>
          <w:spacing w:val="0"/>
          <w:sz w:val="20"/>
          <w:szCs w:val="26"/>
          <w:rtl/>
        </w:rPr>
        <w:t>ז' בסיוון התשע"ה</w:t>
      </w:r>
      <w:r w:rsidRPr="00935520">
        <w:rPr>
          <w:rFonts w:cs="David"/>
          <w:snapToGrid w:val="0"/>
          <w:spacing w:val="0"/>
          <w:sz w:val="20"/>
          <w:szCs w:val="26"/>
          <w:rtl/>
        </w:rPr>
        <w:t xml:space="preserve"> – </w:t>
      </w:r>
      <w:r>
        <w:rPr>
          <w:rFonts w:cs="David"/>
          <w:snapToGrid w:val="0"/>
          <w:spacing w:val="0"/>
          <w:sz w:val="20"/>
          <w:szCs w:val="26"/>
          <w:rtl/>
        </w:rPr>
        <w:t>25</w:t>
      </w:r>
      <w:r w:rsidRPr="00935520">
        <w:rPr>
          <w:rFonts w:cs="David"/>
          <w:snapToGrid w:val="0"/>
          <w:spacing w:val="0"/>
          <w:sz w:val="20"/>
          <w:szCs w:val="26"/>
          <w:rtl/>
        </w:rPr>
        <w:t>.</w:t>
      </w:r>
      <w:r>
        <w:rPr>
          <w:rFonts w:cs="David"/>
          <w:snapToGrid w:val="0"/>
          <w:spacing w:val="0"/>
          <w:sz w:val="20"/>
          <w:szCs w:val="26"/>
          <w:rtl/>
        </w:rPr>
        <w:t>5</w:t>
      </w:r>
      <w:r w:rsidRPr="00935520">
        <w:rPr>
          <w:rFonts w:cs="David"/>
          <w:snapToGrid w:val="0"/>
          <w:spacing w:val="0"/>
          <w:sz w:val="20"/>
          <w:szCs w:val="26"/>
          <w:rtl/>
        </w:rPr>
        <w:t>.</w:t>
      </w:r>
      <w:r>
        <w:rPr>
          <w:rFonts w:cs="David"/>
          <w:snapToGrid w:val="0"/>
          <w:spacing w:val="0"/>
          <w:sz w:val="20"/>
          <w:szCs w:val="26"/>
          <w:rtl/>
        </w:rPr>
        <w:t>15</w:t>
      </w:r>
    </w:p>
    <w:sectPr w:rsidR="009859FD" w:rsidRPr="009859FD"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2EB" w:rsidRDefault="00A522EB">
      <w:r>
        <w:separator/>
      </w:r>
    </w:p>
  </w:endnote>
  <w:endnote w:type="continuationSeparator" w:id="0">
    <w:p w:rsidR="00A522EB" w:rsidRDefault="00A522E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altName w:val="Times New Roman"/>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end"/>
    </w:r>
  </w:p>
  <w:p w:rsidR="001A0623" w:rsidRDefault="001A062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separate"/>
    </w:r>
    <w:r w:rsidR="00535F8F">
      <w:rPr>
        <w:rStyle w:val="af"/>
        <w:rFonts w:cs="Hadasa Roso SL"/>
        <w:noProof/>
        <w:rtl/>
      </w:rPr>
      <w:t>2</w:t>
    </w:r>
    <w:r>
      <w:rPr>
        <w:rStyle w:val="af"/>
        <w:rFonts w:cs="Hadasa Roso SL"/>
      </w:rPr>
      <w:fldChar w:fldCharType="end"/>
    </w:r>
  </w:p>
  <w:p w:rsidR="001A0623" w:rsidRDefault="001A06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2EB" w:rsidRDefault="00A522EB">
      <w:r>
        <w:separator/>
      </w:r>
    </w:p>
  </w:footnote>
  <w:footnote w:type="continuationSeparator" w:id="0">
    <w:p w:rsidR="00A522EB" w:rsidRDefault="00A522EB">
      <w:r>
        <w:continuationSeparator/>
      </w:r>
    </w:p>
  </w:footnote>
  <w:footnote w:type="continuationNotice" w:id="1">
    <w:p w:rsidR="00A522EB" w:rsidRDefault="00A522EB"/>
  </w:footnote>
  <w:footnote w:id="2">
    <w:p w:rsidR="00000000" w:rsidRDefault="008F462C" w:rsidP="008F462C">
      <w:pPr>
        <w:pStyle w:val="a5"/>
      </w:pPr>
      <w:r>
        <w:rPr>
          <w:rStyle w:val="a7"/>
          <w:rFonts w:cs="David"/>
        </w:rPr>
        <w:footnoteRef/>
      </w:r>
      <w:r>
        <w:rPr>
          <w:sz w:val="20"/>
          <w:rtl/>
        </w:rPr>
        <w:t xml:space="preserve"> ס"ח התשנ"ה, עמ' 139.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2"/>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
  <w:docVars>
    <w:docVar w:name="OriginalName" w:val="tmp482240lsCopyOriginal.docx"/>
    <w:docVar w:name="StartMode" w:val="2"/>
  </w:docVars>
  <w:rsids>
    <w:rsidRoot w:val="00DB7060"/>
    <w:rsid w:val="0000131B"/>
    <w:rsid w:val="00015B27"/>
    <w:rsid w:val="0007681A"/>
    <w:rsid w:val="000A542E"/>
    <w:rsid w:val="000C0CA1"/>
    <w:rsid w:val="00102B6B"/>
    <w:rsid w:val="001052D4"/>
    <w:rsid w:val="0010644B"/>
    <w:rsid w:val="001207F8"/>
    <w:rsid w:val="00121924"/>
    <w:rsid w:val="001279A8"/>
    <w:rsid w:val="0014195F"/>
    <w:rsid w:val="00152609"/>
    <w:rsid w:val="00153E1B"/>
    <w:rsid w:val="001A0623"/>
    <w:rsid w:val="001C23B0"/>
    <w:rsid w:val="00203A7F"/>
    <w:rsid w:val="002200A1"/>
    <w:rsid w:val="0022704F"/>
    <w:rsid w:val="002362BF"/>
    <w:rsid w:val="00241B97"/>
    <w:rsid w:val="00246756"/>
    <w:rsid w:val="00251E58"/>
    <w:rsid w:val="00254605"/>
    <w:rsid w:val="002728B4"/>
    <w:rsid w:val="0027450A"/>
    <w:rsid w:val="0027600C"/>
    <w:rsid w:val="00292712"/>
    <w:rsid w:val="002A487D"/>
    <w:rsid w:val="002C2E29"/>
    <w:rsid w:val="002D1EE3"/>
    <w:rsid w:val="002F1D80"/>
    <w:rsid w:val="003232A2"/>
    <w:rsid w:val="00325C14"/>
    <w:rsid w:val="003710F6"/>
    <w:rsid w:val="00386E88"/>
    <w:rsid w:val="00396585"/>
    <w:rsid w:val="003D74A0"/>
    <w:rsid w:val="004033D8"/>
    <w:rsid w:val="004073F0"/>
    <w:rsid w:val="00412A7D"/>
    <w:rsid w:val="00416B4D"/>
    <w:rsid w:val="00417CFC"/>
    <w:rsid w:val="0047590A"/>
    <w:rsid w:val="004B24ED"/>
    <w:rsid w:val="004D2D82"/>
    <w:rsid w:val="004D3876"/>
    <w:rsid w:val="004E4552"/>
    <w:rsid w:val="00535F8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C3FA6"/>
    <w:rsid w:val="007D585A"/>
    <w:rsid w:val="007D5A12"/>
    <w:rsid w:val="007E59F9"/>
    <w:rsid w:val="00810BCD"/>
    <w:rsid w:val="00812C98"/>
    <w:rsid w:val="00814D92"/>
    <w:rsid w:val="00824587"/>
    <w:rsid w:val="0083181D"/>
    <w:rsid w:val="00874BBC"/>
    <w:rsid w:val="00892135"/>
    <w:rsid w:val="00895449"/>
    <w:rsid w:val="00897879"/>
    <w:rsid w:val="008A6870"/>
    <w:rsid w:val="008C2DDC"/>
    <w:rsid w:val="008C7516"/>
    <w:rsid w:val="008E6EC7"/>
    <w:rsid w:val="008F0D63"/>
    <w:rsid w:val="008F2C35"/>
    <w:rsid w:val="008F462C"/>
    <w:rsid w:val="008F6665"/>
    <w:rsid w:val="0091204F"/>
    <w:rsid w:val="009203DB"/>
    <w:rsid w:val="00923CD4"/>
    <w:rsid w:val="00935520"/>
    <w:rsid w:val="00943386"/>
    <w:rsid w:val="009456B6"/>
    <w:rsid w:val="00957589"/>
    <w:rsid w:val="00966D06"/>
    <w:rsid w:val="00982412"/>
    <w:rsid w:val="00983A8D"/>
    <w:rsid w:val="009859FD"/>
    <w:rsid w:val="009A7257"/>
    <w:rsid w:val="009C65B1"/>
    <w:rsid w:val="009D6E0A"/>
    <w:rsid w:val="00A14672"/>
    <w:rsid w:val="00A26BD6"/>
    <w:rsid w:val="00A443CF"/>
    <w:rsid w:val="00A522EB"/>
    <w:rsid w:val="00A6611D"/>
    <w:rsid w:val="00A82CB7"/>
    <w:rsid w:val="00AA2F03"/>
    <w:rsid w:val="00AC36F7"/>
    <w:rsid w:val="00AC63A4"/>
    <w:rsid w:val="00AD239E"/>
    <w:rsid w:val="00B10265"/>
    <w:rsid w:val="00B21211"/>
    <w:rsid w:val="00B35784"/>
    <w:rsid w:val="00B470B7"/>
    <w:rsid w:val="00B733A7"/>
    <w:rsid w:val="00B975AD"/>
    <w:rsid w:val="00BC45FB"/>
    <w:rsid w:val="00BF148D"/>
    <w:rsid w:val="00C23B1A"/>
    <w:rsid w:val="00C310EB"/>
    <w:rsid w:val="00C60F76"/>
    <w:rsid w:val="00C9176A"/>
    <w:rsid w:val="00CF1AA2"/>
    <w:rsid w:val="00D1405E"/>
    <w:rsid w:val="00D63620"/>
    <w:rsid w:val="00D8410D"/>
    <w:rsid w:val="00D867D7"/>
    <w:rsid w:val="00DB7060"/>
    <w:rsid w:val="00DD7AF8"/>
    <w:rsid w:val="00DE3153"/>
    <w:rsid w:val="00E06736"/>
    <w:rsid w:val="00E13C27"/>
    <w:rsid w:val="00E2162A"/>
    <w:rsid w:val="00E33BBD"/>
    <w:rsid w:val="00E45103"/>
    <w:rsid w:val="00E665B9"/>
    <w:rsid w:val="00E76C25"/>
    <w:rsid w:val="00EA01E6"/>
    <w:rsid w:val="00EA3DE8"/>
    <w:rsid w:val="00EA758F"/>
    <w:rsid w:val="00ED4A6F"/>
    <w:rsid w:val="00EF3A3A"/>
    <w:rsid w:val="00F628D6"/>
    <w:rsid w:val="00F67051"/>
    <w:rsid w:val="00FA5E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B1"/>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a"/>
    <w:rsid w:val="009C65B1"/>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9C65B1"/>
    <w:rPr>
      <w:sz w:val="36"/>
      <w:szCs w:val="52"/>
    </w:rPr>
  </w:style>
  <w:style w:type="paragraph" w:customStyle="1" w:styleId="Cover3-Haknesset">
    <w:name w:val="Cover 3-Haknesset"/>
    <w:basedOn w:val="Cover1-Reshumot"/>
    <w:rsid w:val="009C65B1"/>
    <w:rPr>
      <w:b/>
      <w:bCs/>
      <w:spacing w:val="60"/>
    </w:rPr>
  </w:style>
  <w:style w:type="paragraph" w:customStyle="1" w:styleId="Cover4-Date">
    <w:name w:val="Cover 4-Date"/>
    <w:basedOn w:val="a"/>
    <w:rsid w:val="009C65B1"/>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9C65B1"/>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rsid w:val="009C65B1"/>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rsid w:val="009C65B1"/>
    <w:pPr>
      <w:spacing w:before="120" w:after="120"/>
    </w:pPr>
    <w:rPr>
      <w:color w:val="FF0000"/>
      <w:w w:val="80"/>
    </w:rPr>
  </w:style>
  <w:style w:type="paragraph" w:styleId="a3">
    <w:name w:val="endnote text"/>
    <w:basedOn w:val="a"/>
    <w:link w:val="a4"/>
    <w:uiPriority w:val="99"/>
    <w:semiHidden/>
    <w:rsid w:val="009C65B1"/>
    <w:pPr>
      <w:ind w:left="227" w:hanging="227"/>
    </w:pPr>
    <w:rPr>
      <w:sz w:val="14"/>
      <w:szCs w:val="22"/>
    </w:rPr>
  </w:style>
  <w:style w:type="character" w:customStyle="1" w:styleId="a4">
    <w:name w:val="טקסט הערת סיום תו"/>
    <w:basedOn w:val="a0"/>
    <w:link w:val="a3"/>
    <w:uiPriority w:val="99"/>
    <w:semiHidden/>
    <w:rPr>
      <w:rFonts w:ascii="Hadasa Roso SL" w:hAnsi="Hadasa Roso SL" w:cs="Hadasa Roso SL"/>
      <w:color w:val="000000"/>
      <w:spacing w:val="1"/>
      <w:lang w:eastAsia="ja-JP"/>
    </w:rPr>
  </w:style>
  <w:style w:type="paragraph" w:customStyle="1" w:styleId="TableText">
    <w:name w:val="Table Text"/>
    <w:basedOn w:val="a"/>
    <w:rsid w:val="009C65B1"/>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9C65B1"/>
  </w:style>
  <w:style w:type="paragraph" w:customStyle="1" w:styleId="TableBlock">
    <w:name w:val="Table Block"/>
    <w:basedOn w:val="TableText"/>
    <w:rsid w:val="009C65B1"/>
    <w:pPr>
      <w:ind w:right="0"/>
      <w:jc w:val="both"/>
    </w:pPr>
  </w:style>
  <w:style w:type="paragraph" w:customStyle="1" w:styleId="TableHead">
    <w:name w:val="Table Head"/>
    <w:basedOn w:val="TableText"/>
    <w:rsid w:val="009C65B1"/>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9C65B1"/>
  </w:style>
  <w:style w:type="paragraph" w:customStyle="1" w:styleId="Hesber">
    <w:name w:val="Hesber"/>
    <w:basedOn w:val="a"/>
    <w:rsid w:val="009C65B1"/>
    <w:pPr>
      <w:snapToGrid w:val="0"/>
      <w:spacing w:before="0" w:line="360" w:lineRule="auto"/>
    </w:pPr>
    <w:rPr>
      <w:rFonts w:ascii="Arial" w:eastAsia="Arial Unicode MS" w:hAnsi="Arial" w:cs="David"/>
      <w:spacing w:val="0"/>
      <w:sz w:val="20"/>
      <w:szCs w:val="26"/>
    </w:rPr>
  </w:style>
  <w:style w:type="paragraph" w:styleId="a5">
    <w:name w:val="footnote text"/>
    <w:basedOn w:val="a"/>
    <w:link w:val="a6"/>
    <w:autoRedefine/>
    <w:uiPriority w:val="99"/>
    <w:semiHidden/>
    <w:rsid w:val="009C65B1"/>
    <w:pPr>
      <w:snapToGrid w:val="0"/>
      <w:spacing w:before="0" w:line="240" w:lineRule="auto"/>
      <w:ind w:left="227" w:hanging="227"/>
      <w:jc w:val="left"/>
    </w:pPr>
    <w:rPr>
      <w:rFonts w:ascii="Arial" w:eastAsia="Arial Unicode MS" w:hAnsi="Arial" w:cs="David"/>
      <w:spacing w:val="0"/>
      <w:sz w:val="14"/>
      <w:szCs w:val="20"/>
    </w:rPr>
  </w:style>
  <w:style w:type="character" w:customStyle="1" w:styleId="a6">
    <w:name w:val="טקסט הערת שוליים תו"/>
    <w:basedOn w:val="a0"/>
    <w:link w:val="a5"/>
    <w:uiPriority w:val="99"/>
    <w:semiHidden/>
    <w:locked/>
    <w:rsid w:val="00824587"/>
    <w:rPr>
      <w:rFonts w:ascii="Arial" w:eastAsia="Arial Unicode MS" w:hAnsi="Arial" w:cs="David"/>
      <w:color w:val="000000"/>
      <w:sz w:val="14"/>
      <w:lang w:eastAsia="ja-JP" w:bidi="he-IL"/>
    </w:rPr>
  </w:style>
  <w:style w:type="character" w:styleId="a7">
    <w:name w:val="footnote reference"/>
    <w:basedOn w:val="a0"/>
    <w:uiPriority w:val="99"/>
    <w:semiHidden/>
    <w:rsid w:val="009C65B1"/>
    <w:rPr>
      <w:rFonts w:cs="Times New Roman"/>
      <w:vertAlign w:val="superscript"/>
    </w:rPr>
  </w:style>
  <w:style w:type="paragraph" w:customStyle="1" w:styleId="HesberHeading">
    <w:name w:val="Hesber Heading"/>
    <w:basedOn w:val="Hesber"/>
    <w:rsid w:val="009C65B1"/>
    <w:pPr>
      <w:tabs>
        <w:tab w:val="left" w:pos="624"/>
        <w:tab w:val="left" w:pos="1247"/>
      </w:tabs>
      <w:ind w:firstLine="0"/>
    </w:pPr>
    <w:rPr>
      <w:b/>
      <w:bCs/>
    </w:rPr>
  </w:style>
  <w:style w:type="paragraph" w:customStyle="1" w:styleId="HesberWriters">
    <w:name w:val="Hesber Writers"/>
    <w:basedOn w:val="Hesber"/>
    <w:rsid w:val="009C65B1"/>
    <w:pPr>
      <w:spacing w:before="120" w:after="6000"/>
      <w:ind w:left="1418" w:firstLine="0"/>
      <w:jc w:val="right"/>
    </w:pPr>
    <w:rPr>
      <w:b/>
      <w:bCs/>
    </w:rPr>
  </w:style>
  <w:style w:type="paragraph" w:customStyle="1" w:styleId="Hesber1st">
    <w:name w:val="Hesber 1st"/>
    <w:basedOn w:val="Hesber"/>
    <w:rsid w:val="009C65B1"/>
    <w:pPr>
      <w:tabs>
        <w:tab w:val="left" w:pos="680"/>
        <w:tab w:val="left" w:pos="1020"/>
      </w:tabs>
      <w:ind w:firstLine="0"/>
    </w:pPr>
  </w:style>
  <w:style w:type="character" w:styleId="a8">
    <w:name w:val="endnote reference"/>
    <w:basedOn w:val="a0"/>
    <w:uiPriority w:val="99"/>
    <w:semiHidden/>
    <w:rsid w:val="009C65B1"/>
    <w:rPr>
      <w:rFonts w:cs="Times New Roman"/>
      <w:vertAlign w:val="superscript"/>
    </w:rPr>
  </w:style>
  <w:style w:type="paragraph" w:customStyle="1" w:styleId="TableBlockOutdent">
    <w:name w:val="Table BlockOutdent"/>
    <w:basedOn w:val="TableBlock"/>
    <w:rsid w:val="009C65B1"/>
    <w:pPr>
      <w:ind w:left="624" w:hanging="624"/>
    </w:pPr>
  </w:style>
  <w:style w:type="paragraph" w:styleId="a9">
    <w:name w:val="header"/>
    <w:basedOn w:val="a"/>
    <w:link w:val="aa"/>
    <w:uiPriority w:val="99"/>
    <w:rsid w:val="009C65B1"/>
    <w:pPr>
      <w:tabs>
        <w:tab w:val="center" w:pos="4153"/>
        <w:tab w:val="right" w:pos="8306"/>
      </w:tabs>
    </w:pPr>
  </w:style>
  <w:style w:type="character" w:customStyle="1" w:styleId="aa">
    <w:name w:val="כותרת עליונה תו"/>
    <w:basedOn w:val="a0"/>
    <w:link w:val="a9"/>
    <w:uiPriority w:val="99"/>
    <w:semiHidden/>
    <w:rPr>
      <w:rFonts w:ascii="Hadasa Roso SL" w:hAnsi="Hadasa Roso SL" w:cs="Hadasa Roso SL"/>
      <w:color w:val="000000"/>
      <w:spacing w:val="1"/>
      <w:sz w:val="17"/>
      <w:szCs w:val="17"/>
      <w:lang w:eastAsia="ja-JP"/>
    </w:rPr>
  </w:style>
  <w:style w:type="paragraph" w:styleId="ab">
    <w:name w:val="footer"/>
    <w:basedOn w:val="a"/>
    <w:link w:val="ac"/>
    <w:uiPriority w:val="99"/>
    <w:rsid w:val="009C65B1"/>
    <w:pPr>
      <w:tabs>
        <w:tab w:val="center" w:pos="4153"/>
        <w:tab w:val="right" w:pos="8306"/>
      </w:tabs>
    </w:pPr>
  </w:style>
  <w:style w:type="character" w:customStyle="1" w:styleId="ac">
    <w:name w:val="כותרת תחתונה תו"/>
    <w:basedOn w:val="a0"/>
    <w:link w:val="ab"/>
    <w:uiPriority w:val="99"/>
    <w:semiHidden/>
    <w:rPr>
      <w:rFonts w:ascii="Hadasa Roso SL" w:hAnsi="Hadasa Roso SL" w:cs="Hadasa Roso SL"/>
      <w:color w:val="000000"/>
      <w:spacing w:val="1"/>
      <w:sz w:val="17"/>
      <w:szCs w:val="17"/>
      <w:lang w:eastAsia="ja-JP"/>
    </w:rPr>
  </w:style>
  <w:style w:type="paragraph" w:customStyle="1" w:styleId="HeadDivreiHesber">
    <w:name w:val="Head DivreiHesber"/>
    <w:basedOn w:val="a"/>
    <w:rsid w:val="009C65B1"/>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Ragil">
    <w:name w:val="Ragil"/>
    <w:basedOn w:val="a"/>
    <w:rsid w:val="009C65B1"/>
    <w:pPr>
      <w:snapToGrid w:val="0"/>
      <w:spacing w:before="0" w:line="360" w:lineRule="auto"/>
      <w:jc w:val="left"/>
    </w:pPr>
    <w:rPr>
      <w:rFonts w:ascii="Arial" w:eastAsia="Arial Unicode MS" w:hAnsi="Arial" w:cs="David"/>
      <w:spacing w:val="0"/>
      <w:sz w:val="20"/>
      <w:szCs w:val="26"/>
    </w:rPr>
  </w:style>
  <w:style w:type="paragraph" w:styleId="ad">
    <w:name w:val="Title"/>
    <w:basedOn w:val="a"/>
    <w:link w:val="ae"/>
    <w:uiPriority w:val="10"/>
    <w:qFormat/>
    <w:rsid w:val="00943386"/>
    <w:pPr>
      <w:jc w:val="center"/>
    </w:pPr>
    <w:rPr>
      <w:rFonts w:cs="David"/>
      <w:b/>
      <w:bCs/>
      <w:sz w:val="28"/>
      <w:szCs w:val="28"/>
      <w:u w:val="single"/>
    </w:rPr>
  </w:style>
  <w:style w:type="character" w:customStyle="1" w:styleId="ae">
    <w:name w:val="תואר תו"/>
    <w:basedOn w:val="a0"/>
    <w:link w:val="ad"/>
    <w:uiPriority w:val="10"/>
    <w:rPr>
      <w:rFonts w:asciiTheme="majorHAnsi" w:eastAsiaTheme="majorEastAsia" w:hAnsiTheme="majorHAnsi" w:cstheme="majorBidi"/>
      <w:b/>
      <w:bCs/>
      <w:color w:val="000000"/>
      <w:spacing w:val="1"/>
      <w:kern w:val="28"/>
      <w:sz w:val="32"/>
      <w:szCs w:val="32"/>
      <w:lang w:eastAsia="ja-JP"/>
    </w:rPr>
  </w:style>
  <w:style w:type="character" w:styleId="af">
    <w:name w:val="page number"/>
    <w:basedOn w:val="a0"/>
    <w:uiPriority w:val="99"/>
    <w:rsid w:val="009C65B1"/>
    <w:rPr>
      <w:rFonts w:cs="Times New Roman"/>
    </w:rPr>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f0">
    <w:name w:val="Balloon Text"/>
    <w:basedOn w:val="a"/>
    <w:link w:val="af1"/>
    <w:uiPriority w:val="99"/>
    <w:semiHidden/>
    <w:unhideWhenUsed/>
    <w:rsid w:val="00325C14"/>
    <w:pPr>
      <w:spacing w:before="0" w:line="240" w:lineRule="auto"/>
    </w:pPr>
    <w:rPr>
      <w:rFonts w:ascii="Tahoma" w:hAnsi="Tahoma" w:cs="Tahoma"/>
      <w:sz w:val="16"/>
      <w:szCs w:val="16"/>
    </w:rPr>
  </w:style>
  <w:style w:type="character" w:customStyle="1" w:styleId="af1">
    <w:name w:val="טקסט בלונים תו"/>
    <w:basedOn w:val="a0"/>
    <w:link w:val="af0"/>
    <w:uiPriority w:val="99"/>
    <w:semiHidden/>
    <w:locked/>
    <w:rsid w:val="00325C14"/>
    <w:rPr>
      <w:rFonts w:ascii="Tahoma" w:hAnsi="Tahoma" w:cs="Tahoma"/>
      <w:color w:val="000000"/>
      <w:spacing w:val="1"/>
      <w:sz w:val="16"/>
      <w:szCs w:val="16"/>
      <w:lang w:eastAsia="ja-JP"/>
    </w:rPr>
  </w:style>
</w:styles>
</file>

<file path=word/webSettings.xml><?xml version="1.0" encoding="utf-8"?>
<w:webSettings xmlns:r="http://schemas.openxmlformats.org/officeDocument/2006/relationships" xmlns:w="http://schemas.openxmlformats.org/wordprocessingml/2006/main">
  <w:divs>
    <w:div w:id="856500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40D49F49-9431-4B0B-BC81-E225DF59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0C3A22-A1BA-4E28-8942-2F8141A3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4669</Characters>
  <Application>Microsoft Office Word</Application>
  <DocSecurity>0</DocSecurity>
  <Lines>77</Lines>
  <Paragraphs>30</Paragraphs>
  <ScaleCrop>false</ScaleCrop>
  <Company>Knesset</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בתי דין רבניים (קיום פסקי דין של גירושין) (תיקון  סמכות בית המשפט לענייני משפחה), התשע"ה2015</dc:title>
  <dc:creator>מיקה צור</dc:creator>
  <cp:lastModifiedBy>bb bt</cp:lastModifiedBy>
  <cp:revision>2</cp:revision>
  <cp:lastPrinted>2015-05-18T09:00:00Z</cp:lastPrinted>
  <dcterms:created xsi:type="dcterms:W3CDTF">2015-06-09T13:37:00Z</dcterms:created>
  <dcterms:modified xsi:type="dcterms:W3CDTF">2015-06-09T13:37:00Z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563280</vt:r8>
  </property>
  <property fmtid="{D5CDD505-2E9C-101B-9397-08002B2CF9AE}" pid="6" name="Autonumber">
    <vt:lpwstr>307881</vt:lpwstr>
  </property>
  <property fmtid="{D5CDD505-2E9C-101B-9397-08002B2CF9AE}" pid="7" name="title">
    <vt:lpwstr>הצעת חוק בתי דין רבניים (קיום פסקי דין של גירושין) (תיקון  סמכות בית המשפט לענייני משפחה), התשע"ה2015</vt:lpwstr>
  </property>
  <property fmtid="{D5CDD505-2E9C-101B-9397-08002B2CF9AE}" pid="8" name="SDAuthor">
    <vt:lpwstr>חן אריאלי</vt:lpwstr>
  </property>
  <property fmtid="{D5CDD505-2E9C-101B-9397-08002B2CF9AE}" pid="9" name="SDDocDate">
    <vt:lpwstr>2015-04-14T13:33:24+03:00</vt:lpwstr>
  </property>
  <property fmtid="{D5CDD505-2E9C-101B-9397-08002B2CF9AE}" pid="10" name="LSITEMID">
    <vt:lpwstr>563280</vt:lpwstr>
  </property>
  <property fmtid="{D5CDD505-2E9C-101B-9397-08002B2CF9AE}" pid="11" name="LSSUBJECT">
    <vt:lpwstr>הצעת חוק בתי דין רבניים (קיום פסקי דין של גירושין) (תיקון  סמכות בית המשפט לענייני משפחה), התשע"ה2015</vt:lpwstr>
  </property>
  <property fmtid="{D5CDD505-2E9C-101B-9397-08002B2CF9AE}" pid="12" name="LSKNESSETID">
    <vt:lpwstr>20</vt:lpwstr>
  </property>
  <property fmtid="{D5CDD505-2E9C-101B-9397-08002B2CF9AE}" pid="13" name="USNAME">
    <vt:lpwstr> </vt:lpwstr>
  </property>
  <property fmtid="{D5CDD505-2E9C-101B-9397-08002B2CF9AE}" pid="14" name="DTCOUNTER">
    <vt:lpwstr>847738</vt:lpwstr>
  </property>
  <property fmtid="{D5CDD505-2E9C-101B-9397-08002B2CF9AE}" pid="15" name="תאריך הנחה">
    <vt:lpwstr>05/25/2015</vt:lpwstr>
  </property>
  <property fmtid="{D5CDD505-2E9C-101B-9397-08002B2CF9AE}" pid="16" name="PLACE_DATE">
    <vt:lpwstr>25/05/2015 00:00:00</vt:lpwstr>
  </property>
  <property fmtid="{D5CDD505-2E9C-101B-9397-08002B2CF9AE}" pid="17" name="VAADA">
    <vt:lpwstr/>
  </property>
  <property fmtid="{D5CDD505-2E9C-101B-9397-08002B2CF9AE}" pid="18" name="YOZEMHATZAA_CHAKLIST">
    <vt:lpwstr>מרב מיכאלי</vt:lpwstr>
  </property>
  <property fmtid="{D5CDD505-2E9C-101B-9397-08002B2CF9AE}" pid="19" name="YOZEMID">
    <vt:lpwstr>000023565</vt:lpwstr>
  </property>
  <property fmtid="{D5CDD505-2E9C-101B-9397-08002B2CF9AE}" pid="20" name="PROPOSER">
    <vt:lpwstr/>
  </property>
  <property fmtid="{D5CDD505-2E9C-101B-9397-08002B2CF9AE}" pid="21" name="PROPOSERID">
    <vt:lpwstr/>
  </property>
  <property fmtid="{D5CDD505-2E9C-101B-9397-08002B2CF9AE}" pid="22" name="MISHATZAATCHOK">
    <vt:lpwstr>פ/974/20</vt:lpwstr>
  </property>
</Properties>
</file>