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01D8">
      <w:pPr>
        <w:pStyle w:val="HeadHatzaotHok"/>
        <w:jc w:val="right"/>
        <w:rPr>
          <w:rFonts w:cs="David"/>
          <w:bCs w:val="0"/>
          <w:szCs w:val="20"/>
          <w:rtl/>
        </w:rPr>
      </w:pPr>
      <w:r>
        <w:rPr>
          <w:rFonts w:cs="David"/>
          <w:bCs w:val="0"/>
          <w:szCs w:val="20"/>
          <w:rtl/>
        </w:rPr>
        <w:t>מספר פנימי: 477576</w:t>
      </w:r>
    </w:p>
    <w:p w:rsidR="00000000" w:rsidRDefault="00F501D8">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התשע-עשרה</w:t>
      </w:r>
      <w:bookmarkEnd w:id="0"/>
    </w:p>
    <w:p w:rsidR="00000000" w:rsidRDefault="00F501D8">
      <w:pPr>
        <w:rPr>
          <w:rFonts w:cs="David"/>
          <w:sz w:val="26"/>
          <w:szCs w:val="26"/>
          <w:rtl/>
        </w:rPr>
      </w:pPr>
    </w:p>
    <w:p w:rsidR="00000000" w:rsidRDefault="00F501D8">
      <w:pPr>
        <w:pStyle w:val="David"/>
        <w:ind w:left="2880" w:firstLine="663"/>
        <w:rPr>
          <w:rFonts w:cs="David"/>
          <w:b/>
          <w:bCs/>
        </w:rPr>
      </w:pPr>
      <w:bookmarkStart w:id="1" w:name="MKsSingleOrMulti"/>
      <w:r>
        <w:rPr>
          <w:rFonts w:cs="David"/>
          <w:b/>
          <w:bCs/>
          <w:rtl/>
        </w:rPr>
        <w:t>יוזמים:      חברי הכנסת</w:t>
      </w:r>
      <w:bookmarkEnd w:id="1"/>
      <w:r>
        <w:rPr>
          <w:rFonts w:cs="David"/>
          <w:b/>
          <w:bCs/>
        </w:rPr>
        <w:tab/>
      </w:r>
      <w:bookmarkStart w:id="2" w:name="MKs"/>
      <w:r>
        <w:rPr>
          <w:rFonts w:cs="David"/>
          <w:b/>
          <w:bCs/>
          <w:rtl/>
        </w:rPr>
        <w:t>דב חנין</w:t>
      </w:r>
    </w:p>
    <w:p w:rsidR="00000000" w:rsidRDefault="00F501D8">
      <w:pPr>
        <w:pStyle w:val="David"/>
        <w:ind w:left="2880" w:firstLine="663"/>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b/>
          <w:bCs/>
          <w:rtl/>
        </w:rPr>
        <w:t>מוחמד ברכה</w:t>
      </w:r>
    </w:p>
    <w:p w:rsidR="00000000" w:rsidRDefault="00F501D8">
      <w:pPr>
        <w:pStyle w:val="David"/>
        <w:ind w:left="2880" w:firstLine="663"/>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b/>
          <w:bCs/>
          <w:rtl/>
        </w:rPr>
        <w:t>חנא סוייד</w:t>
      </w:r>
    </w:p>
    <w:p w:rsidR="00000000" w:rsidRDefault="00F501D8">
      <w:pPr>
        <w:pStyle w:val="David"/>
        <w:ind w:left="2880" w:firstLine="663"/>
        <w:rPr>
          <w:rFonts w:cs="David"/>
          <w:b/>
          <w:bCs/>
          <w:rtl/>
        </w:rPr>
      </w:pPr>
      <w:r>
        <w:rPr>
          <w:rFonts w:cs="David"/>
          <w:b/>
          <w:bCs/>
        </w:rPr>
        <w:tab/>
      </w:r>
      <w:r>
        <w:rPr>
          <w:rFonts w:cs="David"/>
          <w:b/>
          <w:bCs/>
        </w:rPr>
        <w:tab/>
      </w:r>
      <w:r>
        <w:rPr>
          <w:rFonts w:cs="David"/>
          <w:b/>
          <w:bCs/>
        </w:rPr>
        <w:tab/>
      </w:r>
      <w:r>
        <w:rPr>
          <w:rFonts w:cs="David"/>
          <w:b/>
          <w:bCs/>
        </w:rPr>
        <w:tab/>
      </w:r>
      <w:r>
        <w:rPr>
          <w:rFonts w:cs="David"/>
          <w:b/>
          <w:bCs/>
        </w:rPr>
        <w:tab/>
      </w:r>
      <w:r>
        <w:rPr>
          <w:rFonts w:cs="David"/>
          <w:b/>
          <w:bCs/>
          <w:rtl/>
        </w:rPr>
        <w:t>עפו אגבאריה</w:t>
      </w:r>
      <w:bookmarkEnd w:id="2"/>
    </w:p>
    <w:p w:rsidR="00000000" w:rsidRDefault="00F501D8">
      <w:pPr>
        <w:ind w:firstLine="3543"/>
        <w:rPr>
          <w:rFonts w:cs="David"/>
          <w:sz w:val="26"/>
          <w:szCs w:val="26"/>
          <w:rtl/>
        </w:rPr>
      </w:pPr>
      <w:r>
        <w:rPr>
          <w:noProof/>
          <w:lang w:eastAsia="en-US"/>
        </w:rPr>
        <w:pict>
          <v:polyline id="_x0000_s1026" style="position:absolute;left:0;text-align:left;z-index:251658240" points=".1pt,5.1pt,304.8pt,3.85pt" coordsize="6094,25" filled="f" stroked="f">
            <v:path arrowok="t"/>
            <w10:wrap anchorx="page"/>
          </v:polyline>
        </w:pict>
      </w:r>
      <w:bookmarkStart w:id="3" w:name="MKsSingleOrMulti1"/>
      <w:bookmarkEnd w:id="3"/>
      <w:r>
        <w:rPr>
          <w:rFonts w:cs="David"/>
          <w:sz w:val="26"/>
          <w:szCs w:val="26"/>
          <w:rtl/>
        </w:rPr>
        <w:tab/>
      </w:r>
      <w:bookmarkStart w:id="4" w:name="MKs1"/>
      <w:bookmarkEnd w:id="4"/>
    </w:p>
    <w:p w:rsidR="00000000" w:rsidRDefault="00F501D8">
      <w:pPr>
        <w:ind w:left="2919" w:firstLine="720"/>
        <w:rPr>
          <w:rFonts w:cs="David"/>
          <w:sz w:val="26"/>
          <w:szCs w:val="26"/>
          <w:rtl/>
        </w:rPr>
      </w:pPr>
      <w:r>
        <w:rPr>
          <w:noProof/>
          <w:lang w:eastAsia="en-US"/>
        </w:rPr>
        <w:pict>
          <v:polyline id="_x0000_s1027" style="position:absolute;left:0;text-align:left;z-index:251657216" points=".1pt,5.1pt,305.55pt,3.75pt" coordsize="6109,27" filled="f">
            <v:path arrowok="t"/>
            <w10:wrap anchorx="page"/>
          </v:poly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5" w:name="LawNum"/>
      <w:r>
        <w:rPr>
          <w:rFonts w:cs="David"/>
          <w:sz w:val="26"/>
          <w:szCs w:val="26"/>
          <w:rtl/>
        </w:rPr>
        <w:t>פ/691/19</w:t>
      </w:r>
      <w:bookmarkEnd w:id="5"/>
      <w:r>
        <w:rPr>
          <w:rFonts w:cs="David"/>
          <w:sz w:val="26"/>
          <w:szCs w:val="26"/>
          <w:rtl/>
        </w:rPr>
        <w:tab/>
      </w:r>
      <w:r>
        <w:rPr>
          <w:rFonts w:cs="David"/>
          <w:sz w:val="26"/>
          <w:szCs w:val="26"/>
          <w:rtl/>
        </w:rPr>
        <w:tab/>
      </w:r>
      <w:r>
        <w:rPr>
          <w:rFonts w:cs="David"/>
          <w:sz w:val="26"/>
          <w:szCs w:val="26"/>
          <w:rtl/>
        </w:rPr>
        <w:tab/>
      </w:r>
    </w:p>
    <w:p w:rsidR="00000000" w:rsidRDefault="00F501D8">
      <w:pPr>
        <w:spacing w:before="0" w:line="360" w:lineRule="auto"/>
        <w:ind w:left="2880" w:firstLine="720"/>
        <w:rPr>
          <w:rFonts w:cs="David"/>
          <w:sz w:val="26"/>
          <w:szCs w:val="26"/>
          <w:rtl/>
        </w:rPr>
      </w:pPr>
    </w:p>
    <w:p w:rsidR="00000000" w:rsidRDefault="00F501D8">
      <w:pPr>
        <w:pStyle w:val="HeadHatzaotHok"/>
        <w:tabs>
          <w:tab w:val="left" w:pos="4071"/>
          <w:tab w:val="center" w:pos="4819"/>
        </w:tabs>
        <w:spacing w:before="0"/>
        <w:rPr>
          <w:rFonts w:cs="David"/>
          <w:sz w:val="26"/>
          <w:rtl/>
        </w:rPr>
      </w:pPr>
      <w:bookmarkStart w:id="6" w:name="Title"/>
      <w:r>
        <w:rPr>
          <w:rFonts w:cs="David"/>
          <w:sz w:val="26"/>
          <w:rtl/>
        </w:rPr>
        <w:t>הצעת חוק בית המשפט לענייני משפחה (תיקון – השוואת סכומי האגרות), התשע"ג–20</w:t>
      </w:r>
      <w:bookmarkEnd w:id="6"/>
      <w:r>
        <w:rPr>
          <w:rFonts w:cs="David"/>
          <w:sz w:val="26"/>
          <w:rtl/>
        </w:rPr>
        <w:t>13</w:t>
      </w:r>
    </w:p>
    <w:tbl>
      <w:tblPr>
        <w:bidiVisual/>
        <w:tblW w:w="9641" w:type="dxa"/>
        <w:tblInd w:w="6" w:type="dxa"/>
        <w:tblLayout w:type="fixed"/>
        <w:tblCellMar>
          <w:top w:w="57" w:type="dxa"/>
          <w:left w:w="0" w:type="dxa"/>
          <w:bottom w:w="57" w:type="dxa"/>
          <w:right w:w="0" w:type="dxa"/>
        </w:tblCellMar>
        <w:tblLook w:val="0000"/>
      </w:tblPr>
      <w:tblGrid>
        <w:gridCol w:w="1871"/>
        <w:gridCol w:w="624"/>
        <w:gridCol w:w="7146"/>
      </w:tblGrid>
      <w:tr w:rsidR="00000000">
        <w:trPr>
          <w:cantSplit/>
          <w:trHeight w:val="60"/>
        </w:trPr>
        <w:tc>
          <w:tcPr>
            <w:tcW w:w="1871" w:type="dxa"/>
            <w:tcBorders>
              <w:top w:val="nil"/>
              <w:left w:val="nil"/>
              <w:bottom w:val="nil"/>
              <w:right w:val="nil"/>
            </w:tcBorders>
          </w:tcPr>
          <w:p w:rsidR="00000000" w:rsidRDefault="00F501D8">
            <w:pPr>
              <w:pStyle w:val="TableSideHeading"/>
              <w:rPr>
                <w:rFonts w:cs="David"/>
              </w:rPr>
            </w:pPr>
            <w:r>
              <w:rPr>
                <w:rFonts w:cs="David"/>
                <w:sz w:val="26"/>
                <w:rtl/>
              </w:rPr>
              <w:t>תיקון סעיף 26</w:t>
            </w:r>
          </w:p>
        </w:tc>
        <w:tc>
          <w:tcPr>
            <w:tcW w:w="624" w:type="dxa"/>
            <w:tcBorders>
              <w:top w:val="nil"/>
              <w:left w:val="nil"/>
              <w:bottom w:val="nil"/>
              <w:right w:val="nil"/>
            </w:tcBorders>
          </w:tcPr>
          <w:p w:rsidR="00000000" w:rsidRDefault="00F501D8">
            <w:pPr>
              <w:pStyle w:val="TableText"/>
              <w:rPr>
                <w:rFonts w:cs="David"/>
              </w:rPr>
            </w:pPr>
            <w:r>
              <w:rPr>
                <w:rFonts w:cs="David"/>
                <w:sz w:val="26"/>
                <w:rtl/>
              </w:rPr>
              <w:t>1.</w:t>
            </w:r>
          </w:p>
        </w:tc>
        <w:tc>
          <w:tcPr>
            <w:tcW w:w="7146" w:type="dxa"/>
            <w:tcBorders>
              <w:top w:val="nil"/>
              <w:left w:val="nil"/>
              <w:bottom w:val="nil"/>
              <w:right w:val="nil"/>
            </w:tcBorders>
          </w:tcPr>
          <w:p w:rsidR="00000000" w:rsidRDefault="00F501D8">
            <w:pPr>
              <w:pStyle w:val="TableBlock"/>
              <w:rPr>
                <w:rFonts w:cs="David"/>
              </w:rPr>
            </w:pPr>
            <w:r>
              <w:rPr>
                <w:rFonts w:cs="David"/>
                <w:sz w:val="26"/>
                <w:rtl/>
              </w:rPr>
              <w:t>בחוק בית המשפט לענייני משפחה, התשנ"ה–1995</w:t>
            </w:r>
            <w:r>
              <w:rPr>
                <w:rStyle w:val="a7"/>
                <w:rFonts w:cs="David"/>
                <w:sz w:val="26"/>
                <w:rtl/>
              </w:rPr>
              <w:footnoteReference w:id="2"/>
            </w:r>
            <w:r>
              <w:rPr>
                <w:rFonts w:cs="David"/>
                <w:sz w:val="26"/>
                <w:rtl/>
              </w:rPr>
              <w:t xml:space="preserve">, בסעיף 26(א), בפסקה (5), בסופה יבוא "ובלבד שאם לעניין הליך מסוים נתונה סמכות מקבילה לבית דין אחר, תהיה האגרה זהה לאגרה הקבועה לאותו הליך בבית הדין האחר;".  </w:t>
            </w:r>
          </w:p>
        </w:tc>
      </w:tr>
    </w:tbl>
    <w:p w:rsidR="00000000" w:rsidRDefault="00F501D8">
      <w:pPr>
        <w:pStyle w:val="HeadDivreiHesber"/>
        <w:spacing w:before="0" w:after="0"/>
        <w:rPr>
          <w:rFonts w:cs="David"/>
          <w:sz w:val="26"/>
          <w:rtl/>
        </w:rPr>
      </w:pPr>
    </w:p>
    <w:p w:rsidR="00000000" w:rsidRDefault="00F501D8">
      <w:pPr>
        <w:pStyle w:val="HeadDivreiHesber"/>
        <w:spacing w:before="0" w:after="0"/>
        <w:rPr>
          <w:rFonts w:cs="David"/>
          <w:sz w:val="26"/>
          <w:rtl/>
        </w:rPr>
      </w:pPr>
      <w:r>
        <w:rPr>
          <w:rFonts w:cs="David"/>
          <w:sz w:val="26"/>
          <w:rtl/>
        </w:rPr>
        <w:t>דברי הסבר</w:t>
      </w:r>
    </w:p>
    <w:p w:rsidR="00000000" w:rsidRDefault="00F501D8">
      <w:pPr>
        <w:pStyle w:val="Hesber"/>
        <w:rPr>
          <w:rFonts w:cs="David"/>
          <w:sz w:val="26"/>
          <w:rtl/>
        </w:rPr>
      </w:pPr>
      <w:r>
        <w:rPr>
          <w:rFonts w:cs="David"/>
          <w:sz w:val="26"/>
          <w:rtl/>
        </w:rPr>
        <w:t>סכומי האגרות המשולמים על הגשת תובענות ובקשות בבית המשפט לענייניי משפחה גבוהים במ</w:t>
      </w:r>
      <w:r>
        <w:rPr>
          <w:rFonts w:cs="David"/>
          <w:sz w:val="26"/>
          <w:rtl/>
        </w:rPr>
        <w:t>אות אחוזים לעומת הסכומים המשולמים בבתי הדין הדתיים ובבתי המשפט האזרחיים.</w:t>
      </w:r>
    </w:p>
    <w:p w:rsidR="00000000" w:rsidRDefault="00F501D8">
      <w:pPr>
        <w:pStyle w:val="Hesber"/>
        <w:rPr>
          <w:rFonts w:cs="David"/>
          <w:sz w:val="26"/>
          <w:rtl/>
        </w:rPr>
      </w:pPr>
      <w:r>
        <w:rPr>
          <w:rFonts w:cs="David"/>
          <w:sz w:val="26"/>
          <w:rtl/>
        </w:rPr>
        <w:t>לפיכך, בעלי הדין נמנעים מלהגיש לבית המשפט לענייני משפחה תובענות בשל גובה האגרות אותן הם נדרשים לשלם ולעיתים מנהלים הליכים בבית דין דתי רק משום שהאגרות המשולמות בו נמוכות יותר.</w:t>
      </w:r>
    </w:p>
    <w:p w:rsidR="00000000" w:rsidRDefault="00F501D8">
      <w:pPr>
        <w:pStyle w:val="Hesber"/>
        <w:rPr>
          <w:rFonts w:cs="David"/>
          <w:sz w:val="26"/>
          <w:rtl/>
        </w:rPr>
      </w:pPr>
      <w:r>
        <w:rPr>
          <w:rFonts w:cs="David"/>
          <w:sz w:val="26"/>
          <w:rtl/>
        </w:rPr>
        <w:t>כך, למש</w:t>
      </w:r>
      <w:r>
        <w:rPr>
          <w:rFonts w:cs="David"/>
          <w:sz w:val="26"/>
          <w:rtl/>
        </w:rPr>
        <w:t>ל, תובע המגיש לבית הדין הרבני תביעת גירושין הכוללת תביעת מזונות והחזקת ילדים, תביעה לאיזון משאבים ותביעה לפירוק שיתוף, ישלם בבית הדין הרבני אגרה בגובה 1,107 שקלים חדשים, בעוד בבית המשפט לענייני משפחה ישלם בגין אותם הליכים אגרה בגובה 6,085 שקלים חדשים, דהיי</w:t>
      </w:r>
      <w:r>
        <w:rPr>
          <w:rFonts w:cs="David"/>
          <w:sz w:val="26"/>
          <w:rtl/>
        </w:rPr>
        <w:t>נו,  פער של 444.6% בשיעורי האגרות.</w:t>
      </w:r>
    </w:p>
    <w:p w:rsidR="00000000" w:rsidRDefault="00F501D8">
      <w:pPr>
        <w:pStyle w:val="Hesber"/>
        <w:rPr>
          <w:rFonts w:cs="David"/>
          <w:sz w:val="26"/>
          <w:rtl/>
        </w:rPr>
      </w:pPr>
      <w:r>
        <w:rPr>
          <w:rFonts w:cs="David"/>
          <w:sz w:val="26"/>
          <w:rtl/>
        </w:rPr>
        <w:t>פערים אלו, פוגעים בעקרון השוויון ובזכותו של כל בעל דין לבחור בערכאה הנוחה לו משיקולים עניינים.</w:t>
      </w:r>
    </w:p>
    <w:p w:rsidR="00000000" w:rsidRDefault="00F501D8">
      <w:pPr>
        <w:pStyle w:val="Hesber"/>
        <w:rPr>
          <w:rFonts w:cs="David"/>
          <w:sz w:val="26"/>
          <w:rtl/>
        </w:rPr>
      </w:pPr>
      <w:r>
        <w:rPr>
          <w:rFonts w:cs="David"/>
          <w:sz w:val="26"/>
          <w:rtl/>
        </w:rPr>
        <w:t xml:space="preserve">לפיכך, מוצע להשוות את האגרות בכל הערכאות הדנות בענייני המעמד האישי.    </w:t>
      </w:r>
    </w:p>
    <w:p w:rsidR="00000000" w:rsidRDefault="00F501D8">
      <w:pPr>
        <w:pStyle w:val="Hesber"/>
        <w:rPr>
          <w:rFonts w:cs="David"/>
          <w:sz w:val="26"/>
          <w:rtl/>
        </w:rPr>
      </w:pPr>
      <w:r>
        <w:rPr>
          <w:rFonts w:cs="David"/>
          <w:sz w:val="26"/>
          <w:rtl/>
        </w:rPr>
        <w:t xml:space="preserve">הצעות חוק דומות בעיקרן הונחו על שולחן הכנסת השבע-עשרה </w:t>
      </w:r>
      <w:r>
        <w:rPr>
          <w:rFonts w:cs="David"/>
          <w:sz w:val="26"/>
          <w:rtl/>
        </w:rPr>
        <w:t>על ידי חברת הכנסת נאדיה חילו (פ/1962/17), ועל שולחן הכנסת השמונה-עשרה על ידי חבר הכנסת דב חנין וקבוצת חברי הכנסת (פ/861/18).</w:t>
      </w:r>
    </w:p>
    <w:p w:rsidR="00000000" w:rsidRDefault="00F501D8">
      <w:pPr>
        <w:pStyle w:val="Hesber"/>
        <w:rPr>
          <w:rFonts w:cs="David"/>
          <w:sz w:val="26"/>
          <w:rtl/>
        </w:rPr>
      </w:pPr>
      <w:r>
        <w:rPr>
          <w:rFonts w:cs="David"/>
          <w:sz w:val="26"/>
          <w:rtl/>
        </w:rPr>
        <w:t>---------------------------------</w:t>
      </w:r>
    </w:p>
    <w:p w:rsidR="00000000" w:rsidRDefault="00F501D8">
      <w:pPr>
        <w:pStyle w:val="Hesber"/>
        <w:rPr>
          <w:rFonts w:cs="David"/>
          <w:sz w:val="26"/>
          <w:rtl/>
        </w:rPr>
      </w:pPr>
      <w:r>
        <w:rPr>
          <w:rFonts w:cs="David"/>
          <w:sz w:val="26"/>
          <w:rtl/>
        </w:rPr>
        <w:t>הוגשה ליו"ר הכנסת והסגנים</w:t>
      </w:r>
    </w:p>
    <w:p w:rsidR="00000000" w:rsidRDefault="00F501D8">
      <w:pPr>
        <w:pStyle w:val="Hesber"/>
        <w:rPr>
          <w:rFonts w:cs="David"/>
          <w:sz w:val="26"/>
          <w:rtl/>
        </w:rPr>
      </w:pPr>
      <w:r>
        <w:rPr>
          <w:rFonts w:cs="David"/>
          <w:sz w:val="26"/>
          <w:rtl/>
        </w:rPr>
        <w:t>והונחה על שולחן הכנסת ביום</w:t>
      </w:r>
    </w:p>
    <w:p w:rsidR="00F501D8" w:rsidRDefault="00F501D8">
      <w:pPr>
        <w:pStyle w:val="Hesber"/>
        <w:rPr>
          <w:rFonts w:cs="David"/>
          <w:sz w:val="26"/>
          <w:rtl/>
        </w:rPr>
      </w:pPr>
      <w:r>
        <w:rPr>
          <w:rFonts w:cs="David"/>
          <w:sz w:val="26"/>
          <w:rtl/>
        </w:rPr>
        <w:t>ב' בניסן התשע"ג – 13.3.13</w:t>
      </w:r>
    </w:p>
    <w:sectPr w:rsidR="00F501D8">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D8" w:rsidRDefault="00F501D8">
      <w:pPr>
        <w:rPr>
          <w:rFonts w:cs="Hadasa Roso SL"/>
        </w:rPr>
      </w:pPr>
      <w:r>
        <w:rPr>
          <w:rFonts w:cs="Hadasa Roso SL"/>
        </w:rPr>
        <w:separator/>
      </w:r>
    </w:p>
  </w:endnote>
  <w:endnote w:type="continuationSeparator" w:id="0">
    <w:p w:rsidR="00F501D8" w:rsidRDefault="00F501D8">
      <w:pPr>
        <w:rPr>
          <w:rFonts w:cs="Hadasa Roso SL"/>
        </w:rPr>
      </w:pPr>
      <w:r>
        <w:rPr>
          <w:rFonts w:cs="Hadasa Roso SL"/>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MS ??"/>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01D8">
    <w:pPr>
      <w:pStyle w:val="ab"/>
      <w:framePr w:wrap="auto"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715B49">
      <w:rPr>
        <w:rStyle w:val="af"/>
        <w:rFonts w:cs="Hadasa Roso SL"/>
        <w:noProof/>
        <w:rtl/>
      </w:rPr>
      <w:t>2</w:t>
    </w:r>
    <w:r>
      <w:rPr>
        <w:rStyle w:val="af"/>
        <w:rFonts w:cs="Hadasa Roso SL"/>
      </w:rPr>
      <w:fldChar w:fldCharType="end"/>
    </w:r>
  </w:p>
  <w:p w:rsidR="00000000" w:rsidRDefault="00F501D8">
    <w:pPr>
      <w:pStyle w:val="ab"/>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D8" w:rsidRDefault="00F501D8">
      <w:pPr>
        <w:rPr>
          <w:rFonts w:cs="Hadasa Roso SL"/>
        </w:rPr>
      </w:pPr>
      <w:r>
        <w:rPr>
          <w:rFonts w:cs="Hadasa Roso SL"/>
        </w:rPr>
        <w:separator/>
      </w:r>
    </w:p>
  </w:footnote>
  <w:footnote w:type="continuationSeparator" w:id="0">
    <w:p w:rsidR="00F501D8" w:rsidRDefault="00F501D8">
      <w:pPr>
        <w:rPr>
          <w:rFonts w:cs="Hadasa Roso SL"/>
        </w:rPr>
      </w:pPr>
      <w:r>
        <w:rPr>
          <w:rFonts w:cs="Hadasa Roso SL"/>
        </w:rPr>
        <w:continuationSeparator/>
      </w:r>
    </w:p>
  </w:footnote>
  <w:footnote w:type="continuationNotice" w:id="1">
    <w:p w:rsidR="00F501D8" w:rsidRDefault="00F501D8">
      <w:pPr>
        <w:rPr>
          <w:rFonts w:cs="Hadasa Roso SL"/>
        </w:rPr>
      </w:pPr>
    </w:p>
  </w:footnote>
  <w:footnote w:id="2">
    <w:p w:rsidR="00000000" w:rsidRDefault="00F501D8">
      <w:pPr>
        <w:pStyle w:val="a5"/>
      </w:pPr>
      <w:r>
        <w:rPr>
          <w:rStyle w:val="a7"/>
          <w:rFonts w:cs="David"/>
        </w:rPr>
        <w:footnoteRef/>
      </w:r>
      <w:r>
        <w:rPr>
          <w:rFonts w:cs="David"/>
          <w:sz w:val="20"/>
          <w:rtl/>
        </w:rPr>
        <w:t xml:space="preserve"> ס"ח התשנ"ה, עמ</w:t>
      </w:r>
      <w:r>
        <w:rPr>
          <w:rFonts w:cs="David"/>
          <w:sz w:val="20"/>
          <w:rtl/>
        </w:rPr>
        <w:t>' 393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useFELayout/>
  </w:compat>
  <w:docVars>
    <w:docVar w:name="OriginalName" w:val="tmp477576lsCopyOriginal.doc"/>
    <w:docVar w:name="StartMode" w:val="4"/>
  </w:docVars>
  <w:rsids>
    <w:rsidRoot w:val="00715B49"/>
    <w:rsid w:val="00715B49"/>
    <w:rsid w:val="00F501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customStyle="1" w:styleId="Cover1-Reshumot">
    <w:name w:val="Cover 1-Reshumot"/>
    <w:basedOn w:val="Noparagraphstyle"/>
    <w:uiPriority w:val="99"/>
    <w:pPr>
      <w:tabs>
        <w:tab w:val="left" w:pos="1191"/>
        <w:tab w:val="left" w:pos="1587"/>
      </w:tabs>
      <w:spacing w:before="240" w:after="240" w:line="480" w:lineRule="auto"/>
      <w:jc w:val="center"/>
    </w:pPr>
  </w:style>
  <w:style w:type="paragraph" w:customStyle="1" w:styleId="Cover2-HatzaotHok">
    <w:name w:val="Cover 2-HatzaotHok"/>
    <w:basedOn w:val="Cover1-Reshumot"/>
    <w:uiPriority w:val="99"/>
    <w:rPr>
      <w:sz w:val="36"/>
      <w:szCs w:val="52"/>
    </w:rPr>
  </w:style>
  <w:style w:type="paragraph" w:customStyle="1" w:styleId="Cover3-Haknesset">
    <w:name w:val="Cover 3-Haknesset"/>
    <w:basedOn w:val="Cover1-Reshumot"/>
    <w:uiPriority w:val="99"/>
    <w:rPr>
      <w:b/>
      <w:bCs/>
      <w:spacing w:val="60"/>
    </w:rPr>
  </w:style>
  <w:style w:type="paragraph" w:customStyle="1" w:styleId="Cover4-Date">
    <w:name w:val="Cover 4-Date"/>
    <w:basedOn w:val="Noparagraphstyle"/>
    <w:uiPriority w:val="99"/>
    <w:pPr>
      <w:pBdr>
        <w:bottom w:val="single" w:sz="4" w:space="0" w:color="auto"/>
      </w:pBdr>
      <w:tabs>
        <w:tab w:val="center" w:pos="4820"/>
        <w:tab w:val="right" w:pos="9639"/>
      </w:tabs>
      <w:spacing w:before="240" w:after="240"/>
    </w:pPr>
  </w:style>
  <w:style w:type="paragraph" w:customStyle="1" w:styleId="TOC">
    <w:name w:val="TOC"/>
    <w:basedOn w:val="Noparagraphstyle"/>
    <w:uiPriority w:val="99"/>
    <w:pPr>
      <w:tabs>
        <w:tab w:val="left" w:leader="dot" w:pos="8789"/>
      </w:tabs>
      <w:spacing w:before="120"/>
      <w:ind w:left="284" w:right="284"/>
    </w:pPr>
  </w:style>
  <w:style w:type="paragraph" w:customStyle="1" w:styleId="TOCpg">
    <w:name w:val="TOC pg"/>
    <w:basedOn w:val="TOC"/>
    <w:uiPriority w:val="99"/>
    <w:pPr>
      <w:spacing w:after="120"/>
      <w:ind w:right="567"/>
      <w:jc w:val="right"/>
    </w:pPr>
  </w:style>
  <w:style w:type="paragraph" w:customStyle="1" w:styleId="HeadMitparsemetBaze">
    <w:name w:val="Head MitparsemetBaze"/>
    <w:basedOn w:val="Noparagraphstyle"/>
    <w:uiPriority w:val="99"/>
    <w:pPr>
      <w:keepNext/>
      <w:keepLines/>
      <w:pageBreakBefore/>
      <w:spacing w:before="480"/>
      <w:jc w:val="both"/>
    </w:pPr>
    <w:rPr>
      <w:b/>
      <w:bCs/>
    </w:rPr>
  </w:style>
  <w:style w:type="paragraph" w:customStyle="1" w:styleId="HeadHatzaotHok">
    <w:name w:val="Head HatzaotHok"/>
    <w:basedOn w:val="Noparagraphstyle"/>
    <w:uiPriority w:val="99"/>
    <w:pPr>
      <w:keepNext/>
      <w:keepLines/>
      <w:spacing w:before="240"/>
      <w:jc w:val="center"/>
    </w:pPr>
    <w:rPr>
      <w:b/>
      <w:bCs/>
    </w:rPr>
  </w:style>
  <w:style w:type="paragraph" w:customStyle="1" w:styleId="HeadHatzaotHok4Futer">
    <w:name w:val="Head HatzaotHok4Futer"/>
    <w:basedOn w:val="HeadHatzaotHok"/>
    <w:uiPriority w:val="99"/>
    <w:pPr>
      <w:spacing w:before="120" w:after="120"/>
    </w:pPr>
    <w:rPr>
      <w:color w:val="FF0000"/>
      <w:w w:val="80"/>
    </w:rPr>
  </w:style>
  <w:style w:type="paragraph" w:styleId="a3">
    <w:name w:val="endnote text"/>
    <w:basedOn w:val="Ragil"/>
    <w:link w:val="a4"/>
    <w:uiPriority w:val="99"/>
    <w:pPr>
      <w:ind w:left="227" w:hanging="227"/>
    </w:pPr>
    <w:rPr>
      <w:sz w:val="14"/>
      <w:szCs w:val="22"/>
    </w:rPr>
  </w:style>
  <w:style w:type="character" w:customStyle="1" w:styleId="a4">
    <w:name w:val="טקסט הערת סיום תו"/>
    <w:basedOn w:val="a0"/>
    <w:link w:val="a3"/>
    <w:uiPriority w:val="99"/>
    <w:semiHidden/>
    <w:rPr>
      <w:rFonts w:ascii="Hadasa Roso SL" w:eastAsia="MS Mincho" w:hAnsi="Hadasa Roso SL" w:cs="MS Mincho"/>
      <w:color w:val="000000"/>
      <w:spacing w:val="1"/>
      <w:sz w:val="20"/>
      <w:szCs w:val="20"/>
      <w:lang w:eastAsia="ja-JP"/>
    </w:rPr>
  </w:style>
  <w:style w:type="paragraph" w:customStyle="1" w:styleId="TableText">
    <w:name w:val="Table Text"/>
    <w:basedOn w:val="Ragil"/>
    <w:uiPriority w:val="99"/>
    <w:pPr>
      <w:keepLines/>
      <w:tabs>
        <w:tab w:val="left" w:pos="624"/>
        <w:tab w:val="left" w:pos="1247"/>
      </w:tabs>
      <w:ind w:right="57" w:firstLine="0"/>
    </w:pPr>
  </w:style>
  <w:style w:type="paragraph" w:customStyle="1" w:styleId="TableSideHeading">
    <w:name w:val="Table SideHeading"/>
    <w:basedOn w:val="TableText"/>
    <w:uiPriority w:val="99"/>
  </w:style>
  <w:style w:type="paragraph" w:customStyle="1" w:styleId="TableBlock">
    <w:name w:val="Table Block"/>
    <w:basedOn w:val="TableText"/>
    <w:uiPriority w:val="99"/>
    <w:pPr>
      <w:ind w:right="0"/>
      <w:jc w:val="both"/>
    </w:pPr>
  </w:style>
  <w:style w:type="paragraph" w:customStyle="1" w:styleId="TableHead">
    <w:name w:val="Table Head"/>
    <w:basedOn w:val="TableText"/>
    <w:uiPriority w:val="99"/>
    <w:pPr>
      <w:ind w:right="0"/>
      <w:jc w:val="center"/>
    </w:pPr>
    <w:rPr>
      <w:b/>
      <w:bCs/>
    </w:rPr>
  </w:style>
  <w:style w:type="paragraph" w:customStyle="1" w:styleId="TableText2">
    <w:name w:val="Table Text2"/>
    <w:basedOn w:val="TableText"/>
    <w:uiPriority w:val="99"/>
  </w:style>
  <w:style w:type="paragraph" w:customStyle="1" w:styleId="TableInnerSideHeading">
    <w:name w:val="Table InnerSideHeading"/>
    <w:basedOn w:val="TableSideHeading"/>
    <w:uiPriority w:val="99"/>
  </w:style>
  <w:style w:type="paragraph" w:customStyle="1" w:styleId="Hesber">
    <w:name w:val="Hesber"/>
    <w:basedOn w:val="Ragil"/>
    <w:uiPriority w:val="99"/>
    <w:pPr>
      <w:jc w:val="both"/>
    </w:pPr>
  </w:style>
  <w:style w:type="paragraph" w:styleId="a5">
    <w:name w:val="footnote text"/>
    <w:basedOn w:val="Ragil"/>
    <w:link w:val="a6"/>
    <w:autoRedefine/>
    <w:uiPriority w:val="99"/>
    <w:pPr>
      <w:spacing w:line="240" w:lineRule="auto"/>
      <w:ind w:left="227" w:hanging="227"/>
    </w:pPr>
    <w:rPr>
      <w:sz w:val="14"/>
      <w:szCs w:val="20"/>
    </w:rPr>
  </w:style>
  <w:style w:type="character" w:customStyle="1" w:styleId="a6">
    <w:name w:val="טקסט הערת שוליים תו"/>
    <w:basedOn w:val="a0"/>
    <w:link w:val="a5"/>
    <w:uiPriority w:val="99"/>
    <w:rPr>
      <w:rFonts w:ascii="Arial" w:eastAsia="Arial Unicode MS" w:hAnsi="Arial"/>
      <w:color w:val="000000"/>
      <w:sz w:val="14"/>
      <w:lang w:eastAsia="ja-JP"/>
    </w:rPr>
  </w:style>
  <w:style w:type="character" w:styleId="a7">
    <w:name w:val="footnote reference"/>
    <w:basedOn w:val="a0"/>
    <w:uiPriority w:val="99"/>
    <w:rPr>
      <w:vertAlign w:val="superscript"/>
    </w:rPr>
  </w:style>
  <w:style w:type="paragraph" w:customStyle="1" w:styleId="HesberHeading">
    <w:name w:val="Hesber Heading"/>
    <w:basedOn w:val="Hesber"/>
    <w:uiPriority w:val="99"/>
    <w:pPr>
      <w:keepNext/>
      <w:keepLines/>
      <w:spacing w:before="240"/>
      <w:ind w:firstLine="0"/>
    </w:pPr>
    <w:rPr>
      <w:b/>
      <w:bCs/>
    </w:rPr>
  </w:style>
  <w:style w:type="paragraph" w:customStyle="1" w:styleId="HesberWriters">
    <w:name w:val="Hesber Writers"/>
    <w:basedOn w:val="Hesber"/>
    <w:uiPriority w:val="99"/>
    <w:pPr>
      <w:spacing w:before="120" w:after="6000"/>
      <w:ind w:left="1418" w:firstLine="0"/>
      <w:jc w:val="right"/>
    </w:pPr>
    <w:rPr>
      <w:b/>
      <w:bCs/>
    </w:rPr>
  </w:style>
  <w:style w:type="paragraph" w:customStyle="1" w:styleId="Hesber1st">
    <w:name w:val="Hesber 1st"/>
    <w:basedOn w:val="Hesber"/>
    <w:uiPriority w:val="99"/>
    <w:pPr>
      <w:tabs>
        <w:tab w:val="left" w:pos="680"/>
        <w:tab w:val="left" w:pos="1020"/>
      </w:tabs>
      <w:ind w:firstLine="0"/>
    </w:pPr>
  </w:style>
  <w:style w:type="character" w:styleId="a8">
    <w:name w:val="endnote reference"/>
    <w:basedOn w:val="a0"/>
    <w:uiPriority w:val="99"/>
    <w:rPr>
      <w:vertAlign w:val="superscript"/>
    </w:rPr>
  </w:style>
  <w:style w:type="paragraph" w:customStyle="1" w:styleId="TableBlockOutdent">
    <w:name w:val="Table BlockOutdent"/>
    <w:basedOn w:val="TableBlock"/>
    <w:uiPriority w:val="99"/>
    <w:pPr>
      <w:ind w:left="624" w:hanging="624"/>
    </w:pPr>
  </w:style>
  <w:style w:type="paragraph" w:styleId="a9">
    <w:name w:val="header"/>
    <w:basedOn w:val="a"/>
    <w:link w:val="aa"/>
    <w:uiPriority w:val="99"/>
    <w:pPr>
      <w:tabs>
        <w:tab w:val="center" w:pos="4153"/>
        <w:tab w:val="right" w:pos="8306"/>
      </w:tabs>
    </w:pPr>
  </w:style>
  <w:style w:type="character" w:customStyle="1" w:styleId="aa">
    <w:name w:val="כותרת עליונה תו"/>
    <w:basedOn w:val="a0"/>
    <w:link w:val="a9"/>
    <w:uiPriority w:val="99"/>
    <w:semiHidden/>
    <w:rPr>
      <w:rFonts w:ascii="Hadasa Roso SL" w:eastAsia="MS Mincho" w:hAnsi="Hadasa Roso SL" w:cs="MS Mincho"/>
      <w:color w:val="000000"/>
      <w:spacing w:val="1"/>
      <w:sz w:val="17"/>
      <w:szCs w:val="17"/>
      <w:lang w:eastAsia="ja-JP"/>
    </w:rPr>
  </w:style>
  <w:style w:type="paragraph" w:styleId="ab">
    <w:name w:val="footer"/>
    <w:basedOn w:val="a"/>
    <w:link w:val="ac"/>
    <w:uiPriority w:val="99"/>
    <w:pPr>
      <w:tabs>
        <w:tab w:val="center" w:pos="4153"/>
        <w:tab w:val="right" w:pos="8306"/>
      </w:tabs>
    </w:pPr>
  </w:style>
  <w:style w:type="character" w:customStyle="1" w:styleId="ac">
    <w:name w:val="כותרת תחתונה תו"/>
    <w:basedOn w:val="a0"/>
    <w:link w:val="ab"/>
    <w:uiPriority w:val="99"/>
    <w:semiHidden/>
    <w:rPr>
      <w:rFonts w:ascii="Hadasa Roso SL" w:eastAsia="MS Mincho" w:hAnsi="Hadasa Roso SL" w:cs="MS Mincho"/>
      <w:color w:val="000000"/>
      <w:spacing w:val="1"/>
      <w:sz w:val="17"/>
      <w:szCs w:val="17"/>
      <w:lang w:eastAsia="ja-JP"/>
    </w:rPr>
  </w:style>
  <w:style w:type="paragraph" w:customStyle="1" w:styleId="HeadDivreiHesber">
    <w:name w:val="Head DivreiHesber"/>
    <w:basedOn w:val="Ragil"/>
    <w:uiPriority w:val="99"/>
    <w:pPr>
      <w:spacing w:before="360" w:after="120"/>
      <w:ind w:firstLine="0"/>
      <w:jc w:val="center"/>
    </w:pPr>
    <w:rPr>
      <w:b/>
      <w:spacing w:val="40"/>
    </w:rPr>
  </w:style>
  <w:style w:type="paragraph" w:customStyle="1" w:styleId="Ragil">
    <w:name w:val="Ragil"/>
    <w:basedOn w:val="Noparagraphstyle"/>
    <w:uiPriority w:val="99"/>
    <w:pPr>
      <w:ind w:firstLine="340"/>
    </w:pPr>
  </w:style>
  <w:style w:type="paragraph" w:styleId="ad">
    <w:name w:val="Title"/>
    <w:basedOn w:val="a"/>
    <w:link w:val="ae"/>
    <w:uiPriority w:val="99"/>
    <w:qFormat/>
    <w:pPr>
      <w:jc w:val="center"/>
    </w:pPr>
    <w:rPr>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Pr>
      <w:rFonts w:cs="Times New Roman"/>
      <w:lang w:bidi="he-IL"/>
    </w:rPr>
  </w:style>
  <w:style w:type="paragraph" w:customStyle="1" w:styleId="David">
    <w:name w:val="רגיל + (עברית ושפות אחרות) David"/>
    <w:aliases w:val="‏13 נק',מודגש,אחרי:  6 נק'"/>
    <w:basedOn w:val="a"/>
    <w:uiPriority w:val="99"/>
    <w:pPr>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nhedrinTempDoc\ozer_hanin\lsNew.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lsNew.dot</Template>
  <TotalTime>2</TotalTime>
  <Pages>2</Pages>
  <Words>242</Words>
  <Characters>1286</Characters>
  <Application>Microsoft Office Word</Application>
  <DocSecurity>0</DocSecurity>
  <Lines>21</Lines>
  <Paragraphs>8</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בית המשפט לענייני משפחה (תיקון - השוואת סכומי האגרות), התשע"ג-2013</dc:title>
  <dc:creator>דב חנין</dc:creator>
  <cp:lastModifiedBy>bb bt</cp:lastModifiedBy>
  <cp:revision>2</cp:revision>
  <dcterms:created xsi:type="dcterms:W3CDTF">2015-06-09T13:41:00Z</dcterms:created>
  <dcterms:modified xsi:type="dcterms:W3CDTF">2015-06-09T13:41:00Z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01004113</vt:lpwstr>
  </property>
  <property fmtid="{D5CDD505-2E9C-101B-9397-08002B2CF9AE}" pid="3" name="ContentTypeId">
    <vt:lpwstr>0x010100D2889987F19D9A4EA3E715683F9311D62A009006708AF7741D4EAEBEE3220EA32DEB</vt:lpwstr>
  </property>
  <property fmtid="{D5CDD505-2E9C-101B-9397-08002B2CF9AE}" pid="4" name="ContentType">
    <vt:lpwstr>חקיקה - HatzaaTromit</vt:lpwstr>
  </property>
  <property fmtid="{D5CDD505-2E9C-101B-9397-08002B2CF9AE}" pid="5" name="SDCategoryID">
    <vt:lpwstr>7fc2ca30016a;#</vt:lpwstr>
  </property>
  <property fmtid="{D5CDD505-2E9C-101B-9397-08002B2CF9AE}" pid="6" name="מספר הצעת חוק למיון">
    <vt:lpwstr>691.000000000000</vt:lpwstr>
  </property>
  <property fmtid="{D5CDD505-2E9C-101B-9397-08002B2CF9AE}" pid="7" name="DocID">
    <vt:lpwstr>321437.000000000</vt:lpwstr>
  </property>
  <property fmtid="{D5CDD505-2E9C-101B-9397-08002B2CF9AE}" pid="8" name="SDCategories">
    <vt:lpwstr>:חקיקה:נוסח לדיון מוקדם;#</vt:lpwstr>
  </property>
  <property fmtid="{D5CDD505-2E9C-101B-9397-08002B2CF9AE}" pid="9" name="SDDocDate">
    <vt:lpwstr>2013-03-13T12:22:00Z</vt:lpwstr>
  </property>
  <property fmtid="{D5CDD505-2E9C-101B-9397-08002B2CF9AE}" pid="10" name="SDHebDate">
    <vt:lpwstr>ב' בניסן, התשע"ג</vt:lpwstr>
  </property>
  <property fmtid="{D5CDD505-2E9C-101B-9397-08002B2CF9AE}" pid="11" name="Vaada">
    <vt:lpwstr/>
  </property>
  <property fmtid="{D5CDD505-2E9C-101B-9397-08002B2CF9AE}" pid="12" name="תאריך הנחה">
    <vt:lpwstr>2013-03-13T00:00:00Z</vt:lpwstr>
  </property>
  <property fmtid="{D5CDD505-2E9C-101B-9397-08002B2CF9AE}" pid="13" name="ItemID">
    <vt:lpwstr>477576.000000000</vt:lpwstr>
  </property>
  <property fmtid="{D5CDD505-2E9C-101B-9397-08002B2CF9AE}" pid="14" name="ProposerID">
    <vt:lpwstr/>
  </property>
  <property fmtid="{D5CDD505-2E9C-101B-9397-08002B2CF9AE}" pid="15" name="Proposer">
    <vt:lpwstr/>
  </property>
  <property fmtid="{D5CDD505-2E9C-101B-9397-08002B2CF9AE}" pid="16" name="SDAuthor">
    <vt:lpwstr>דב חנין</vt:lpwstr>
  </property>
  <property fmtid="{D5CDD505-2E9C-101B-9397-08002B2CF9AE}" pid="17" name="MechaberMismach">
    <vt:lpwstr>דב חנין</vt:lpwstr>
  </property>
  <property fmtid="{D5CDD505-2E9C-101B-9397-08002B2CF9AE}" pid="18" name="YozemID">
    <vt:lpwstr>000004416, 000000540, 000004295, 000012936</vt:lpwstr>
  </property>
  <property fmtid="{D5CDD505-2E9C-101B-9397-08002B2CF9AE}" pid="19" name="MisHatzaatChok">
    <vt:lpwstr>/פ691/19</vt:lpwstr>
  </property>
  <property fmtid="{D5CDD505-2E9C-101B-9397-08002B2CF9AE}" pid="20" name="YozemHatzaa_ChakList">
    <vt:lpwstr>דב חנין, מוחמד ברכה, חנא סוייד, עפו אגבאריה</vt:lpwstr>
  </property>
</Properties>
</file>