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3A" w:rsidRPr="00F67051" w:rsidRDefault="00023E3A" w:rsidP="00023E3A">
      <w:pPr>
        <w:pStyle w:val="HeadHatzaotHok"/>
        <w:spacing w:after="120"/>
        <w:rPr>
          <w:rtl/>
        </w:rPr>
      </w:pPr>
      <w:bookmarkStart w:id="0" w:name="Title"/>
      <w:r>
        <w:rPr>
          <w:rFonts w:hint="cs"/>
          <w:sz w:val="26"/>
          <w:rtl/>
        </w:rPr>
        <w:t>תזכיר</w:t>
      </w:r>
      <w:r w:rsidRPr="001D18F9">
        <w:rPr>
          <w:sz w:val="26"/>
          <w:rtl/>
        </w:rPr>
        <w:t xml:space="preserve"> חוק שיפוט בתי דין רבניים (נישואין וגירושין) (תיקון </w:t>
      </w:r>
      <w:r>
        <w:rPr>
          <w:sz w:val="26"/>
          <w:rtl/>
        </w:rPr>
        <w:t>–</w:t>
      </w:r>
      <w:r w:rsidRPr="001D18F9">
        <w:rPr>
          <w:sz w:val="26"/>
          <w:rtl/>
        </w:rPr>
        <w:t xml:space="preserve"> סמכות בין</w:t>
      </w:r>
      <w:r>
        <w:rPr>
          <w:sz w:val="26"/>
          <w:rtl/>
        </w:rPr>
        <w:t>-</w:t>
      </w:r>
      <w:r w:rsidRPr="001D18F9">
        <w:rPr>
          <w:sz w:val="26"/>
          <w:rtl/>
        </w:rPr>
        <w:t>לאומית בתביע</w:t>
      </w:r>
      <w:r>
        <w:rPr>
          <w:sz w:val="26"/>
          <w:rtl/>
        </w:rPr>
        <w:t>ה</w:t>
      </w:r>
      <w:r w:rsidRPr="001D18F9">
        <w:rPr>
          <w:sz w:val="26"/>
          <w:rtl/>
        </w:rPr>
        <w:t xml:space="preserve"> </w:t>
      </w:r>
      <w:r>
        <w:rPr>
          <w:sz w:val="26"/>
          <w:rtl/>
        </w:rPr>
        <w:t>ל</w:t>
      </w:r>
      <w:r w:rsidRPr="001D18F9">
        <w:rPr>
          <w:sz w:val="26"/>
          <w:rtl/>
        </w:rPr>
        <w:t>גירושין</w:t>
      </w:r>
      <w:r>
        <w:rPr>
          <w:sz w:val="26"/>
          <w:rtl/>
        </w:rPr>
        <w:t xml:space="preserve"> במקרי עיגון</w:t>
      </w:r>
      <w:r w:rsidRPr="001D18F9">
        <w:rPr>
          <w:sz w:val="26"/>
          <w:rtl/>
        </w:rPr>
        <w:t xml:space="preserve">), </w:t>
      </w:r>
      <w:proofErr w:type="spellStart"/>
      <w:r w:rsidRPr="001D18F9">
        <w:rPr>
          <w:sz w:val="26"/>
          <w:rtl/>
        </w:rPr>
        <w:t>התשע"</w:t>
      </w:r>
      <w:r>
        <w:rPr>
          <w:sz w:val="26"/>
          <w:rtl/>
        </w:rPr>
        <w:t>ח</w:t>
      </w:r>
      <w:proofErr w:type="spellEnd"/>
      <w:r>
        <w:rPr>
          <w:sz w:val="26"/>
          <w:rtl/>
        </w:rPr>
        <w:t>–</w:t>
      </w:r>
      <w:r w:rsidRPr="001D18F9">
        <w:rPr>
          <w:sz w:val="26"/>
          <w:rtl/>
        </w:rPr>
        <w:t>201</w:t>
      </w:r>
      <w:bookmarkEnd w:id="0"/>
      <w:r>
        <w:rPr>
          <w:sz w:val="26"/>
          <w:rtl/>
        </w:rPr>
        <w:t>7</w:t>
      </w:r>
    </w:p>
    <w:tbl>
      <w:tblPr>
        <w:bidiVisual/>
        <w:tblW w:w="10486" w:type="dxa"/>
        <w:tblInd w:w="-213" w:type="dxa"/>
        <w:tblLayout w:type="fixed"/>
        <w:tblCellMar>
          <w:top w:w="57" w:type="dxa"/>
          <w:left w:w="0" w:type="dxa"/>
          <w:bottom w:w="57" w:type="dxa"/>
          <w:right w:w="0" w:type="dxa"/>
        </w:tblCellMar>
        <w:tblLook w:val="01E0" w:firstRow="1" w:lastRow="1" w:firstColumn="1" w:lastColumn="1" w:noHBand="0" w:noVBand="0"/>
      </w:tblPr>
      <w:tblGrid>
        <w:gridCol w:w="2084"/>
        <w:gridCol w:w="624"/>
        <w:gridCol w:w="628"/>
        <w:gridCol w:w="628"/>
        <w:gridCol w:w="499"/>
        <w:gridCol w:w="6023"/>
      </w:tblGrid>
      <w:tr w:rsidR="00023E3A" w:rsidTr="00023E3A">
        <w:trPr>
          <w:cantSplit/>
        </w:trPr>
        <w:tc>
          <w:tcPr>
            <w:tcW w:w="2084" w:type="dxa"/>
            <w:hideMark/>
          </w:tcPr>
          <w:p w:rsidR="00023E3A" w:rsidRDefault="00023E3A" w:rsidP="00EB3215">
            <w:pPr>
              <w:pStyle w:val="TableSideHeading"/>
              <w:keepLines w:val="0"/>
            </w:pPr>
            <w:r>
              <w:rPr>
                <w:rtl/>
              </w:rPr>
              <w:t>תיקון סעיף 4א</w:t>
            </w:r>
          </w:p>
        </w:tc>
        <w:tc>
          <w:tcPr>
            <w:tcW w:w="624" w:type="dxa"/>
            <w:hideMark/>
          </w:tcPr>
          <w:p w:rsidR="00023E3A" w:rsidRDefault="00023E3A" w:rsidP="00EB3215">
            <w:pPr>
              <w:pStyle w:val="TableText"/>
              <w:keepLines w:val="0"/>
            </w:pPr>
            <w:r>
              <w:rPr>
                <w:rtl/>
              </w:rPr>
              <w:t xml:space="preserve">1. </w:t>
            </w:r>
          </w:p>
        </w:tc>
        <w:tc>
          <w:tcPr>
            <w:tcW w:w="7778" w:type="dxa"/>
            <w:gridSpan w:val="4"/>
          </w:tcPr>
          <w:p w:rsidR="00023E3A" w:rsidRPr="000626DD" w:rsidRDefault="00023E3A" w:rsidP="00EB3215">
            <w:pPr>
              <w:pStyle w:val="TableBlock"/>
            </w:pPr>
            <w:r w:rsidRPr="000626DD">
              <w:rPr>
                <w:rtl/>
              </w:rPr>
              <w:t xml:space="preserve">בחוק שיפוט בתי דין רבניים (נישואין וגירושין), </w:t>
            </w:r>
            <w:proofErr w:type="spellStart"/>
            <w:r w:rsidRPr="000626DD">
              <w:rPr>
                <w:rtl/>
              </w:rPr>
              <w:t>התשי"ג</w:t>
            </w:r>
            <w:proofErr w:type="spellEnd"/>
            <w:r w:rsidRPr="000626DD">
              <w:rPr>
                <w:rtl/>
              </w:rPr>
              <w:t>–1953</w:t>
            </w:r>
            <w:r w:rsidRPr="000626DD">
              <w:rPr>
                <w:vertAlign w:val="superscript"/>
                <w:rtl/>
              </w:rPr>
              <w:footnoteReference w:id="1"/>
            </w:r>
            <w:r w:rsidRPr="000626DD">
              <w:rPr>
                <w:rtl/>
              </w:rPr>
              <w:t xml:space="preserve">, בסעיף </w:t>
            </w:r>
            <w:r>
              <w:rPr>
                <w:rtl/>
              </w:rPr>
              <w:t>א</w:t>
            </w:r>
            <w:r w:rsidRPr="000626DD">
              <w:rPr>
                <w:rtl/>
              </w:rPr>
              <w:t>4 –</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7778" w:type="dxa"/>
            <w:gridSpan w:val="4"/>
          </w:tcPr>
          <w:p w:rsidR="00023E3A" w:rsidRDefault="00023E3A" w:rsidP="00EB3215">
            <w:pPr>
              <w:pStyle w:val="TableBlock"/>
              <w:rPr>
                <w:rtl/>
              </w:rPr>
            </w:pPr>
            <w:r>
              <w:rPr>
                <w:rtl/>
              </w:rPr>
              <w:t xml:space="preserve">(1) </w:t>
            </w:r>
            <w:r>
              <w:rPr>
                <w:rtl/>
              </w:rPr>
              <w:tab/>
              <w:t xml:space="preserve">בסעיף 4א (א), המילים "שנישאו </w:t>
            </w:r>
            <w:r w:rsidRPr="00D24422">
              <w:rPr>
                <w:rtl/>
              </w:rPr>
              <w:t>על פי דין תורה</w:t>
            </w:r>
            <w:r>
              <w:rPr>
                <w:rtl/>
              </w:rPr>
              <w:t>" – יימחקו.</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7778" w:type="dxa"/>
            <w:gridSpan w:val="4"/>
          </w:tcPr>
          <w:p w:rsidR="00023E3A" w:rsidRDefault="00023E3A" w:rsidP="00EB3215">
            <w:pPr>
              <w:pStyle w:val="TableBlock"/>
              <w:rPr>
                <w:rtl/>
              </w:rPr>
            </w:pPr>
            <w:r>
              <w:rPr>
                <w:rtl/>
              </w:rPr>
              <w:t>(2)</w:t>
            </w:r>
            <w:r>
              <w:rPr>
                <w:rtl/>
              </w:rPr>
              <w:tab/>
              <w:t>לאחר סעיף 4א(א)(6) יבוא:</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7778" w:type="dxa"/>
            <w:gridSpan w:val="4"/>
          </w:tcPr>
          <w:p w:rsidR="00023E3A" w:rsidRDefault="00023E3A" w:rsidP="00EB3215">
            <w:pPr>
              <w:pStyle w:val="TableBlock"/>
              <w:rPr>
                <w:rtl/>
              </w:rPr>
            </w:pPr>
            <w:r>
              <w:rPr>
                <w:rtl/>
              </w:rPr>
              <w:t xml:space="preserve">"(א1) </w:t>
            </w:r>
            <w:r w:rsidRPr="00364F85">
              <w:rPr>
                <w:rtl/>
              </w:rPr>
              <w:t xml:space="preserve">לבית דין רבני תהיה הסמכות לפי </w:t>
            </w:r>
            <w:r w:rsidRPr="00ED440F">
              <w:rPr>
                <w:rtl/>
              </w:rPr>
              <w:t xml:space="preserve">סעיף קטן (א) </w:t>
            </w:r>
            <w:r w:rsidRPr="00364F85">
              <w:rPr>
                <w:rtl/>
              </w:rPr>
              <w:t xml:space="preserve">בעניינם של בני זוג שנישאו בנישואין אזרחיים בלבד, </w:t>
            </w:r>
            <w:r>
              <w:rPr>
                <w:rtl/>
              </w:rPr>
              <w:t xml:space="preserve">רק </w:t>
            </w:r>
            <w:r w:rsidRPr="00364F85">
              <w:rPr>
                <w:rtl/>
              </w:rPr>
              <w:t>אם במקום מושבם האחרון של בני הזוג לא ניתן לערוך גירושין על פי כל דין</w:t>
            </w:r>
            <w:r w:rsidRPr="009C1FEE">
              <w:rPr>
                <w:rtl/>
              </w:rPr>
              <w:t xml:space="preserve">, או שמתקיימות נסיבות מיוחדות המקשות על ניהול ההליך במדינת החוץ והתקיים האמור בסעיף קטן </w:t>
            </w:r>
            <w:r>
              <w:rPr>
                <w:rtl/>
              </w:rPr>
              <w:t>(</w:t>
            </w:r>
            <w:r w:rsidRPr="009C1FEE">
              <w:rPr>
                <w:rtl/>
              </w:rPr>
              <w:t>א</w:t>
            </w:r>
            <w:r>
              <w:rPr>
                <w:rtl/>
              </w:rPr>
              <w:t>)</w:t>
            </w:r>
            <w:r w:rsidRPr="009C1FEE">
              <w:rPr>
                <w:rtl/>
              </w:rPr>
              <w:t>(3)</w:t>
            </w:r>
            <w:r>
              <w:rPr>
                <w:rtl/>
              </w:rPr>
              <w:t>."</w:t>
            </w:r>
          </w:p>
        </w:tc>
      </w:tr>
      <w:tr w:rsidR="00023E3A" w:rsidTr="00023E3A">
        <w:trPr>
          <w:cantSplit/>
        </w:trPr>
        <w:tc>
          <w:tcPr>
            <w:tcW w:w="2084" w:type="dxa"/>
          </w:tcPr>
          <w:p w:rsidR="00023E3A" w:rsidRDefault="00023E3A" w:rsidP="00EB3215">
            <w:pPr>
              <w:pStyle w:val="TableSideHeading"/>
              <w:keepLines w:val="0"/>
              <w:rPr>
                <w:rtl/>
              </w:rPr>
            </w:pPr>
            <w:r>
              <w:rPr>
                <w:rtl/>
              </w:rPr>
              <w:t>תיקון סעיף קטן (ה)</w:t>
            </w:r>
          </w:p>
        </w:tc>
        <w:tc>
          <w:tcPr>
            <w:tcW w:w="624" w:type="dxa"/>
          </w:tcPr>
          <w:p w:rsidR="00023E3A" w:rsidRDefault="00023E3A" w:rsidP="00EB3215">
            <w:pPr>
              <w:pStyle w:val="TableText"/>
              <w:keepLines w:val="0"/>
              <w:rPr>
                <w:rtl/>
              </w:rPr>
            </w:pPr>
          </w:p>
        </w:tc>
        <w:tc>
          <w:tcPr>
            <w:tcW w:w="7778" w:type="dxa"/>
            <w:gridSpan w:val="4"/>
          </w:tcPr>
          <w:p w:rsidR="00023E3A" w:rsidRDefault="00023E3A" w:rsidP="00EB3215">
            <w:pPr>
              <w:pStyle w:val="TableBlock"/>
              <w:rPr>
                <w:rtl/>
              </w:rPr>
            </w:pPr>
            <w:r>
              <w:rPr>
                <w:rtl/>
              </w:rPr>
              <w:t>(3)</w:t>
            </w:r>
            <w:r>
              <w:rPr>
                <w:rtl/>
              </w:rPr>
              <w:tab/>
              <w:t>בסעיף קטן (ה), לאחר המילים "</w:t>
            </w:r>
            <w:r w:rsidRPr="00DF4B15">
              <w:rPr>
                <w:rtl/>
              </w:rPr>
              <w:t>אין בהוראות סעיף זה</w:t>
            </w:r>
            <w:r>
              <w:rPr>
                <w:rtl/>
              </w:rPr>
              <w:t>" יבוא "</w:t>
            </w:r>
            <w:r w:rsidRPr="00DF4B15">
              <w:rPr>
                <w:rtl/>
              </w:rPr>
              <w:t>ובסעיף 4א1</w:t>
            </w:r>
            <w:r>
              <w:rPr>
                <w:rtl/>
              </w:rPr>
              <w:t>".</w:t>
            </w:r>
          </w:p>
        </w:tc>
      </w:tr>
      <w:tr w:rsidR="00023E3A" w:rsidTr="00023E3A">
        <w:trPr>
          <w:cantSplit/>
        </w:trPr>
        <w:tc>
          <w:tcPr>
            <w:tcW w:w="2084" w:type="dxa"/>
          </w:tcPr>
          <w:p w:rsidR="00023E3A" w:rsidRDefault="00023E3A" w:rsidP="00EB3215">
            <w:pPr>
              <w:pStyle w:val="TableSideHeading"/>
              <w:keepLines w:val="0"/>
              <w:rPr>
                <w:rtl/>
              </w:rPr>
            </w:pPr>
            <w:r>
              <w:rPr>
                <w:rtl/>
              </w:rPr>
              <w:t>הוספת סעיף 4א1</w:t>
            </w:r>
          </w:p>
        </w:tc>
        <w:tc>
          <w:tcPr>
            <w:tcW w:w="624" w:type="dxa"/>
          </w:tcPr>
          <w:p w:rsidR="00023E3A" w:rsidRDefault="00023E3A" w:rsidP="00EB3215">
            <w:pPr>
              <w:pStyle w:val="TableText"/>
              <w:keepLines w:val="0"/>
              <w:rPr>
                <w:rtl/>
              </w:rPr>
            </w:pPr>
            <w:r>
              <w:rPr>
                <w:rtl/>
              </w:rPr>
              <w:t>2.</w:t>
            </w:r>
          </w:p>
        </w:tc>
        <w:tc>
          <w:tcPr>
            <w:tcW w:w="7778" w:type="dxa"/>
            <w:gridSpan w:val="4"/>
          </w:tcPr>
          <w:p w:rsidR="00023E3A" w:rsidRPr="000626DD" w:rsidRDefault="00023E3A" w:rsidP="00EB3215">
            <w:pPr>
              <w:pStyle w:val="TableBlock"/>
              <w:rPr>
                <w:rtl/>
              </w:rPr>
            </w:pPr>
            <w:r>
              <w:rPr>
                <w:rtl/>
              </w:rPr>
              <w:t>אחרי סעיף 4א לחוק העיקרי יבוא:</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r>
              <w:rPr>
                <w:rtl/>
              </w:rPr>
              <w:t>"4א1</w:t>
            </w:r>
          </w:p>
        </w:tc>
        <w:tc>
          <w:tcPr>
            <w:tcW w:w="628" w:type="dxa"/>
          </w:tcPr>
          <w:p w:rsidR="00023E3A" w:rsidRDefault="00023E3A" w:rsidP="00EB3215">
            <w:pPr>
              <w:pStyle w:val="TableBlock"/>
              <w:rPr>
                <w:rtl/>
              </w:rPr>
            </w:pPr>
            <w:r>
              <w:rPr>
                <w:rtl/>
              </w:rPr>
              <w:t>(א)</w:t>
            </w:r>
          </w:p>
        </w:tc>
        <w:tc>
          <w:tcPr>
            <w:tcW w:w="6522" w:type="dxa"/>
            <w:gridSpan w:val="2"/>
          </w:tcPr>
          <w:p w:rsidR="00023E3A" w:rsidRDefault="00023E3A" w:rsidP="00EB3215">
            <w:pPr>
              <w:pStyle w:val="TableBlock"/>
              <w:rPr>
                <w:rtl/>
              </w:rPr>
            </w:pPr>
            <w:r>
              <w:rPr>
                <w:rtl/>
              </w:rPr>
              <w:t>מבלי לגרוע</w:t>
            </w:r>
            <w:r w:rsidRPr="009C1FEE">
              <w:rPr>
                <w:rtl/>
              </w:rPr>
              <w:t xml:space="preserve"> מסמכויות בית דין רבני לפי סעיף 1 וסעיף 4א ועל אף האמור בהם, </w:t>
            </w:r>
            <w:r w:rsidRPr="004D57D5">
              <w:rPr>
                <w:rtl/>
              </w:rPr>
              <w:t xml:space="preserve">בית דין רבני מוסמך לדון בתביעה לגירושין בין בני זוג יהודים שנישאו על פי דין תורה, אם נוכח כי קיים חשש ממשי </w:t>
            </w:r>
            <w:r>
              <w:rPr>
                <w:rtl/>
              </w:rPr>
              <w:t>ש</w:t>
            </w:r>
            <w:r w:rsidRPr="004D57D5">
              <w:rPr>
                <w:rtl/>
              </w:rPr>
              <w:t>לא ניתן יהיה להתיר את הנישואין לפי דין תורה</w:t>
            </w:r>
            <w:r>
              <w:rPr>
                <w:rtl/>
              </w:rPr>
              <w:t xml:space="preserve"> במקום מושבם האחרון של הצדדים מחוץ לישראל (להלן בסעיף זה – מדינת החוץ)</w:t>
            </w:r>
            <w:r w:rsidRPr="009C1FEE">
              <w:rPr>
                <w:rtl/>
              </w:rPr>
              <w:t xml:space="preserve">, ובלבד </w:t>
            </w:r>
            <w:r>
              <w:rPr>
                <w:rtl/>
              </w:rPr>
              <w:t xml:space="preserve">שהנתבע </w:t>
            </w:r>
            <w:r w:rsidRPr="009C1FEE">
              <w:rPr>
                <w:rtl/>
              </w:rPr>
              <w:t>יהיה נוכח בישראל בעת הגשת התביעה, או בהתקיים נסיבות מיוחדות</w:t>
            </w:r>
            <w:r>
              <w:rPr>
                <w:rtl/>
              </w:rPr>
              <w:t>.</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r>
              <w:rPr>
                <w:rtl/>
              </w:rPr>
              <w:t>(ב)</w:t>
            </w:r>
          </w:p>
        </w:tc>
        <w:tc>
          <w:tcPr>
            <w:tcW w:w="6522" w:type="dxa"/>
            <w:gridSpan w:val="2"/>
          </w:tcPr>
          <w:p w:rsidR="00023E3A" w:rsidRDefault="00023E3A" w:rsidP="00EB3215">
            <w:pPr>
              <w:pStyle w:val="TableBlock"/>
              <w:rPr>
                <w:rtl/>
              </w:rPr>
            </w:pPr>
            <w:r w:rsidRPr="00FC1E56">
              <w:rPr>
                <w:rtl/>
              </w:rPr>
              <w:t xml:space="preserve">לא יוסמך בית הדין לדון בתביעה לפי סעיף זה אלא אם </w:t>
            </w:r>
            <w:r>
              <w:rPr>
                <w:rtl/>
              </w:rPr>
              <w:t>התקיימו של התנאים הבאים:</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p>
        </w:tc>
        <w:tc>
          <w:tcPr>
            <w:tcW w:w="499" w:type="dxa"/>
          </w:tcPr>
          <w:p w:rsidR="00023E3A" w:rsidRPr="00FC1E56" w:rsidRDefault="00023E3A" w:rsidP="00EB3215">
            <w:pPr>
              <w:pStyle w:val="TableBlock"/>
              <w:rPr>
                <w:rtl/>
              </w:rPr>
            </w:pPr>
            <w:r>
              <w:rPr>
                <w:rtl/>
              </w:rPr>
              <w:t>(1)</w:t>
            </w:r>
          </w:p>
        </w:tc>
        <w:tc>
          <w:tcPr>
            <w:tcW w:w="6023" w:type="dxa"/>
          </w:tcPr>
          <w:p w:rsidR="00023E3A" w:rsidRPr="00FC1E56" w:rsidRDefault="00023E3A" w:rsidP="00EB3215">
            <w:pPr>
              <w:pStyle w:val="TableBlock"/>
              <w:rPr>
                <w:rtl/>
              </w:rPr>
            </w:pPr>
            <w:r>
              <w:rPr>
                <w:rtl/>
              </w:rPr>
              <w:t xml:space="preserve">אם היו הצדדים נשואים לפי הדין החל במדינת החוץ, </w:t>
            </w:r>
            <w:r w:rsidRPr="00FC1E56">
              <w:rPr>
                <w:rtl/>
              </w:rPr>
              <w:t xml:space="preserve">הוגשה </w:t>
            </w:r>
            <w:r>
              <w:rPr>
                <w:rtl/>
              </w:rPr>
              <w:t>שם</w:t>
            </w:r>
            <w:r w:rsidRPr="00FC1E56">
              <w:rPr>
                <w:rtl/>
              </w:rPr>
              <w:t xml:space="preserve"> קודם לכן תביעה לגירושין</w:t>
            </w:r>
            <w:r>
              <w:rPr>
                <w:rtl/>
              </w:rPr>
              <w:t>;</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p>
        </w:tc>
        <w:tc>
          <w:tcPr>
            <w:tcW w:w="499" w:type="dxa"/>
          </w:tcPr>
          <w:p w:rsidR="00023E3A" w:rsidRDefault="00023E3A" w:rsidP="00EB3215">
            <w:pPr>
              <w:pStyle w:val="TableBlock"/>
              <w:rPr>
                <w:rtl/>
              </w:rPr>
            </w:pPr>
            <w:r>
              <w:rPr>
                <w:rtl/>
              </w:rPr>
              <w:t>(2)</w:t>
            </w:r>
          </w:p>
        </w:tc>
        <w:tc>
          <w:tcPr>
            <w:tcW w:w="6023" w:type="dxa"/>
          </w:tcPr>
          <w:p w:rsidR="00023E3A" w:rsidRPr="00FC1E56" w:rsidRDefault="00023E3A" w:rsidP="00EB3215">
            <w:pPr>
              <w:pStyle w:val="TableBlock"/>
              <w:rPr>
                <w:rtl/>
              </w:rPr>
            </w:pPr>
            <w:r w:rsidRPr="00FC1E56">
              <w:rPr>
                <w:rtl/>
              </w:rPr>
              <w:t xml:space="preserve">התובע פעל להתרת הנישואין על פי דין תורה במדינת החוץ, אם קיימת אפשרות כזו, או אם </w:t>
            </w:r>
            <w:r>
              <w:rPr>
                <w:rtl/>
              </w:rPr>
              <w:t xml:space="preserve">הוכיח כי </w:t>
            </w:r>
            <w:r w:rsidRPr="00FC1E56">
              <w:rPr>
                <w:rtl/>
              </w:rPr>
              <w:t>קיים חשש ממשי</w:t>
            </w:r>
            <w:r>
              <w:rPr>
                <w:rtl/>
              </w:rPr>
              <w:t xml:space="preserve"> ש</w:t>
            </w:r>
            <w:r w:rsidRPr="00FC1E56">
              <w:rPr>
                <w:rtl/>
              </w:rPr>
              <w:t xml:space="preserve">פעולה כאמור </w:t>
            </w:r>
            <w:r>
              <w:rPr>
                <w:rtl/>
              </w:rPr>
              <w:t xml:space="preserve">לא </w:t>
            </w:r>
            <w:proofErr w:type="spellStart"/>
            <w:r>
              <w:rPr>
                <w:rtl/>
              </w:rPr>
              <w:t>היתה</w:t>
            </w:r>
            <w:proofErr w:type="spellEnd"/>
            <w:r>
              <w:rPr>
                <w:rtl/>
              </w:rPr>
              <w:t xml:space="preserve"> מביאה</w:t>
            </w:r>
            <w:r w:rsidRPr="00FC1E56">
              <w:rPr>
                <w:rtl/>
              </w:rPr>
              <w:t xml:space="preserve"> להתרת הנישואין על פי דין תורה, או שהתקיימו נסיבות מיוחדות</w:t>
            </w:r>
            <w:r>
              <w:rPr>
                <w:rtl/>
              </w:rPr>
              <w:t xml:space="preserve"> המצדיקות  את התרת הנישואין בישראל</w:t>
            </w:r>
            <w:r w:rsidRPr="005B2D6B">
              <w:rPr>
                <w:rtl/>
              </w:rPr>
              <w:t>.</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r>
              <w:rPr>
                <w:rtl/>
              </w:rPr>
              <w:t>(ג)</w:t>
            </w:r>
          </w:p>
        </w:tc>
        <w:tc>
          <w:tcPr>
            <w:tcW w:w="6522" w:type="dxa"/>
            <w:gridSpan w:val="2"/>
          </w:tcPr>
          <w:p w:rsidR="00023E3A" w:rsidRPr="005B2D6B" w:rsidRDefault="00023E3A" w:rsidP="00EB3215">
            <w:pPr>
              <w:pStyle w:val="TableBlock"/>
              <w:rPr>
                <w:rtl/>
              </w:rPr>
            </w:pPr>
            <w:r w:rsidRPr="005B2D6B">
              <w:rPr>
                <w:rtl/>
              </w:rPr>
              <w:t xml:space="preserve">הוגשה תביעה לגירושין לפי </w:t>
            </w:r>
            <w:r>
              <w:rPr>
                <w:rtl/>
              </w:rPr>
              <w:t>סעיף קטן</w:t>
            </w:r>
            <w:r w:rsidRPr="005B2D6B">
              <w:rPr>
                <w:rtl/>
              </w:rPr>
              <w:t xml:space="preserve"> (א), יקבע בית הדין מועד לדיון בתביעה בהקדם ככל הניתן ולא יאוחר משבוע ימים מיום הגשת התביעה</w:t>
            </w:r>
            <w:r>
              <w:rPr>
                <w:rtl/>
              </w:rPr>
              <w:t>.</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r>
              <w:rPr>
                <w:rtl/>
              </w:rPr>
              <w:t>(ד)</w:t>
            </w:r>
          </w:p>
        </w:tc>
        <w:tc>
          <w:tcPr>
            <w:tcW w:w="6522" w:type="dxa"/>
            <w:gridSpan w:val="2"/>
          </w:tcPr>
          <w:p w:rsidR="00023E3A" w:rsidRPr="005B2D6B" w:rsidRDefault="00023E3A" w:rsidP="00EB3215">
            <w:pPr>
              <w:pStyle w:val="TableBlock"/>
              <w:rPr>
                <w:rtl/>
              </w:rPr>
            </w:pPr>
            <w:r w:rsidRPr="005B2D6B">
              <w:rPr>
                <w:rtl/>
              </w:rPr>
              <w:t xml:space="preserve">הוזמנו הצדדים לדיון בתביעה, ונוכח בית הדין כי </w:t>
            </w:r>
            <w:r w:rsidRPr="00FC1E56">
              <w:rPr>
                <w:rtl/>
              </w:rPr>
              <w:t xml:space="preserve">לא </w:t>
            </w:r>
            <w:r>
              <w:rPr>
                <w:rtl/>
              </w:rPr>
              <w:t xml:space="preserve">התקיימו התנאים האמורים בסעיפים קטנים (א) ו (ב) -  </w:t>
            </w:r>
            <w:r w:rsidRPr="005B2D6B">
              <w:rPr>
                <w:rtl/>
              </w:rPr>
              <w:t xml:space="preserve"> ימחק את התביעה לאלתר</w:t>
            </w:r>
            <w:r>
              <w:rPr>
                <w:rtl/>
              </w:rPr>
              <w:t>.</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r>
              <w:rPr>
                <w:rtl/>
              </w:rPr>
              <w:t>(ה)</w:t>
            </w:r>
          </w:p>
        </w:tc>
        <w:tc>
          <w:tcPr>
            <w:tcW w:w="6522" w:type="dxa"/>
            <w:gridSpan w:val="2"/>
          </w:tcPr>
          <w:p w:rsidR="00023E3A" w:rsidRPr="005B2D6B" w:rsidRDefault="00023E3A" w:rsidP="00EB3215">
            <w:pPr>
              <w:pStyle w:val="TableBlock"/>
              <w:rPr>
                <w:rtl/>
              </w:rPr>
            </w:pPr>
            <w:r w:rsidRPr="00155FB5">
              <w:rPr>
                <w:rtl/>
              </w:rPr>
              <w:t>קבע בית דין רבני, בפסק דין או בהחלטה כי על הצדדים להתגרש, יזמן את הצדדים לסידור גט בהקדם</w:t>
            </w:r>
            <w:r>
              <w:rPr>
                <w:rtl/>
              </w:rPr>
              <w:t>.</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r>
              <w:rPr>
                <w:rtl/>
              </w:rPr>
              <w:t>(ו)</w:t>
            </w:r>
          </w:p>
        </w:tc>
        <w:tc>
          <w:tcPr>
            <w:tcW w:w="6522" w:type="dxa"/>
            <w:gridSpan w:val="2"/>
          </w:tcPr>
          <w:p w:rsidR="00023E3A" w:rsidRPr="00155FB5" w:rsidRDefault="00023E3A" w:rsidP="00EB3215">
            <w:pPr>
              <w:pStyle w:val="TableBlock"/>
              <w:rPr>
                <w:rtl/>
              </w:rPr>
            </w:pPr>
            <w:r w:rsidRPr="00155FB5">
              <w:rPr>
                <w:rtl/>
              </w:rPr>
              <w:t>לא ציית צד לפסק הדין או להחלטה, יחולו לגביו הוראות חוק בתי דין רבניים (קיום פסקי דין של גירושין), התשנ"ה-1995, בשינויים הבאים:</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p>
        </w:tc>
        <w:tc>
          <w:tcPr>
            <w:tcW w:w="499" w:type="dxa"/>
          </w:tcPr>
          <w:p w:rsidR="00023E3A" w:rsidRPr="00155FB5" w:rsidRDefault="00023E3A" w:rsidP="00EB3215">
            <w:pPr>
              <w:pStyle w:val="TableBlock"/>
              <w:rPr>
                <w:rtl/>
              </w:rPr>
            </w:pPr>
            <w:r>
              <w:rPr>
                <w:rtl/>
              </w:rPr>
              <w:t>(1)</w:t>
            </w:r>
          </w:p>
        </w:tc>
        <w:tc>
          <w:tcPr>
            <w:tcW w:w="6023" w:type="dxa"/>
          </w:tcPr>
          <w:p w:rsidR="00023E3A" w:rsidRPr="00155FB5" w:rsidRDefault="00023E3A" w:rsidP="00EB3215">
            <w:pPr>
              <w:pStyle w:val="TableBlock"/>
              <w:rPr>
                <w:rtl/>
              </w:rPr>
            </w:pPr>
            <w:r w:rsidRPr="00155FB5">
              <w:rPr>
                <w:rtl/>
              </w:rPr>
              <w:t>בסעיף 4(א)(1) אחר המילים "לא סודר הגט, יקיים בית הדין" במקום "בתוך 45 ימים" יבוא "בתוך 14 ימים".</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p>
        </w:tc>
        <w:tc>
          <w:tcPr>
            <w:tcW w:w="499" w:type="dxa"/>
          </w:tcPr>
          <w:p w:rsidR="00023E3A" w:rsidRDefault="00023E3A" w:rsidP="00EB3215">
            <w:pPr>
              <w:pStyle w:val="TableBlock"/>
              <w:rPr>
                <w:rtl/>
              </w:rPr>
            </w:pPr>
            <w:r>
              <w:rPr>
                <w:rtl/>
              </w:rPr>
              <w:t>(2)</w:t>
            </w:r>
          </w:p>
        </w:tc>
        <w:tc>
          <w:tcPr>
            <w:tcW w:w="6023" w:type="dxa"/>
          </w:tcPr>
          <w:p w:rsidR="00023E3A" w:rsidRPr="00155FB5" w:rsidRDefault="00023E3A" w:rsidP="00EB3215">
            <w:pPr>
              <w:pStyle w:val="TableBlock"/>
              <w:rPr>
                <w:rtl/>
              </w:rPr>
            </w:pPr>
            <w:r w:rsidRPr="00CB43E3">
              <w:rPr>
                <w:rtl/>
              </w:rPr>
              <w:t>בסעיף 4(א2) במקום המילים "לא יאוחר מ-21 ימים" יבוא "בהקדם האפשרי ולאו יאוחר משבוע ימים".</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p>
        </w:tc>
        <w:tc>
          <w:tcPr>
            <w:tcW w:w="499" w:type="dxa"/>
          </w:tcPr>
          <w:p w:rsidR="00023E3A" w:rsidRDefault="00023E3A" w:rsidP="00EB3215">
            <w:pPr>
              <w:pStyle w:val="TableBlock"/>
              <w:rPr>
                <w:rtl/>
              </w:rPr>
            </w:pPr>
            <w:r>
              <w:rPr>
                <w:rtl/>
              </w:rPr>
              <w:t>(3)</w:t>
            </w:r>
          </w:p>
        </w:tc>
        <w:tc>
          <w:tcPr>
            <w:tcW w:w="6023" w:type="dxa"/>
          </w:tcPr>
          <w:p w:rsidR="00023E3A" w:rsidRPr="00CB43E3" w:rsidRDefault="00023E3A" w:rsidP="00EB3215">
            <w:pPr>
              <w:pStyle w:val="TableBlock"/>
              <w:rPr>
                <w:rtl/>
              </w:rPr>
            </w:pPr>
            <w:r w:rsidRPr="00CB43E3">
              <w:rPr>
                <w:rtl/>
              </w:rPr>
              <w:t>בסעיף 4(ג1) במקום המילים "בתוך 90 ימים" יבוא "בתוך 30 ימים", במקום "בתוך 45 ימים" יבוא "בתוך 14 ימים", ובמקום "בתוך 15 ימים" יבוא "בהקדם האפשרי ולא יאוחר משבוע ימים".</w:t>
            </w:r>
          </w:p>
        </w:tc>
      </w:tr>
      <w:tr w:rsidR="00023E3A" w:rsidTr="00023E3A">
        <w:trPr>
          <w:cantSplit/>
        </w:trPr>
        <w:tc>
          <w:tcPr>
            <w:tcW w:w="2084" w:type="dxa"/>
          </w:tcPr>
          <w:p w:rsidR="00023E3A" w:rsidRDefault="00023E3A" w:rsidP="00EB3215">
            <w:pPr>
              <w:pStyle w:val="TableSideHeading"/>
              <w:keepLines w:val="0"/>
              <w:rPr>
                <w:rtl/>
              </w:rPr>
            </w:pPr>
          </w:p>
        </w:tc>
        <w:tc>
          <w:tcPr>
            <w:tcW w:w="624" w:type="dxa"/>
          </w:tcPr>
          <w:p w:rsidR="00023E3A" w:rsidRDefault="00023E3A" w:rsidP="00EB3215">
            <w:pPr>
              <w:pStyle w:val="TableText"/>
              <w:keepLines w:val="0"/>
              <w:rPr>
                <w:rtl/>
              </w:rPr>
            </w:pPr>
          </w:p>
        </w:tc>
        <w:tc>
          <w:tcPr>
            <w:tcW w:w="628" w:type="dxa"/>
          </w:tcPr>
          <w:p w:rsidR="00023E3A" w:rsidRDefault="00023E3A" w:rsidP="00EB3215">
            <w:pPr>
              <w:pStyle w:val="TableBlock"/>
              <w:rPr>
                <w:rtl/>
              </w:rPr>
            </w:pPr>
          </w:p>
        </w:tc>
        <w:tc>
          <w:tcPr>
            <w:tcW w:w="628" w:type="dxa"/>
          </w:tcPr>
          <w:p w:rsidR="00023E3A" w:rsidRDefault="00023E3A" w:rsidP="00EB3215">
            <w:pPr>
              <w:pStyle w:val="TableBlock"/>
              <w:rPr>
                <w:rtl/>
              </w:rPr>
            </w:pPr>
          </w:p>
        </w:tc>
        <w:tc>
          <w:tcPr>
            <w:tcW w:w="499" w:type="dxa"/>
          </w:tcPr>
          <w:p w:rsidR="00023E3A" w:rsidRDefault="00023E3A" w:rsidP="00EB3215">
            <w:pPr>
              <w:pStyle w:val="TableBlock"/>
              <w:rPr>
                <w:rtl/>
              </w:rPr>
            </w:pPr>
            <w:r>
              <w:rPr>
                <w:rtl/>
              </w:rPr>
              <w:t>(4)</w:t>
            </w:r>
          </w:p>
        </w:tc>
        <w:tc>
          <w:tcPr>
            <w:tcW w:w="6023" w:type="dxa"/>
          </w:tcPr>
          <w:p w:rsidR="00023E3A" w:rsidRPr="00CB43E3" w:rsidRDefault="00023E3A" w:rsidP="00EB3215">
            <w:pPr>
              <w:pStyle w:val="TableBlock"/>
              <w:rPr>
                <w:rtl/>
              </w:rPr>
            </w:pPr>
            <w:r w:rsidRPr="00CB43E3">
              <w:rPr>
                <w:rtl/>
              </w:rPr>
              <w:t>בסעיף 4א(ג)(1) במקום המילים "בתוך 60 ימים" יבוא "בתוך 30 ימים</w:t>
            </w:r>
            <w:r>
              <w:rPr>
                <w:rtl/>
              </w:rPr>
              <w:t>"."</w:t>
            </w:r>
          </w:p>
        </w:tc>
      </w:tr>
    </w:tbl>
    <w:p w:rsidR="00023E3A" w:rsidRDefault="00023E3A" w:rsidP="00023E3A">
      <w:pPr>
        <w:pStyle w:val="HeadDivreiHesber"/>
        <w:ind w:left="-454" w:right="284"/>
        <w:rPr>
          <w:rtl/>
        </w:rPr>
      </w:pPr>
      <w:r w:rsidRPr="0027450A">
        <w:rPr>
          <w:rtl/>
        </w:rPr>
        <w:t>דברי הסבר</w:t>
      </w:r>
    </w:p>
    <w:p w:rsidR="00023E3A" w:rsidRPr="00474F65" w:rsidRDefault="00023E3A" w:rsidP="00023E3A">
      <w:pPr>
        <w:pStyle w:val="Hesber"/>
        <w:ind w:left="-455" w:right="284" w:firstLine="0"/>
        <w:rPr>
          <w:rtl/>
        </w:rPr>
      </w:pPr>
      <w:r w:rsidRPr="00474F65">
        <w:rPr>
          <w:rtl/>
        </w:rPr>
        <w:t xml:space="preserve">לפני </w:t>
      </w:r>
      <w:r>
        <w:rPr>
          <w:rtl/>
        </w:rPr>
        <w:t>למעלה מעשור</w:t>
      </w:r>
      <w:r w:rsidRPr="00474F65">
        <w:rPr>
          <w:rtl/>
        </w:rPr>
        <w:t xml:space="preserve"> שנים תוקן חוק שיפוט בתי דין רבניים (נישואין וגירושין), </w:t>
      </w:r>
      <w:proofErr w:type="spellStart"/>
      <w:r w:rsidRPr="00474F65">
        <w:rPr>
          <w:rtl/>
        </w:rPr>
        <w:t>התשי"ג</w:t>
      </w:r>
      <w:proofErr w:type="spellEnd"/>
      <w:r w:rsidRPr="00474F65">
        <w:rPr>
          <w:rtl/>
        </w:rPr>
        <w:t>–1953 (להלן – החוק), ונוסף בו סעיף 4א אשר הרחיב את סמכות בית הדין הרבני בישראל לדון בתביעות גירושין של בני זוג י</w:t>
      </w:r>
      <w:r>
        <w:rPr>
          <w:rtl/>
        </w:rPr>
        <w:t xml:space="preserve">הודים שזיקתם לישראל אינה מגיעה </w:t>
      </w:r>
      <w:r w:rsidRPr="00474F65">
        <w:rPr>
          <w:rtl/>
        </w:rPr>
        <w:t xml:space="preserve">כדי זיקת אזרחות או תושבות לשני בני הזוג יחדיו. בכך נעתרה הכנסת לפנייתו של בית הדין הרבני הגדול אשר הצביע על מצוקה קשה של עגינות וסרבנות גט הקיימת לבני זוג יהודים, ובמיוחד לנשים יהודיות, </w:t>
      </w:r>
      <w:bookmarkStart w:id="1" w:name="_GoBack"/>
      <w:bookmarkEnd w:id="1"/>
      <w:r w:rsidRPr="00474F65">
        <w:rPr>
          <w:rtl/>
        </w:rPr>
        <w:t xml:space="preserve">ברחבי העולם. </w:t>
      </w:r>
      <w:bookmarkStart w:id="2" w:name="_Hlk496168512"/>
      <w:r>
        <w:rPr>
          <w:rtl/>
        </w:rPr>
        <w:t xml:space="preserve">במקביל תוקן גם חוק שיפוט </w:t>
      </w:r>
      <w:proofErr w:type="spellStart"/>
      <w:r>
        <w:rPr>
          <w:rtl/>
        </w:rPr>
        <w:t>בעניני</w:t>
      </w:r>
      <w:proofErr w:type="spellEnd"/>
      <w:r>
        <w:rPr>
          <w:rtl/>
        </w:rPr>
        <w:t xml:space="preserve"> התרת נישואין (מקרים מיוחדים) ואותם כללי סמכות מרחיבים הקובעים באמנה הוחלו גם עליו.</w:t>
      </w:r>
      <w:r w:rsidRPr="0014312D">
        <w:rPr>
          <w:rtl/>
        </w:rPr>
        <w:t xml:space="preserve"> </w:t>
      </w:r>
      <w:r>
        <w:rPr>
          <w:rtl/>
        </w:rPr>
        <w:t>הרחבת סמכות זו נעשתה על פי הכללים הקובעים באמנת האג בדבר הכרה בגירושין והתרת נישואין משנת 1970.</w:t>
      </w:r>
    </w:p>
    <w:bookmarkEnd w:id="2"/>
    <w:p w:rsidR="00023E3A" w:rsidRDefault="00023E3A" w:rsidP="00023E3A">
      <w:pPr>
        <w:pStyle w:val="Hesber"/>
        <w:ind w:left="-455" w:right="284"/>
        <w:rPr>
          <w:rtl/>
        </w:rPr>
      </w:pPr>
      <w:r w:rsidRPr="00474F65">
        <w:rPr>
          <w:rtl/>
        </w:rPr>
        <w:t>עם זאת, סמכות בית הדין הוגבלה בעיקר למקרים שיש בהם זיקת אזרחות או תושבות לפחות לאחד מבני הזוג.</w:t>
      </w:r>
    </w:p>
    <w:p w:rsidR="00023E3A" w:rsidRPr="00474F65" w:rsidRDefault="00023E3A" w:rsidP="00023E3A">
      <w:pPr>
        <w:pStyle w:val="Hesber"/>
        <w:ind w:left="-455" w:right="284"/>
        <w:rPr>
          <w:rtl/>
        </w:rPr>
      </w:pPr>
      <w:r w:rsidRPr="00474F65">
        <w:rPr>
          <w:rtl/>
        </w:rPr>
        <w:t xml:space="preserve">ועידת רבני אירופה </w:t>
      </w:r>
      <w:r>
        <w:rPr>
          <w:rtl/>
        </w:rPr>
        <w:t>וגורמים נוספים העלו את הקושי הקיים במצבים בהם בני זוג שנישאו לפי דין תורה ברחבי העולם, נמנעים מלהתיר את נשותיהן ומשאירים אותן עגונות ללא אפשרות להינשא מחדש, תוך שבחלק מהמקרים הם אף מתעלמים</w:t>
      </w:r>
      <w:r w:rsidRPr="00474F65">
        <w:rPr>
          <w:rtl/>
        </w:rPr>
        <w:t xml:space="preserve"> מפסיקתו של בית הדין המקומי, </w:t>
      </w:r>
      <w:r>
        <w:rPr>
          <w:rtl/>
        </w:rPr>
        <w:t xml:space="preserve">בהעדר סמכות שיפוט </w:t>
      </w:r>
      <w:r w:rsidRPr="00474F65">
        <w:rPr>
          <w:rtl/>
        </w:rPr>
        <w:t xml:space="preserve">לבית הדין </w:t>
      </w:r>
      <w:r>
        <w:rPr>
          <w:rtl/>
        </w:rPr>
        <w:t>המקומי לחייב את הבעל בגט ו</w:t>
      </w:r>
      <w:r w:rsidRPr="00474F65">
        <w:rPr>
          <w:rtl/>
        </w:rPr>
        <w:t xml:space="preserve">להטיל </w:t>
      </w:r>
      <w:r>
        <w:rPr>
          <w:rtl/>
        </w:rPr>
        <w:t xml:space="preserve">עליו </w:t>
      </w:r>
      <w:r w:rsidRPr="00474F65">
        <w:rPr>
          <w:rtl/>
        </w:rPr>
        <w:t xml:space="preserve">סנקציות </w:t>
      </w:r>
      <w:r>
        <w:rPr>
          <w:rtl/>
        </w:rPr>
        <w:t>על מנת שייתן גט לאשתו.</w:t>
      </w:r>
    </w:p>
    <w:p w:rsidR="00023E3A" w:rsidRDefault="00023E3A" w:rsidP="00023E3A">
      <w:pPr>
        <w:pStyle w:val="Hesber"/>
        <w:ind w:left="-455" w:right="284"/>
        <w:rPr>
          <w:rtl/>
        </w:rPr>
      </w:pPr>
      <w:r>
        <w:rPr>
          <w:rtl/>
        </w:rPr>
        <w:t xml:space="preserve">יצוין כי </w:t>
      </w:r>
      <w:r w:rsidRPr="00474F65">
        <w:rPr>
          <w:rtl/>
        </w:rPr>
        <w:t xml:space="preserve">כאשר מדובר באישה סרבנית גט, עשוי בית משפט אזרחי מחוץ לישראל להתיר את הנישואין האזרחיים ובד בבד עשוי בית דין רבני בגולה </w:t>
      </w:r>
      <w:r>
        <w:rPr>
          <w:rtl/>
        </w:rPr>
        <w:t xml:space="preserve">במקרים חריגים של עיגון, </w:t>
      </w:r>
      <w:r w:rsidRPr="00474F65">
        <w:rPr>
          <w:rtl/>
        </w:rPr>
        <w:t>לתת לבעל היתר נישואין הלכתי. אך על פי דין תורה אין עומדת אפשרות דומה לזכותה של אישה כאשר הבעל סרבן הגט.</w:t>
      </w:r>
      <w:r>
        <w:rPr>
          <w:rtl/>
        </w:rPr>
        <w:t xml:space="preserve"> </w:t>
      </w:r>
    </w:p>
    <w:p w:rsidR="00023E3A" w:rsidRDefault="00023E3A" w:rsidP="00023E3A">
      <w:pPr>
        <w:pStyle w:val="Hesber"/>
        <w:ind w:left="-455" w:right="284"/>
        <w:rPr>
          <w:rtl/>
        </w:rPr>
      </w:pPr>
      <w:r w:rsidRPr="00074812">
        <w:rPr>
          <w:rtl/>
        </w:rPr>
        <w:t>אם שני בני הזוג הם אזרחי המדינה או תושביה או שיש להם זיקות לישראל המנויות בסעיף 4א לחוק בנוסחו כיום, הרי שבן הזוג</w:t>
      </w:r>
      <w:r>
        <w:rPr>
          <w:rtl/>
        </w:rPr>
        <w:t xml:space="preserve"> </w:t>
      </w:r>
      <w:r w:rsidRPr="00074812">
        <w:rPr>
          <w:rtl/>
        </w:rPr>
        <w:t xml:space="preserve">יוכל להגיש תביעת גירושין אל בית הדין </w:t>
      </w:r>
      <w:r>
        <w:rPr>
          <w:rtl/>
        </w:rPr>
        <w:t xml:space="preserve">הרבני בישראל </w:t>
      </w:r>
      <w:r w:rsidRPr="00074812">
        <w:rPr>
          <w:rtl/>
        </w:rPr>
        <w:t xml:space="preserve">וזה יהיה מוסמך לדון בה, לחייבם בגירושין ואף </w:t>
      </w:r>
      <w:proofErr w:type="spellStart"/>
      <w:r w:rsidRPr="00074812">
        <w:rPr>
          <w:rtl/>
        </w:rPr>
        <w:t>לכוף</w:t>
      </w:r>
      <w:proofErr w:type="spellEnd"/>
      <w:r w:rsidRPr="00074812">
        <w:rPr>
          <w:rtl/>
        </w:rPr>
        <w:t xml:space="preserve"> את בן הזוג הסרבן לכך. אולם זוגות שאינם</w:t>
      </w:r>
      <w:r>
        <w:rPr>
          <w:rtl/>
        </w:rPr>
        <w:t xml:space="preserve"> </w:t>
      </w:r>
      <w:r w:rsidRPr="00074812">
        <w:rPr>
          <w:rtl/>
        </w:rPr>
        <w:t>תושבי המדינה ואזרחיה ואין להם אחת מהזיקות שבסעיף 4א לחוק</w:t>
      </w:r>
      <w:r>
        <w:rPr>
          <w:rtl/>
        </w:rPr>
        <w:t>,</w:t>
      </w:r>
      <w:r w:rsidRPr="00074812">
        <w:rPr>
          <w:rtl/>
        </w:rPr>
        <w:t xml:space="preserve"> </w:t>
      </w:r>
      <w:r>
        <w:rPr>
          <w:rtl/>
        </w:rPr>
        <w:t>אם מי מבני הזוג רוצה להתגרש הוא אינו</w:t>
      </w:r>
      <w:r w:rsidRPr="00074812">
        <w:rPr>
          <w:rtl/>
        </w:rPr>
        <w:t xml:space="preserve"> יכול כיום להגיש </w:t>
      </w:r>
      <w:r>
        <w:rPr>
          <w:rtl/>
        </w:rPr>
        <w:t>תביעת גירושין</w:t>
      </w:r>
      <w:r w:rsidRPr="00074812">
        <w:rPr>
          <w:rtl/>
        </w:rPr>
        <w:t xml:space="preserve"> </w:t>
      </w:r>
      <w:r>
        <w:rPr>
          <w:rtl/>
        </w:rPr>
        <w:t>א</w:t>
      </w:r>
      <w:r w:rsidRPr="00074812">
        <w:rPr>
          <w:rtl/>
        </w:rPr>
        <w:t>ל</w:t>
      </w:r>
      <w:r>
        <w:rPr>
          <w:rtl/>
        </w:rPr>
        <w:t xml:space="preserve"> </w:t>
      </w:r>
      <w:r w:rsidRPr="00074812">
        <w:rPr>
          <w:rtl/>
        </w:rPr>
        <w:t xml:space="preserve">בית הדין </w:t>
      </w:r>
      <w:r>
        <w:rPr>
          <w:rtl/>
        </w:rPr>
        <w:t xml:space="preserve">הרבני </w:t>
      </w:r>
      <w:r w:rsidRPr="00074812">
        <w:rPr>
          <w:rtl/>
        </w:rPr>
        <w:t>בישראל</w:t>
      </w:r>
      <w:r>
        <w:rPr>
          <w:rtl/>
        </w:rPr>
        <w:t>.</w:t>
      </w:r>
      <w:r w:rsidRPr="00074812">
        <w:rPr>
          <w:rtl/>
        </w:rPr>
        <w:t xml:space="preserve"> </w:t>
      </w:r>
      <w:r>
        <w:rPr>
          <w:rtl/>
        </w:rPr>
        <w:t>במקרים אלה</w:t>
      </w:r>
      <w:r w:rsidRPr="00074812">
        <w:rPr>
          <w:rtl/>
        </w:rPr>
        <w:t xml:space="preserve"> </w:t>
      </w:r>
      <w:r>
        <w:rPr>
          <w:rtl/>
        </w:rPr>
        <w:t>ה</w:t>
      </w:r>
      <w:r w:rsidRPr="00074812">
        <w:rPr>
          <w:rtl/>
        </w:rPr>
        <w:t>נשים</w:t>
      </w:r>
      <w:r>
        <w:rPr>
          <w:rtl/>
        </w:rPr>
        <w:t xml:space="preserve"> </w:t>
      </w:r>
      <w:r w:rsidRPr="00074812">
        <w:rPr>
          <w:rtl/>
        </w:rPr>
        <w:t xml:space="preserve">המבקשות להתגרש ובעליהם מסרבים </w:t>
      </w:r>
      <w:r>
        <w:rPr>
          <w:rtl/>
        </w:rPr>
        <w:t xml:space="preserve">להישמע </w:t>
      </w:r>
      <w:r>
        <w:rPr>
          <w:rtl/>
        </w:rPr>
        <w:lastRenderedPageBreak/>
        <w:t>להוראת בית</w:t>
      </w:r>
      <w:r w:rsidRPr="00074812">
        <w:rPr>
          <w:rtl/>
        </w:rPr>
        <w:t xml:space="preserve"> הדין </w:t>
      </w:r>
      <w:r>
        <w:rPr>
          <w:rtl/>
        </w:rPr>
        <w:t xml:space="preserve">הרבני </w:t>
      </w:r>
      <w:r w:rsidRPr="00074812">
        <w:rPr>
          <w:rtl/>
        </w:rPr>
        <w:t>במקום מגוריהם בגולה, אין כיום מי שיסייע לה</w:t>
      </w:r>
      <w:r>
        <w:rPr>
          <w:rtl/>
        </w:rPr>
        <w:t>ן לכפיית הגט</w:t>
      </w:r>
      <w:r w:rsidRPr="00074812">
        <w:rPr>
          <w:rtl/>
        </w:rPr>
        <w:t xml:space="preserve"> ויושיעם</w:t>
      </w:r>
      <w:r>
        <w:rPr>
          <w:rtl/>
        </w:rPr>
        <w:t xml:space="preserve"> </w:t>
      </w:r>
      <w:r w:rsidRPr="00074812">
        <w:rPr>
          <w:rtl/>
        </w:rPr>
        <w:t>מעגינותן.</w:t>
      </w:r>
    </w:p>
    <w:p w:rsidR="00023E3A" w:rsidRDefault="00023E3A" w:rsidP="00023E3A">
      <w:pPr>
        <w:pStyle w:val="Hesber"/>
        <w:ind w:left="-455" w:right="284"/>
        <w:rPr>
          <w:rtl/>
        </w:rPr>
      </w:pPr>
      <w:r w:rsidRPr="00474F65">
        <w:rPr>
          <w:rtl/>
        </w:rPr>
        <w:t xml:space="preserve">מרכזיותה של מדינת ישראל </w:t>
      </w:r>
      <w:r>
        <w:rPr>
          <w:rtl/>
        </w:rPr>
        <w:t xml:space="preserve">כמדינת הלאום היהודי וחשיבותה </w:t>
      </w:r>
      <w:r w:rsidRPr="00474F65">
        <w:rPr>
          <w:rtl/>
        </w:rPr>
        <w:t xml:space="preserve">בחיי היהודים בעולם </w:t>
      </w:r>
      <w:r>
        <w:rPr>
          <w:rtl/>
        </w:rPr>
        <w:t xml:space="preserve">אל מול </w:t>
      </w:r>
      <w:r w:rsidRPr="00474F65">
        <w:rPr>
          <w:rtl/>
        </w:rPr>
        <w:t xml:space="preserve">חוסר היכולת של נשים יהודיות ברחבי העולם למצוא פתרון לבעיות של סרבנות גט ועגינות מצדיקים </w:t>
      </w:r>
      <w:r>
        <w:rPr>
          <w:rtl/>
        </w:rPr>
        <w:t>מתן</w:t>
      </w:r>
      <w:r w:rsidRPr="00474F65">
        <w:rPr>
          <w:rtl/>
        </w:rPr>
        <w:t xml:space="preserve"> </w:t>
      </w:r>
      <w:r>
        <w:rPr>
          <w:rtl/>
        </w:rPr>
        <w:t>סמכות זו</w:t>
      </w:r>
      <w:r w:rsidRPr="00474F65">
        <w:rPr>
          <w:rtl/>
        </w:rPr>
        <w:t xml:space="preserve"> </w:t>
      </w:r>
      <w:r>
        <w:rPr>
          <w:rtl/>
        </w:rPr>
        <w:t>ל</w:t>
      </w:r>
      <w:r w:rsidRPr="00474F65">
        <w:rPr>
          <w:rtl/>
        </w:rPr>
        <w:t>בית הדין הרבני בישראל.</w:t>
      </w:r>
    </w:p>
    <w:p w:rsidR="00023E3A" w:rsidRPr="00474F65" w:rsidRDefault="00023E3A" w:rsidP="00023E3A">
      <w:pPr>
        <w:pStyle w:val="Hesber"/>
        <w:ind w:left="-455" w:right="284" w:firstLine="0"/>
        <w:rPr>
          <w:rtl/>
        </w:rPr>
      </w:pPr>
    </w:p>
    <w:p w:rsidR="00023E3A" w:rsidRDefault="00023E3A" w:rsidP="00023E3A">
      <w:pPr>
        <w:pStyle w:val="Hesber"/>
        <w:ind w:left="-455" w:right="284"/>
        <w:rPr>
          <w:rtl/>
        </w:rPr>
      </w:pPr>
      <w:r w:rsidRPr="001472E4">
        <w:rPr>
          <w:rtl/>
        </w:rPr>
        <w:t>לשם כך מוצע סעיף 4א1, אשר לפיו יהיה בית הדין הרבני בישראל מוסמך לדון בתביעת הגירושין של מי שאינם אזרחי המדינה</w:t>
      </w:r>
      <w:r>
        <w:rPr>
          <w:rtl/>
        </w:rPr>
        <w:t xml:space="preserve"> </w:t>
      </w:r>
      <w:r w:rsidRPr="001472E4">
        <w:rPr>
          <w:rtl/>
        </w:rPr>
        <w:t>ותושביה ואף אינם עונים לתנאי הזיקה הקבועים בסעיף 4א לחוק, וזאת רק אם בית הדין "נוכח כי קיים חשש ממשי שלא ניתן יהיה</w:t>
      </w:r>
      <w:r>
        <w:rPr>
          <w:rtl/>
        </w:rPr>
        <w:t xml:space="preserve"> </w:t>
      </w:r>
      <w:r w:rsidRPr="001472E4">
        <w:rPr>
          <w:rtl/>
        </w:rPr>
        <w:t>להתיר את הנישואין לפי דין תורה", וכן רק כאשר "הנתבע יהיה נוכח בישראל בעת הגשת התביעה, או בהתקיים נסיבות מיוחדות</w:t>
      </w:r>
      <w:r>
        <w:rPr>
          <w:rtl/>
        </w:rPr>
        <w:t>".</w:t>
      </w:r>
    </w:p>
    <w:p w:rsidR="00023E3A" w:rsidRDefault="00023E3A" w:rsidP="00023E3A">
      <w:pPr>
        <w:pStyle w:val="Hesber"/>
        <w:ind w:left="-455" w:right="284"/>
        <w:rPr>
          <w:rtl/>
        </w:rPr>
      </w:pPr>
      <w:r w:rsidRPr="00B04BCE">
        <w:rPr>
          <w:rtl/>
        </w:rPr>
        <w:t>כמו כן, כדי להימנע ככל האפשר מהפעלת סמכויות השיפוט בישראל כנגד אזרחי מדינות זרות שאינם אזרחי המדינה בתביעת</w:t>
      </w:r>
      <w:r>
        <w:rPr>
          <w:rtl/>
        </w:rPr>
        <w:t xml:space="preserve"> </w:t>
      </w:r>
      <w:r w:rsidRPr="00B04BCE">
        <w:rPr>
          <w:rtl/>
        </w:rPr>
        <w:t xml:space="preserve">גירושין אשר ניתן היה </w:t>
      </w:r>
      <w:r>
        <w:rPr>
          <w:rtl/>
        </w:rPr>
        <w:t>לבצעה</w:t>
      </w:r>
      <w:r w:rsidRPr="00B04BCE">
        <w:rPr>
          <w:rtl/>
        </w:rPr>
        <w:t xml:space="preserve"> במדינת אזרחותם, הוצע להוסיף ולסייג כי הסמכות לפי סעיף זה תהיה רק "אם הוגשה קודם לכן תביעה</w:t>
      </w:r>
      <w:r>
        <w:rPr>
          <w:rtl/>
        </w:rPr>
        <w:t xml:space="preserve"> </w:t>
      </w:r>
      <w:r w:rsidRPr="00B04BCE">
        <w:rPr>
          <w:rtl/>
        </w:rPr>
        <w:t>לגירושין מחוץ לישראל והתובע פעל להתרת הנישואין על פי דין תורה במדינת החוץ", או "אם קיים חשש ממשי כי פעולה כאמור אינה</w:t>
      </w:r>
      <w:r>
        <w:rPr>
          <w:rtl/>
        </w:rPr>
        <w:t xml:space="preserve"> </w:t>
      </w:r>
      <w:r w:rsidRPr="00B04BCE">
        <w:rPr>
          <w:rtl/>
        </w:rPr>
        <w:t>יכלה להביא להתרת הנישואין על פי דין תורה, או שהתקיימו נסיבות מיוחדות"</w:t>
      </w:r>
      <w:r>
        <w:rPr>
          <w:rtl/>
        </w:rPr>
        <w:t>.</w:t>
      </w:r>
    </w:p>
    <w:p w:rsidR="00023E3A" w:rsidRDefault="00023E3A" w:rsidP="00023E3A">
      <w:pPr>
        <w:pStyle w:val="Hesber"/>
        <w:ind w:left="-455" w:right="284"/>
        <w:rPr>
          <w:rtl/>
        </w:rPr>
      </w:pPr>
    </w:p>
    <w:p w:rsidR="00023E3A" w:rsidRPr="00474F65" w:rsidRDefault="00023E3A" w:rsidP="00023E3A">
      <w:pPr>
        <w:pStyle w:val="Hesber"/>
        <w:ind w:left="-455" w:right="284"/>
        <w:rPr>
          <w:rtl/>
        </w:rPr>
      </w:pPr>
      <w:r w:rsidRPr="00B04BCE">
        <w:rPr>
          <w:rtl/>
        </w:rPr>
        <w:t xml:space="preserve">בכדי לוודא </w:t>
      </w:r>
      <w:r>
        <w:rPr>
          <w:rtl/>
        </w:rPr>
        <w:t>שהטיפול בהליכי</w:t>
      </w:r>
      <w:r w:rsidRPr="00B04BCE">
        <w:rPr>
          <w:rtl/>
        </w:rPr>
        <w:t xml:space="preserve"> בגירושין אלה ייעשה </w:t>
      </w:r>
      <w:r>
        <w:rPr>
          <w:rtl/>
        </w:rPr>
        <w:t>באופן</w:t>
      </w:r>
      <w:r w:rsidRPr="00B04BCE">
        <w:rPr>
          <w:rtl/>
        </w:rPr>
        <w:t xml:space="preserve"> מזורז ככל </w:t>
      </w:r>
      <w:r>
        <w:rPr>
          <w:rtl/>
        </w:rPr>
        <w:t>האפשר</w:t>
      </w:r>
      <w:r w:rsidRPr="00B04BCE">
        <w:rPr>
          <w:rtl/>
        </w:rPr>
        <w:t>, נוכח הפגיעה באזרחי מדינות חוץ שאינם אזרחי</w:t>
      </w:r>
      <w:r>
        <w:rPr>
          <w:rtl/>
        </w:rPr>
        <w:t xml:space="preserve"> </w:t>
      </w:r>
      <w:r w:rsidRPr="00B04BCE">
        <w:rPr>
          <w:rtl/>
        </w:rPr>
        <w:t>המדינה, הוצע להוסיף את סעיפים קטנים (ג) עד (ו) הקובעים מועדי דיון וסידור גט מוקדמים, וכן מקצרים את המועדים הרלוונטיים הקבועים בחוק בתי דין רבניים (קיום פסקי דין של גירושין</w:t>
      </w:r>
      <w:r w:rsidRPr="00A77C60">
        <w:rPr>
          <w:rtl/>
        </w:rPr>
        <w:t>), התשנ"ה-1995</w:t>
      </w:r>
      <w:r>
        <w:rPr>
          <w:rtl/>
        </w:rPr>
        <w:t>.</w:t>
      </w:r>
    </w:p>
    <w:p w:rsidR="00023E3A" w:rsidRPr="00474F65" w:rsidRDefault="00023E3A" w:rsidP="00023E3A">
      <w:pPr>
        <w:pStyle w:val="Hesber"/>
        <w:ind w:left="-455" w:right="284"/>
        <w:rPr>
          <w:rtl/>
        </w:rPr>
      </w:pPr>
      <w:r w:rsidRPr="00B04BCE">
        <w:rPr>
          <w:rtl/>
        </w:rPr>
        <w:t>מאחר שהתיקון הנ"ל המוצע נועד לפתור בעיה ייחודית וכדי להביא לקונצנזוס סביב הצעת חוק זו, מוצע לייחס את ההוראה שבסעיף</w:t>
      </w:r>
      <w:r>
        <w:rPr>
          <w:rtl/>
        </w:rPr>
        <w:t xml:space="preserve"> </w:t>
      </w:r>
      <w:r w:rsidRPr="00B04BCE">
        <w:rPr>
          <w:rtl/>
        </w:rPr>
        <w:t>4א(ה) גם אל סעיף זה, כך במסגרתו יקבע כי "אין בהוראות סעיף זה ובסעיף 4א1 כדי להקנות לבית הדין הרבני סמכות שיפוט בעניינים</w:t>
      </w:r>
      <w:r>
        <w:rPr>
          <w:rtl/>
        </w:rPr>
        <w:t xml:space="preserve"> </w:t>
      </w:r>
      <w:r w:rsidRPr="00B04BCE">
        <w:rPr>
          <w:rtl/>
        </w:rPr>
        <w:t>הכרוכים בגירושין"</w:t>
      </w:r>
      <w:r w:rsidRPr="00474F65">
        <w:rPr>
          <w:rtl/>
        </w:rPr>
        <w:t>.</w:t>
      </w:r>
    </w:p>
    <w:p w:rsidR="00023E3A" w:rsidRDefault="00023E3A" w:rsidP="00023E3A">
      <w:pPr>
        <w:pStyle w:val="Hesber"/>
        <w:ind w:left="-455" w:right="284"/>
        <w:rPr>
          <w:rtl/>
        </w:rPr>
      </w:pPr>
    </w:p>
    <w:p w:rsidR="00023E3A" w:rsidRDefault="00023E3A" w:rsidP="00023E3A">
      <w:pPr>
        <w:pStyle w:val="Hesber"/>
        <w:ind w:left="-455" w:right="284"/>
        <w:rPr>
          <w:rtl/>
        </w:rPr>
      </w:pPr>
      <w:r w:rsidRPr="00474F65">
        <w:rPr>
          <w:rtl/>
        </w:rPr>
        <w:t xml:space="preserve">תיקון </w:t>
      </w:r>
      <w:r>
        <w:rPr>
          <w:rtl/>
        </w:rPr>
        <w:t xml:space="preserve">זה </w:t>
      </w:r>
      <w:r w:rsidRPr="00474F65">
        <w:rPr>
          <w:rtl/>
        </w:rPr>
        <w:t xml:space="preserve">לחוק </w:t>
      </w:r>
      <w:r>
        <w:rPr>
          <w:rtl/>
        </w:rPr>
        <w:t xml:space="preserve">בא </w:t>
      </w:r>
      <w:r w:rsidRPr="00474F65">
        <w:rPr>
          <w:rtl/>
        </w:rPr>
        <w:t xml:space="preserve">לפתור </w:t>
      </w:r>
      <w:r>
        <w:rPr>
          <w:rtl/>
        </w:rPr>
        <w:t xml:space="preserve">גם </w:t>
      </w:r>
      <w:r w:rsidRPr="00474F65">
        <w:rPr>
          <w:rtl/>
        </w:rPr>
        <w:t>בעיה ייחודית נוספת. בישראל ח</w:t>
      </w:r>
      <w:r>
        <w:rPr>
          <w:rtl/>
        </w:rPr>
        <w:t>יים</w:t>
      </w:r>
      <w:r w:rsidRPr="00474F65">
        <w:rPr>
          <w:rtl/>
        </w:rPr>
        <w:t xml:space="preserve"> כיום נשים</w:t>
      </w:r>
      <w:r>
        <w:rPr>
          <w:rtl/>
        </w:rPr>
        <w:t xml:space="preserve"> וגברים</w:t>
      </w:r>
      <w:r w:rsidRPr="00474F65">
        <w:rPr>
          <w:rtl/>
        </w:rPr>
        <w:t xml:space="preserve">, בעיקר </w:t>
      </w:r>
      <w:r>
        <w:rPr>
          <w:rtl/>
        </w:rPr>
        <w:t>כאלה שעלו</w:t>
      </w:r>
      <w:r w:rsidRPr="00474F65">
        <w:rPr>
          <w:rtl/>
        </w:rPr>
        <w:t xml:space="preserve"> מארצות חבר העמים, </w:t>
      </w:r>
      <w:r>
        <w:rPr>
          <w:rtl/>
        </w:rPr>
        <w:t xml:space="preserve">אשר </w:t>
      </w:r>
      <w:r w:rsidRPr="00474F65">
        <w:rPr>
          <w:rtl/>
        </w:rPr>
        <w:t xml:space="preserve">החוק </w:t>
      </w:r>
      <w:r>
        <w:rPr>
          <w:rtl/>
        </w:rPr>
        <w:t xml:space="preserve">נכון להיום </w:t>
      </w:r>
      <w:r w:rsidRPr="00474F65">
        <w:rPr>
          <w:rtl/>
        </w:rPr>
        <w:t>אינו נותן פתרון לעגינות</w:t>
      </w:r>
      <w:r>
        <w:rPr>
          <w:rtl/>
        </w:rPr>
        <w:t>ם</w:t>
      </w:r>
      <w:r>
        <w:rPr>
          <w:rFonts w:hint="cs"/>
          <w:rtl/>
        </w:rPr>
        <w:t xml:space="preserve"> מבחינה אזרחית,</w:t>
      </w:r>
      <w:r w:rsidRPr="00474F65">
        <w:rPr>
          <w:rtl/>
        </w:rPr>
        <w:t xml:space="preserve"> במצבים </w:t>
      </w:r>
      <w:r>
        <w:rPr>
          <w:rtl/>
        </w:rPr>
        <w:t>ש</w:t>
      </w:r>
      <w:r w:rsidRPr="00474F65">
        <w:rPr>
          <w:rtl/>
        </w:rPr>
        <w:t>בהם לא ניתן לאתר את ב</w:t>
      </w:r>
      <w:r>
        <w:rPr>
          <w:rtl/>
        </w:rPr>
        <w:t>ן</w:t>
      </w:r>
      <w:r w:rsidRPr="00474F65">
        <w:rPr>
          <w:rtl/>
        </w:rPr>
        <w:t xml:space="preserve"> </w:t>
      </w:r>
      <w:r>
        <w:rPr>
          <w:rtl/>
        </w:rPr>
        <w:t>או בת הזוג</w:t>
      </w:r>
      <w:r w:rsidRPr="00474F65">
        <w:rPr>
          <w:rtl/>
        </w:rPr>
        <w:t xml:space="preserve"> </w:t>
      </w:r>
      <w:r>
        <w:rPr>
          <w:rtl/>
        </w:rPr>
        <w:t xml:space="preserve">החי במדינת חוץ </w:t>
      </w:r>
      <w:r w:rsidRPr="00474F65">
        <w:rPr>
          <w:rtl/>
        </w:rPr>
        <w:t xml:space="preserve">במשך זמן רב. הבעיה מתייחסת </w:t>
      </w:r>
      <w:r>
        <w:rPr>
          <w:rFonts w:hint="cs"/>
          <w:rtl/>
        </w:rPr>
        <w:t>למקרים בהם</w:t>
      </w:r>
      <w:r w:rsidRPr="00474F65">
        <w:rPr>
          <w:rtl/>
        </w:rPr>
        <w:t xml:space="preserve"> נשים </w:t>
      </w:r>
      <w:r>
        <w:rPr>
          <w:rtl/>
        </w:rPr>
        <w:t xml:space="preserve">או גברים </w:t>
      </w:r>
      <w:r w:rsidRPr="00474F65">
        <w:rPr>
          <w:rtl/>
        </w:rPr>
        <w:t>נישאו בנישואין אזרחיים בלבד</w:t>
      </w:r>
      <w:r>
        <w:rPr>
          <w:rFonts w:hint="cs"/>
          <w:rtl/>
        </w:rPr>
        <w:t xml:space="preserve"> ושני בני הזוג יהודים,</w:t>
      </w:r>
      <w:r w:rsidRPr="00474F65">
        <w:rPr>
          <w:rtl/>
        </w:rPr>
        <w:t xml:space="preserve"> ואי אפשר לאתר את </w:t>
      </w:r>
      <w:r>
        <w:rPr>
          <w:rtl/>
        </w:rPr>
        <w:t>בן או בת הזוג</w:t>
      </w:r>
      <w:r w:rsidRPr="00474F65">
        <w:rPr>
          <w:rtl/>
        </w:rPr>
        <w:t xml:space="preserve"> ולנהל הליך </w:t>
      </w:r>
      <w:r>
        <w:rPr>
          <w:rtl/>
        </w:rPr>
        <w:t xml:space="preserve">גירושין </w:t>
      </w:r>
      <w:r w:rsidRPr="00474F65">
        <w:rPr>
          <w:rtl/>
        </w:rPr>
        <w:t xml:space="preserve">במדינה </w:t>
      </w:r>
      <w:r>
        <w:rPr>
          <w:rtl/>
        </w:rPr>
        <w:t>שבה נערכו הנישואין</w:t>
      </w:r>
      <w:r>
        <w:rPr>
          <w:rFonts w:hint="cs"/>
          <w:rtl/>
        </w:rPr>
        <w:t>, לפי נוסחו של החוק כיום אין אפשרות לתת מענה למצוקתם ולאפשר להם לפתוח בנישואין חדשים</w:t>
      </w:r>
      <w:r>
        <w:rPr>
          <w:rtl/>
        </w:rPr>
        <w:t>.</w:t>
      </w:r>
    </w:p>
    <w:p w:rsidR="00023E3A" w:rsidRPr="00474F65" w:rsidRDefault="00023E3A" w:rsidP="00023E3A">
      <w:pPr>
        <w:pStyle w:val="Hesber"/>
        <w:ind w:left="-455" w:right="284"/>
        <w:rPr>
          <w:rtl/>
        </w:rPr>
      </w:pPr>
      <w:r>
        <w:rPr>
          <w:rtl/>
        </w:rPr>
        <w:t xml:space="preserve">בדומה לסמכות הניתנת במקרים מעין אלה לבית </w:t>
      </w:r>
      <w:r w:rsidRPr="00F337CF">
        <w:rPr>
          <w:rtl/>
        </w:rPr>
        <w:t xml:space="preserve">משפט </w:t>
      </w:r>
      <w:proofErr w:type="spellStart"/>
      <w:r w:rsidRPr="00F337CF">
        <w:rPr>
          <w:rtl/>
        </w:rPr>
        <w:t>לענ</w:t>
      </w:r>
      <w:r>
        <w:rPr>
          <w:rtl/>
        </w:rPr>
        <w:t>י</w:t>
      </w:r>
      <w:r w:rsidRPr="00F337CF">
        <w:rPr>
          <w:rtl/>
        </w:rPr>
        <w:t>ני</w:t>
      </w:r>
      <w:proofErr w:type="spellEnd"/>
      <w:r w:rsidRPr="00F337CF">
        <w:rPr>
          <w:rtl/>
        </w:rPr>
        <w:t xml:space="preserve"> משפחה</w:t>
      </w:r>
      <w:r>
        <w:rPr>
          <w:rtl/>
        </w:rPr>
        <w:t xml:space="preserve"> לפי </w:t>
      </w:r>
      <w:r w:rsidRPr="00F337CF">
        <w:rPr>
          <w:rtl/>
        </w:rPr>
        <w:t xml:space="preserve">חוק שיפוט </w:t>
      </w:r>
      <w:proofErr w:type="spellStart"/>
      <w:r w:rsidRPr="00F337CF">
        <w:rPr>
          <w:rtl/>
        </w:rPr>
        <w:t>בעניני</w:t>
      </w:r>
      <w:proofErr w:type="spellEnd"/>
      <w:r w:rsidRPr="00F337CF">
        <w:rPr>
          <w:rtl/>
        </w:rPr>
        <w:t xml:space="preserve"> התרת נישואין (מקרים מיוחדים וסמכות בין-לאומית), התשכ"ט-1969</w:t>
      </w:r>
      <w:r>
        <w:rPr>
          <w:rtl/>
        </w:rPr>
        <w:t xml:space="preserve"> ביחס לזוגות מעורבים משתי דתות וחסרי דת, הרי ש</w:t>
      </w:r>
      <w:r w:rsidRPr="00B04BCE">
        <w:rPr>
          <w:rtl/>
        </w:rPr>
        <w:t xml:space="preserve">התיקון המוצע בסעיף 4א </w:t>
      </w:r>
      <w:r>
        <w:rPr>
          <w:rtl/>
        </w:rPr>
        <w:t xml:space="preserve">לחוק </w:t>
      </w:r>
      <w:r w:rsidRPr="00B04BCE">
        <w:rPr>
          <w:rtl/>
        </w:rPr>
        <w:t xml:space="preserve">ייתן לבית הדין הרבני סמכות לדון גם בתביעת הגירושין </w:t>
      </w:r>
      <w:r>
        <w:rPr>
          <w:rtl/>
        </w:rPr>
        <w:t xml:space="preserve">של זוגות יהודים </w:t>
      </w:r>
      <w:r w:rsidRPr="00B04BCE">
        <w:rPr>
          <w:rtl/>
        </w:rPr>
        <w:t>במקרים</w:t>
      </w:r>
      <w:r>
        <w:rPr>
          <w:rtl/>
        </w:rPr>
        <w:t xml:space="preserve"> מעין</w:t>
      </w:r>
      <w:r w:rsidRPr="00B04BCE">
        <w:rPr>
          <w:rtl/>
        </w:rPr>
        <w:t xml:space="preserve"> אלה ולתת פתרון גם</w:t>
      </w:r>
      <w:r>
        <w:rPr>
          <w:rtl/>
        </w:rPr>
        <w:t xml:space="preserve"> </w:t>
      </w:r>
      <w:r w:rsidRPr="00B04BCE">
        <w:rPr>
          <w:rtl/>
        </w:rPr>
        <w:t xml:space="preserve">לבעייתם, וזאת על ידי מחיקת המילים "על פי דין תורה", אשר מנעו עד כה </w:t>
      </w:r>
      <w:r>
        <w:rPr>
          <w:rtl/>
        </w:rPr>
        <w:t>מתן</w:t>
      </w:r>
      <w:r w:rsidRPr="00B04BCE">
        <w:rPr>
          <w:rtl/>
        </w:rPr>
        <w:t xml:space="preserve"> סעד זה ליהודים שנישאו רק בנישואין אזרחיים. גם כאן</w:t>
      </w:r>
      <w:r>
        <w:rPr>
          <w:rtl/>
        </w:rPr>
        <w:t xml:space="preserve"> </w:t>
      </w:r>
      <w:r w:rsidRPr="00B04BCE">
        <w:rPr>
          <w:rtl/>
        </w:rPr>
        <w:t xml:space="preserve">מסויגת סמכות זו בסעיף קטן (א1), </w:t>
      </w:r>
      <w:r>
        <w:rPr>
          <w:rtl/>
        </w:rPr>
        <w:t>בנוגע</w:t>
      </w:r>
      <w:r w:rsidRPr="00B04BCE">
        <w:rPr>
          <w:rtl/>
        </w:rPr>
        <w:t xml:space="preserve"> </w:t>
      </w:r>
      <w:r>
        <w:rPr>
          <w:rtl/>
        </w:rPr>
        <w:t xml:space="preserve">לזוגות שנישאו </w:t>
      </w:r>
      <w:proofErr w:type="spellStart"/>
      <w:r>
        <w:rPr>
          <w:rtl/>
        </w:rPr>
        <w:t>בנשואי</w:t>
      </w:r>
      <w:r>
        <w:rPr>
          <w:rFonts w:hint="cs"/>
          <w:rtl/>
        </w:rPr>
        <w:t>ן</w:t>
      </w:r>
      <w:proofErr w:type="spellEnd"/>
      <w:r w:rsidRPr="00B04BCE">
        <w:rPr>
          <w:rtl/>
        </w:rPr>
        <w:t xml:space="preserve"> אזרחיים</w:t>
      </w:r>
      <w:r>
        <w:rPr>
          <w:rtl/>
        </w:rPr>
        <w:t xml:space="preserve"> בלבד</w:t>
      </w:r>
      <w:r w:rsidRPr="00B04BCE">
        <w:rPr>
          <w:rtl/>
        </w:rPr>
        <w:t>, רק "אם במקום מושבם האחרון של בני הזוג לא ניתן</w:t>
      </w:r>
      <w:r>
        <w:rPr>
          <w:rtl/>
        </w:rPr>
        <w:t xml:space="preserve"> </w:t>
      </w:r>
      <w:r w:rsidRPr="00B04BCE">
        <w:rPr>
          <w:rtl/>
        </w:rPr>
        <w:t>לערוך גירושין על פי כל דין, או שמתקיימות נסיבות מיוחדות</w:t>
      </w:r>
      <w:r>
        <w:rPr>
          <w:rtl/>
        </w:rPr>
        <w:t>"</w:t>
      </w:r>
      <w:r w:rsidRPr="00474F65">
        <w:rPr>
          <w:rtl/>
        </w:rPr>
        <w:t>.</w:t>
      </w:r>
    </w:p>
    <w:p w:rsidR="00EA3C81" w:rsidRDefault="00023E3A" w:rsidP="00023E3A">
      <w:pPr>
        <w:pStyle w:val="Hesber"/>
        <w:ind w:left="-455" w:right="284"/>
      </w:pPr>
      <w:r w:rsidRPr="00474F65">
        <w:rPr>
          <w:rtl/>
        </w:rPr>
        <w:t xml:space="preserve">התיקון המוצע יאפשר לנשים </w:t>
      </w:r>
      <w:r>
        <w:rPr>
          <w:rtl/>
        </w:rPr>
        <w:t xml:space="preserve">וגברים </w:t>
      </w:r>
      <w:r w:rsidRPr="00474F65">
        <w:rPr>
          <w:rtl/>
        </w:rPr>
        <w:t>אלו לסיים מערכת נישואין כושלת, להתיר את עגינות</w:t>
      </w:r>
      <w:r>
        <w:rPr>
          <w:rtl/>
        </w:rPr>
        <w:t>ם</w:t>
      </w:r>
      <w:r w:rsidRPr="00474F65">
        <w:rPr>
          <w:rtl/>
        </w:rPr>
        <w:t xml:space="preserve"> ולפתוח דף חדש בחייה</w:t>
      </w:r>
      <w:r>
        <w:rPr>
          <w:rtl/>
        </w:rPr>
        <w:t>ם</w:t>
      </w:r>
      <w:r w:rsidRPr="00474F65">
        <w:rPr>
          <w:rtl/>
        </w:rPr>
        <w:t>.</w:t>
      </w:r>
      <w:r>
        <w:rPr>
          <w:rtl/>
        </w:rPr>
        <w:t xml:space="preserve"> </w:t>
      </w:r>
    </w:p>
    <w:sectPr w:rsidR="00EA3C81" w:rsidSect="00023E3A">
      <w:footerReference w:type="even" r:id="rId6"/>
      <w:footerReference w:type="default" r:id="rId7"/>
      <w:pgSz w:w="11907" w:h="16840" w:code="9"/>
      <w:pgMar w:top="1134" w:right="1418" w:bottom="1134" w:left="1021"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E3A" w:rsidRDefault="00023E3A" w:rsidP="00023E3A">
      <w:pPr>
        <w:spacing w:before="0" w:line="240" w:lineRule="auto"/>
      </w:pPr>
      <w:r>
        <w:separator/>
      </w:r>
    </w:p>
  </w:endnote>
  <w:endnote w:type="continuationSeparator" w:id="0">
    <w:p w:rsidR="00023E3A" w:rsidRDefault="00023E3A" w:rsidP="00023E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41" w:rsidRDefault="00023E3A" w:rsidP="001207F8">
    <w:pPr>
      <w:pStyle w:val="a6"/>
      <w:framePr w:wrap="around" w:vAnchor="text" w:hAnchor="text" w:xAlign="center" w:y="1"/>
      <w:rPr>
        <w:rStyle w:val="a8"/>
      </w:rPr>
    </w:pPr>
    <w:r>
      <w:rPr>
        <w:rStyle w:val="a8"/>
      </w:rPr>
      <w:fldChar w:fldCharType="begin"/>
    </w:r>
    <w:r>
      <w:rPr>
        <w:rStyle w:val="a8"/>
      </w:rPr>
      <w:instrText xml:space="preserve">PAGE  </w:instrText>
    </w:r>
    <w:r>
      <w:rPr>
        <w:rStyle w:val="a8"/>
      </w:rPr>
      <w:fldChar w:fldCharType="end"/>
    </w:r>
  </w:p>
  <w:p w:rsidR="002C3041" w:rsidRDefault="00023E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41" w:rsidRDefault="00023E3A" w:rsidP="001207F8">
    <w:pPr>
      <w:pStyle w:val="a6"/>
      <w:framePr w:wrap="around" w:vAnchor="text" w:hAnchor="text" w:xAlign="center" w:y="1"/>
      <w:rPr>
        <w:rStyle w:val="a8"/>
      </w:rPr>
    </w:pPr>
    <w:r>
      <w:rPr>
        <w:rStyle w:val="a8"/>
      </w:rPr>
      <w:fldChar w:fldCharType="begin"/>
    </w:r>
    <w:r>
      <w:rPr>
        <w:rStyle w:val="a8"/>
      </w:rPr>
      <w:instrText xml:space="preserve">PAGE  </w:instrText>
    </w:r>
    <w:r>
      <w:rPr>
        <w:rStyle w:val="a8"/>
      </w:rPr>
      <w:fldChar w:fldCharType="separate"/>
    </w:r>
    <w:r>
      <w:rPr>
        <w:rStyle w:val="a8"/>
        <w:noProof/>
        <w:rtl/>
      </w:rPr>
      <w:t>3</w:t>
    </w:r>
    <w:r>
      <w:rPr>
        <w:rStyle w:val="a8"/>
      </w:rPr>
      <w:fldChar w:fldCharType="end"/>
    </w:r>
  </w:p>
  <w:p w:rsidR="002C3041" w:rsidRDefault="00023E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E3A" w:rsidRDefault="00023E3A" w:rsidP="00023E3A">
      <w:pPr>
        <w:spacing w:before="0" w:line="240" w:lineRule="auto"/>
      </w:pPr>
      <w:r>
        <w:separator/>
      </w:r>
    </w:p>
  </w:footnote>
  <w:footnote w:type="continuationSeparator" w:id="0">
    <w:p w:rsidR="00023E3A" w:rsidRDefault="00023E3A" w:rsidP="00023E3A">
      <w:pPr>
        <w:spacing w:before="0" w:line="240" w:lineRule="auto"/>
      </w:pPr>
      <w:r>
        <w:continuationSeparator/>
      </w:r>
    </w:p>
  </w:footnote>
  <w:footnote w:id="1">
    <w:p w:rsidR="00023E3A" w:rsidRDefault="00023E3A" w:rsidP="00023E3A">
      <w:pPr>
        <w:pStyle w:val="a3"/>
      </w:pPr>
      <w:r>
        <w:rPr>
          <w:rStyle w:val="a5"/>
        </w:rPr>
        <w:footnoteRef/>
      </w:r>
      <w:r>
        <w:rPr>
          <w:rtl/>
        </w:rPr>
        <w:t xml:space="preserve"> ס"ח </w:t>
      </w:r>
      <w:proofErr w:type="spellStart"/>
      <w:r>
        <w:rPr>
          <w:rtl/>
        </w:rPr>
        <w:t>התשי"ג</w:t>
      </w:r>
      <w:proofErr w:type="spellEnd"/>
      <w:r>
        <w:rPr>
          <w:rtl/>
        </w:rPr>
        <w:t>, עמ' 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3A"/>
    <w:rsid w:val="00023E3A"/>
    <w:rsid w:val="0091215B"/>
    <w:rsid w:val="00EA3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F36E5-8B65-4914-AF6B-87CEFAAE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E3A"/>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023E3A"/>
    <w:pPr>
      <w:keepNext/>
      <w:keepLines/>
      <w:snapToGrid w:val="0"/>
      <w:spacing w:before="240" w:line="360" w:lineRule="auto"/>
      <w:ind w:firstLine="0"/>
      <w:jc w:val="center"/>
    </w:pPr>
    <w:rPr>
      <w:rFonts w:ascii="Arial" w:hAnsi="Arial" w:cs="David"/>
      <w:b/>
      <w:bCs/>
      <w:spacing w:val="0"/>
      <w:sz w:val="20"/>
      <w:szCs w:val="26"/>
    </w:rPr>
  </w:style>
  <w:style w:type="paragraph" w:customStyle="1" w:styleId="TableText">
    <w:name w:val="Table Text"/>
    <w:basedOn w:val="a"/>
    <w:rsid w:val="00023E3A"/>
    <w:pPr>
      <w:keepLines/>
      <w:tabs>
        <w:tab w:val="left" w:pos="624"/>
        <w:tab w:val="left" w:pos="1247"/>
      </w:tabs>
      <w:snapToGrid w:val="0"/>
      <w:spacing w:before="0" w:line="360" w:lineRule="auto"/>
      <w:ind w:right="57" w:firstLine="0"/>
      <w:jc w:val="left"/>
    </w:pPr>
    <w:rPr>
      <w:rFonts w:ascii="Arial" w:hAnsi="Arial" w:cs="David"/>
      <w:spacing w:val="0"/>
      <w:sz w:val="20"/>
      <w:szCs w:val="26"/>
    </w:rPr>
  </w:style>
  <w:style w:type="paragraph" w:customStyle="1" w:styleId="TableSideHeading">
    <w:name w:val="Table SideHeading"/>
    <w:basedOn w:val="TableText"/>
    <w:rsid w:val="00023E3A"/>
  </w:style>
  <w:style w:type="paragraph" w:customStyle="1" w:styleId="TableBlock">
    <w:name w:val="Table Block"/>
    <w:basedOn w:val="TableText"/>
    <w:rsid w:val="00023E3A"/>
    <w:pPr>
      <w:ind w:right="0"/>
      <w:jc w:val="both"/>
    </w:pPr>
  </w:style>
  <w:style w:type="paragraph" w:customStyle="1" w:styleId="Hesber">
    <w:name w:val="Hesber"/>
    <w:basedOn w:val="a"/>
    <w:rsid w:val="00023E3A"/>
    <w:pPr>
      <w:snapToGrid w:val="0"/>
      <w:spacing w:before="0" w:line="360" w:lineRule="auto"/>
    </w:pPr>
    <w:rPr>
      <w:rFonts w:ascii="Arial" w:hAnsi="Arial" w:cs="David"/>
      <w:spacing w:val="0"/>
      <w:sz w:val="20"/>
      <w:szCs w:val="26"/>
    </w:rPr>
  </w:style>
  <w:style w:type="paragraph" w:styleId="a3">
    <w:name w:val="footnote text"/>
    <w:basedOn w:val="a"/>
    <w:link w:val="a4"/>
    <w:autoRedefine/>
    <w:uiPriority w:val="99"/>
    <w:semiHidden/>
    <w:rsid w:val="00023E3A"/>
    <w:pPr>
      <w:snapToGrid w:val="0"/>
      <w:spacing w:before="0" w:line="240" w:lineRule="auto"/>
      <w:ind w:left="227" w:hanging="227"/>
      <w:jc w:val="left"/>
    </w:pPr>
    <w:rPr>
      <w:rFonts w:ascii="Arial" w:hAnsi="Arial" w:cs="David"/>
      <w:spacing w:val="0"/>
      <w:sz w:val="14"/>
      <w:szCs w:val="20"/>
    </w:rPr>
  </w:style>
  <w:style w:type="character" w:customStyle="1" w:styleId="a4">
    <w:name w:val="טקסט הערת שוליים תו"/>
    <w:basedOn w:val="a0"/>
    <w:link w:val="a3"/>
    <w:uiPriority w:val="99"/>
    <w:semiHidden/>
    <w:rsid w:val="00023E3A"/>
    <w:rPr>
      <w:rFonts w:ascii="Arial" w:eastAsia="MS Mincho" w:hAnsi="Arial" w:cs="David"/>
      <w:color w:val="000000"/>
      <w:sz w:val="14"/>
      <w:szCs w:val="20"/>
      <w:lang w:eastAsia="ja-JP"/>
    </w:rPr>
  </w:style>
  <w:style w:type="character" w:styleId="a5">
    <w:name w:val="footnote reference"/>
    <w:basedOn w:val="a0"/>
    <w:uiPriority w:val="99"/>
    <w:semiHidden/>
    <w:rsid w:val="00023E3A"/>
    <w:rPr>
      <w:rFonts w:cs="Times New Roman"/>
      <w:vertAlign w:val="superscript"/>
    </w:rPr>
  </w:style>
  <w:style w:type="paragraph" w:styleId="a6">
    <w:name w:val="footer"/>
    <w:basedOn w:val="a"/>
    <w:link w:val="a7"/>
    <w:uiPriority w:val="99"/>
    <w:rsid w:val="00023E3A"/>
    <w:pPr>
      <w:tabs>
        <w:tab w:val="center" w:pos="4153"/>
        <w:tab w:val="right" w:pos="8306"/>
      </w:tabs>
    </w:pPr>
  </w:style>
  <w:style w:type="character" w:customStyle="1" w:styleId="a7">
    <w:name w:val="כותרת תחתונה תו"/>
    <w:basedOn w:val="a0"/>
    <w:link w:val="a6"/>
    <w:uiPriority w:val="99"/>
    <w:rsid w:val="00023E3A"/>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rsid w:val="00023E3A"/>
    <w:pPr>
      <w:snapToGrid w:val="0"/>
      <w:spacing w:before="360" w:after="120" w:line="360" w:lineRule="auto"/>
      <w:ind w:firstLine="0"/>
      <w:jc w:val="center"/>
    </w:pPr>
    <w:rPr>
      <w:rFonts w:ascii="Arial" w:hAnsi="Arial" w:cs="David"/>
      <w:b/>
      <w:spacing w:val="40"/>
      <w:sz w:val="20"/>
      <w:szCs w:val="26"/>
    </w:rPr>
  </w:style>
  <w:style w:type="character" w:styleId="a8">
    <w:name w:val="page number"/>
    <w:basedOn w:val="a0"/>
    <w:uiPriority w:val="99"/>
    <w:rsid w:val="00023E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43485</RefNumber>
  </documentManagement>
</p:properties>
</file>

<file path=customXml/itemProps1.xml><?xml version="1.0" encoding="utf-8"?>
<ds:datastoreItem xmlns:ds="http://schemas.openxmlformats.org/officeDocument/2006/customXml" ds:itemID="{0E0D93FC-9037-4FAF-B357-339CA622DA49}"/>
</file>

<file path=customXml/itemProps2.xml><?xml version="1.0" encoding="utf-8"?>
<ds:datastoreItem xmlns:ds="http://schemas.openxmlformats.org/officeDocument/2006/customXml" ds:itemID="{954F4396-4739-41A1-B957-7074AD031B5E}"/>
</file>

<file path=customXml/itemProps3.xml><?xml version="1.0" encoding="utf-8"?>
<ds:datastoreItem xmlns:ds="http://schemas.openxmlformats.org/officeDocument/2006/customXml" ds:itemID="{1A1BA9F8-7E72-471B-BA11-6092D8316138}"/>
</file>

<file path=docProps/app.xml><?xml version="1.0" encoding="utf-8"?>
<Properties xmlns="http://schemas.openxmlformats.org/officeDocument/2006/extended-properties" xmlns:vt="http://schemas.openxmlformats.org/officeDocument/2006/docPropsVTypes">
  <Template>Normal</Template>
  <TotalTime>7</TotalTime>
  <Pages>3</Pages>
  <Words>1172</Words>
  <Characters>5864</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 תיקון סמכות בינלאומית במקרי עיגון.docx</dc:title>
  <dc:subject/>
  <dc:creator>רפי רכס</dc:creator>
  <cp:keywords/>
  <dc:description/>
  <cp:lastModifiedBy>רפי רכס</cp:lastModifiedBy>
  <cp:revision>1</cp:revision>
  <dcterms:created xsi:type="dcterms:W3CDTF">2017-10-22T09:56:00Z</dcterms:created>
  <dcterms:modified xsi:type="dcterms:W3CDTF">2017-10-22T10:04:00Z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