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37" w:rsidRPr="00454EF6" w:rsidRDefault="00B153C3" w:rsidP="00132D74">
      <w:pPr>
        <w:snapToGrid w:val="0"/>
        <w:spacing w:before="240" w:line="360" w:lineRule="auto"/>
        <w:ind w:firstLine="0"/>
        <w:jc w:val="center"/>
        <w:rPr>
          <w:rFonts w:ascii="Arial" w:eastAsia="Arial Unicode MS" w:hAnsi="Arial" w:cs="David"/>
          <w:b/>
          <w:bCs/>
          <w:snapToGrid w:val="0"/>
          <w:spacing w:val="0"/>
          <w:sz w:val="26"/>
          <w:szCs w:val="26"/>
          <w:rtl/>
        </w:rPr>
      </w:pPr>
      <w:r>
        <w:rPr>
          <w:rFonts w:ascii="Arial" w:eastAsia="Arial Unicode MS" w:hAnsi="Arial" w:cs="David" w:hint="cs"/>
          <w:b/>
          <w:bCs/>
          <w:snapToGrid w:val="0"/>
          <w:spacing w:val="0"/>
          <w:sz w:val="26"/>
          <w:szCs w:val="26"/>
          <w:rtl/>
        </w:rPr>
        <w:t>תזכיר</w:t>
      </w:r>
      <w:r w:rsidRPr="00454EF6">
        <w:rPr>
          <w:rFonts w:ascii="Arial" w:eastAsia="Arial Unicode MS" w:hAnsi="Arial" w:cs="David" w:hint="cs"/>
          <w:b/>
          <w:bCs/>
          <w:snapToGrid w:val="0"/>
          <w:spacing w:val="0"/>
          <w:sz w:val="26"/>
          <w:szCs w:val="26"/>
          <w:rtl/>
        </w:rPr>
        <w:t xml:space="preserve"> </w:t>
      </w:r>
      <w:r w:rsidR="002841E2" w:rsidRPr="00454EF6">
        <w:rPr>
          <w:rFonts w:ascii="Arial" w:eastAsia="Arial Unicode MS" w:hAnsi="Arial" w:cs="David" w:hint="cs"/>
          <w:b/>
          <w:bCs/>
          <w:snapToGrid w:val="0"/>
          <w:spacing w:val="0"/>
          <w:sz w:val="26"/>
          <w:szCs w:val="26"/>
          <w:rtl/>
        </w:rPr>
        <w:t xml:space="preserve">חוק </w:t>
      </w:r>
      <w:r w:rsidR="00132D74">
        <w:rPr>
          <w:rFonts w:ascii="Arial" w:eastAsia="Arial Unicode MS" w:hAnsi="Arial" w:cs="David" w:hint="cs"/>
          <w:b/>
          <w:bCs/>
          <w:snapToGrid w:val="0"/>
          <w:spacing w:val="0"/>
          <w:sz w:val="26"/>
          <w:szCs w:val="26"/>
          <w:rtl/>
        </w:rPr>
        <w:t>ההתייעלות הכלכלית</w:t>
      </w:r>
      <w:r w:rsidR="002841E2" w:rsidRPr="00454EF6">
        <w:rPr>
          <w:rFonts w:ascii="Arial" w:eastAsia="Arial Unicode MS" w:hAnsi="Arial" w:cs="David" w:hint="cs"/>
          <w:b/>
          <w:bCs/>
          <w:snapToGrid w:val="0"/>
          <w:spacing w:val="0"/>
          <w:sz w:val="26"/>
          <w:szCs w:val="26"/>
          <w:rtl/>
        </w:rPr>
        <w:t xml:space="preserve"> </w:t>
      </w:r>
      <w:r w:rsidR="00132D74">
        <w:rPr>
          <w:rFonts w:ascii="Arial" w:eastAsia="Arial Unicode MS" w:hAnsi="Arial" w:cs="David" w:hint="cs"/>
          <w:b/>
          <w:bCs/>
          <w:snapToGrid w:val="0"/>
          <w:spacing w:val="0"/>
          <w:sz w:val="26"/>
          <w:szCs w:val="26"/>
          <w:rtl/>
        </w:rPr>
        <w:t>(תיקוני חקיקה לשנים 2017 ו-2018</w:t>
      </w:r>
      <w:r w:rsidR="002841E2" w:rsidRPr="00454EF6">
        <w:rPr>
          <w:rFonts w:ascii="Arial" w:eastAsia="Arial Unicode MS" w:hAnsi="Arial" w:cs="David" w:hint="cs"/>
          <w:b/>
          <w:bCs/>
          <w:snapToGrid w:val="0"/>
          <w:spacing w:val="0"/>
          <w:sz w:val="26"/>
          <w:szCs w:val="26"/>
          <w:rtl/>
        </w:rPr>
        <w:t xml:space="preserve">), התשע"ו-2016 </w:t>
      </w:r>
    </w:p>
    <w:p w:rsidR="009E1337" w:rsidRDefault="002841E2" w:rsidP="00DB6197">
      <w:pPr>
        <w:snapToGrid w:val="0"/>
        <w:spacing w:before="240" w:line="360" w:lineRule="auto"/>
        <w:ind w:firstLine="0"/>
        <w:jc w:val="center"/>
        <w:rPr>
          <w:rFonts w:ascii="Arial" w:eastAsia="Arial Unicode MS" w:hAnsi="Arial" w:cs="David"/>
          <w:b/>
          <w:bCs/>
          <w:snapToGrid w:val="0"/>
          <w:spacing w:val="0"/>
          <w:sz w:val="26"/>
          <w:szCs w:val="26"/>
          <w:rtl/>
        </w:rPr>
      </w:pPr>
      <w:r w:rsidRPr="00454EF6">
        <w:rPr>
          <w:rFonts w:ascii="Arial" w:eastAsia="Arial Unicode MS" w:hAnsi="Arial" w:cs="David" w:hint="cs"/>
          <w:b/>
          <w:bCs/>
          <w:snapToGrid w:val="0"/>
          <w:spacing w:val="0"/>
          <w:sz w:val="26"/>
          <w:szCs w:val="26"/>
          <w:rtl/>
        </w:rPr>
        <w:t xml:space="preserve">פרק _': </w:t>
      </w:r>
      <w:r w:rsidR="00DB6197" w:rsidRPr="00454EF6">
        <w:rPr>
          <w:rFonts w:ascii="Arial" w:eastAsia="Arial Unicode MS" w:hAnsi="Arial" w:cs="David" w:hint="cs"/>
          <w:b/>
          <w:bCs/>
          <w:snapToGrid w:val="0"/>
          <w:spacing w:val="0"/>
          <w:sz w:val="26"/>
          <w:szCs w:val="26"/>
          <w:rtl/>
        </w:rPr>
        <w:t xml:space="preserve">מס ריבוי נכסים </w:t>
      </w:r>
    </w:p>
    <w:p w:rsidR="00B153C3" w:rsidRDefault="00B153C3" w:rsidP="00DB6197">
      <w:pPr>
        <w:snapToGrid w:val="0"/>
        <w:spacing w:before="240" w:line="360" w:lineRule="auto"/>
        <w:ind w:firstLine="0"/>
        <w:jc w:val="center"/>
        <w:rPr>
          <w:rFonts w:ascii="Arial" w:eastAsia="Arial Unicode MS" w:hAnsi="Arial" w:cs="David"/>
          <w:b/>
          <w:bCs/>
          <w:snapToGrid w:val="0"/>
          <w:spacing w:val="0"/>
          <w:sz w:val="26"/>
          <w:szCs w:val="26"/>
          <w:rtl/>
        </w:rPr>
      </w:pPr>
    </w:p>
    <w:p w:rsidR="00B153C3" w:rsidRDefault="00B153C3" w:rsidP="00B153C3">
      <w:pPr>
        <w:pStyle w:val="ad"/>
        <w:snapToGrid w:val="0"/>
        <w:spacing w:before="240" w:line="360" w:lineRule="auto"/>
        <w:ind w:left="340" w:firstLine="0"/>
        <w:rPr>
          <w:rFonts w:cs="David"/>
          <w:snapToGrid w:val="0"/>
          <w:sz w:val="26"/>
          <w:szCs w:val="26"/>
          <w:rtl/>
        </w:rPr>
      </w:pPr>
      <w:r w:rsidRPr="00FD577C">
        <w:rPr>
          <w:rFonts w:cs="David" w:hint="cs"/>
          <w:snapToGrid w:val="0"/>
          <w:sz w:val="26"/>
          <w:szCs w:val="26"/>
          <w:rtl/>
        </w:rPr>
        <w:t>תזכיר זה מיישם את החלטות הממשלה מיום 11 באוגוסט 2016, והוא צפוי לעלות על סדר יומה של ועדת השרים המיוחדת לעניין התכנית הכלכלית לשנים 2017 ו-2018 ביום 1</w:t>
      </w:r>
      <w:r>
        <w:rPr>
          <w:rFonts w:cs="David" w:hint="cs"/>
          <w:snapToGrid w:val="0"/>
          <w:sz w:val="26"/>
          <w:szCs w:val="26"/>
          <w:rtl/>
        </w:rPr>
        <w:t>5</w:t>
      </w:r>
      <w:r w:rsidRPr="00FD577C">
        <w:rPr>
          <w:rFonts w:cs="David" w:hint="cs"/>
          <w:snapToGrid w:val="0"/>
          <w:sz w:val="26"/>
          <w:szCs w:val="26"/>
          <w:rtl/>
        </w:rPr>
        <w:t xml:space="preserve"> בספטמבר 2016.</w:t>
      </w:r>
    </w:p>
    <w:p w:rsidR="00B153C3" w:rsidRPr="00454EF6" w:rsidRDefault="00B153C3" w:rsidP="00DB6197">
      <w:pPr>
        <w:snapToGrid w:val="0"/>
        <w:spacing w:before="240" w:line="360" w:lineRule="auto"/>
        <w:ind w:firstLine="0"/>
        <w:jc w:val="center"/>
        <w:rPr>
          <w:rFonts w:ascii="Arial" w:eastAsia="Arial Unicode MS" w:hAnsi="Arial" w:cs="David"/>
          <w:b/>
          <w:bCs/>
          <w:snapToGrid w:val="0"/>
          <w:spacing w:val="0"/>
          <w:sz w:val="26"/>
          <w:szCs w:val="26"/>
          <w:rtl/>
        </w:rPr>
      </w:pPr>
    </w:p>
    <w:p w:rsidR="009E1337" w:rsidRPr="00454EF6" w:rsidRDefault="002841E2">
      <w:pPr>
        <w:widowControl/>
        <w:numPr>
          <w:ilvl w:val="0"/>
          <w:numId w:val="4"/>
        </w:numPr>
        <w:autoSpaceDE/>
        <w:autoSpaceDN/>
        <w:adjustRightInd/>
        <w:snapToGrid w:val="0"/>
        <w:spacing w:before="0" w:afterLines="60" w:line="360" w:lineRule="auto"/>
        <w:textAlignment w:val="auto"/>
        <w:rPr>
          <w:rFonts w:ascii="Arial" w:eastAsia="Arial Unicode MS" w:hAnsi="Arial" w:cs="David"/>
          <w:b/>
          <w:bCs/>
          <w:snapToGrid w:val="0"/>
          <w:spacing w:val="0"/>
          <w:sz w:val="26"/>
          <w:szCs w:val="26"/>
          <w:rtl/>
        </w:rPr>
      </w:pPr>
      <w:r w:rsidRPr="00454EF6">
        <w:rPr>
          <w:rFonts w:ascii="Arial" w:eastAsia="Arial Unicode MS" w:hAnsi="Arial" w:cs="David" w:hint="eastAsia"/>
          <w:b/>
          <w:bCs/>
          <w:snapToGrid w:val="0"/>
          <w:spacing w:val="0"/>
          <w:sz w:val="26"/>
          <w:szCs w:val="26"/>
          <w:rtl/>
        </w:rPr>
        <w:t>שם</w:t>
      </w:r>
      <w:r w:rsidRPr="00454EF6">
        <w:rPr>
          <w:rFonts w:ascii="Arial" w:eastAsia="Arial Unicode MS" w:hAnsi="Arial" w:cs="David"/>
          <w:b/>
          <w:bCs/>
          <w:snapToGrid w:val="0"/>
          <w:spacing w:val="0"/>
          <w:sz w:val="26"/>
          <w:szCs w:val="26"/>
          <w:rtl/>
        </w:rPr>
        <w:t xml:space="preserve"> </w:t>
      </w:r>
      <w:r w:rsidRPr="00454EF6">
        <w:rPr>
          <w:rFonts w:ascii="Arial" w:eastAsia="Arial Unicode MS" w:hAnsi="Arial" w:cs="David" w:hint="eastAsia"/>
          <w:b/>
          <w:bCs/>
          <w:snapToGrid w:val="0"/>
          <w:spacing w:val="0"/>
          <w:sz w:val="26"/>
          <w:szCs w:val="26"/>
          <w:rtl/>
        </w:rPr>
        <w:t>החוק</w:t>
      </w:r>
      <w:r w:rsidRPr="00454EF6">
        <w:rPr>
          <w:rFonts w:ascii="Arial" w:eastAsia="Arial Unicode MS" w:hAnsi="Arial" w:cs="David"/>
          <w:b/>
          <w:bCs/>
          <w:snapToGrid w:val="0"/>
          <w:spacing w:val="0"/>
          <w:sz w:val="26"/>
          <w:szCs w:val="26"/>
          <w:rtl/>
        </w:rPr>
        <w:t xml:space="preserve"> </w:t>
      </w:r>
      <w:r w:rsidRPr="00454EF6">
        <w:rPr>
          <w:rFonts w:ascii="Arial" w:eastAsia="Arial Unicode MS" w:hAnsi="Arial" w:cs="David" w:hint="eastAsia"/>
          <w:b/>
          <w:bCs/>
          <w:snapToGrid w:val="0"/>
          <w:spacing w:val="0"/>
          <w:sz w:val="26"/>
          <w:szCs w:val="26"/>
          <w:rtl/>
        </w:rPr>
        <w:t>המוצע</w:t>
      </w:r>
    </w:p>
    <w:p w:rsidR="009E1337" w:rsidRPr="00454EF6" w:rsidRDefault="00B153C3" w:rsidP="00132D74">
      <w:pPr>
        <w:keepNext/>
        <w:keepLines/>
        <w:snapToGrid w:val="0"/>
        <w:spacing w:before="0" w:afterLines="60" w:line="360" w:lineRule="auto"/>
        <w:ind w:left="340" w:firstLine="0"/>
        <w:rPr>
          <w:rFonts w:ascii="Times New Roman" w:eastAsia="Times New Roman" w:hAnsi="Times New Roman" w:cs="David"/>
          <w:b/>
          <w:bCs/>
          <w:color w:val="auto"/>
          <w:spacing w:val="0"/>
          <w:sz w:val="26"/>
          <w:szCs w:val="26"/>
          <w:rtl/>
          <w:lang w:eastAsia="he-IL"/>
        </w:rPr>
      </w:pPr>
      <w:r>
        <w:rPr>
          <w:rFonts w:ascii="Times New Roman" w:eastAsia="Times New Roman" w:hAnsi="Times New Roman" w:cs="David" w:hint="cs"/>
          <w:color w:val="auto"/>
          <w:spacing w:val="0"/>
          <w:sz w:val="26"/>
          <w:szCs w:val="26"/>
          <w:rtl/>
          <w:lang w:eastAsia="he-IL"/>
        </w:rPr>
        <w:t xml:space="preserve">תזכיר </w:t>
      </w:r>
      <w:r w:rsidR="002841E2" w:rsidRPr="00454EF6">
        <w:rPr>
          <w:rFonts w:ascii="Times New Roman" w:eastAsia="Times New Roman" w:hAnsi="Times New Roman" w:cs="David"/>
          <w:color w:val="auto"/>
          <w:spacing w:val="0"/>
          <w:sz w:val="26"/>
          <w:szCs w:val="26"/>
          <w:rtl/>
          <w:lang w:eastAsia="he-IL"/>
        </w:rPr>
        <w:t>חו</w:t>
      </w:r>
      <w:r w:rsidR="002841E2" w:rsidRPr="00454EF6">
        <w:rPr>
          <w:rFonts w:ascii="Times New Roman" w:eastAsia="Times New Roman" w:hAnsi="Times New Roman" w:cs="David" w:hint="eastAsia"/>
          <w:color w:val="auto"/>
          <w:spacing w:val="0"/>
          <w:sz w:val="26"/>
          <w:szCs w:val="26"/>
          <w:rtl/>
          <w:lang w:eastAsia="he-IL"/>
        </w:rPr>
        <w:t>ק</w:t>
      </w:r>
      <w:r w:rsidR="002841E2" w:rsidRPr="00454EF6">
        <w:rPr>
          <w:rFonts w:ascii="Times New Roman" w:eastAsia="Times New Roman" w:hAnsi="Times New Roman" w:cs="David"/>
          <w:color w:val="auto"/>
          <w:spacing w:val="0"/>
          <w:sz w:val="26"/>
          <w:szCs w:val="26"/>
          <w:rtl/>
          <w:lang w:eastAsia="he-IL"/>
        </w:rPr>
        <w:t xml:space="preserve"> </w:t>
      </w:r>
      <w:r w:rsidR="00132D74">
        <w:rPr>
          <w:rFonts w:ascii="Times New Roman" w:eastAsia="Times New Roman" w:hAnsi="Times New Roman" w:cs="David" w:hint="cs"/>
          <w:color w:val="auto"/>
          <w:spacing w:val="0"/>
          <w:sz w:val="26"/>
          <w:szCs w:val="26"/>
          <w:rtl/>
          <w:lang w:eastAsia="he-IL"/>
        </w:rPr>
        <w:t>ההתייעלות הכלכלית</w:t>
      </w:r>
      <w:r w:rsidR="002841E2" w:rsidRPr="00454EF6">
        <w:rPr>
          <w:rFonts w:ascii="Times New Roman" w:eastAsia="Times New Roman" w:hAnsi="Times New Roman" w:cs="David"/>
          <w:color w:val="auto"/>
          <w:spacing w:val="0"/>
          <w:sz w:val="26"/>
          <w:szCs w:val="26"/>
          <w:rtl/>
          <w:lang w:eastAsia="he-IL"/>
        </w:rPr>
        <w:t xml:space="preserve"> </w:t>
      </w:r>
      <w:r w:rsidR="00132D74">
        <w:rPr>
          <w:rFonts w:ascii="Times New Roman" w:eastAsia="Times New Roman" w:hAnsi="Times New Roman" w:cs="David" w:hint="cs"/>
          <w:color w:val="auto"/>
          <w:spacing w:val="0"/>
          <w:sz w:val="26"/>
          <w:szCs w:val="26"/>
          <w:rtl/>
          <w:lang w:eastAsia="he-IL"/>
        </w:rPr>
        <w:t>(תיקוני חקיקה לשנים 2017 ו-2018</w:t>
      </w:r>
      <w:r w:rsidR="002841E2" w:rsidRPr="00454EF6">
        <w:rPr>
          <w:rFonts w:ascii="Times New Roman" w:eastAsia="Times New Roman" w:hAnsi="Times New Roman" w:cs="David" w:hint="cs"/>
          <w:color w:val="auto"/>
          <w:spacing w:val="0"/>
          <w:sz w:val="26"/>
          <w:szCs w:val="26"/>
          <w:rtl/>
          <w:lang w:eastAsia="he-IL"/>
        </w:rPr>
        <w:t xml:space="preserve">), </w:t>
      </w:r>
      <w:proofErr w:type="spellStart"/>
      <w:r w:rsidR="002841E2" w:rsidRPr="00454EF6">
        <w:rPr>
          <w:rFonts w:ascii="Times New Roman" w:eastAsia="Times New Roman" w:hAnsi="Times New Roman" w:cs="David" w:hint="cs"/>
          <w:color w:val="auto"/>
          <w:spacing w:val="0"/>
          <w:sz w:val="26"/>
          <w:szCs w:val="26"/>
          <w:rtl/>
          <w:lang w:eastAsia="he-IL"/>
        </w:rPr>
        <w:t>התשע"ו</w:t>
      </w:r>
      <w:proofErr w:type="spellEnd"/>
      <w:r w:rsidR="002841E2" w:rsidRPr="00454EF6">
        <w:rPr>
          <w:rFonts w:ascii="Times New Roman" w:eastAsia="Times New Roman" w:hAnsi="Times New Roman" w:cs="David" w:hint="cs"/>
          <w:color w:val="auto"/>
          <w:spacing w:val="0"/>
          <w:sz w:val="26"/>
          <w:szCs w:val="26"/>
          <w:rtl/>
          <w:lang w:eastAsia="he-IL"/>
        </w:rPr>
        <w:t xml:space="preserve">-2016 פרק _': </w:t>
      </w:r>
      <w:r w:rsidR="00DB6197" w:rsidRPr="00454EF6">
        <w:rPr>
          <w:rFonts w:ascii="Times New Roman" w:eastAsia="Times New Roman" w:hAnsi="Times New Roman" w:cs="David" w:hint="cs"/>
          <w:color w:val="auto"/>
          <w:spacing w:val="0"/>
          <w:sz w:val="26"/>
          <w:szCs w:val="26"/>
          <w:rtl/>
          <w:lang w:eastAsia="he-IL"/>
        </w:rPr>
        <w:t>מס ריבוי נכסים</w:t>
      </w:r>
      <w:r w:rsidR="002841E2" w:rsidRPr="00454EF6">
        <w:rPr>
          <w:rFonts w:ascii="Times New Roman" w:eastAsia="Times New Roman" w:hAnsi="Times New Roman" w:cs="David" w:hint="cs"/>
          <w:b/>
          <w:bCs/>
          <w:color w:val="auto"/>
          <w:spacing w:val="0"/>
          <w:sz w:val="26"/>
          <w:szCs w:val="26"/>
          <w:rtl/>
          <w:lang w:eastAsia="he-IL"/>
        </w:rPr>
        <w:t>.</w:t>
      </w:r>
    </w:p>
    <w:p w:rsidR="00B153C3" w:rsidRPr="004322D9" w:rsidRDefault="00B153C3" w:rsidP="00996634">
      <w:pPr>
        <w:widowControl/>
        <w:numPr>
          <w:ilvl w:val="0"/>
          <w:numId w:val="4"/>
        </w:numPr>
        <w:autoSpaceDE/>
        <w:autoSpaceDN/>
        <w:adjustRightInd/>
        <w:snapToGrid w:val="0"/>
        <w:spacing w:before="0" w:afterLines="60" w:line="360" w:lineRule="auto"/>
        <w:textAlignment w:val="auto"/>
        <w:rPr>
          <w:rFonts w:cs="David"/>
          <w:b/>
          <w:bCs/>
          <w:sz w:val="26"/>
          <w:szCs w:val="26"/>
          <w:rtl/>
        </w:rPr>
      </w:pPr>
      <w:r w:rsidRPr="00E7380E">
        <w:rPr>
          <w:rFonts w:cs="David"/>
          <w:b/>
          <w:bCs/>
          <w:sz w:val="26"/>
          <w:szCs w:val="26"/>
          <w:rtl/>
        </w:rPr>
        <w:t>מטרת החוק המוצע, הצורך בו ועיקרי החוק המוצע</w:t>
      </w:r>
      <w:r w:rsidRPr="004322D9">
        <w:rPr>
          <w:rFonts w:cs="David" w:hint="cs"/>
          <w:b/>
          <w:bCs/>
          <w:sz w:val="26"/>
          <w:szCs w:val="26"/>
          <w:rtl/>
        </w:rPr>
        <w:t xml:space="preserve"> </w:t>
      </w:r>
    </w:p>
    <w:p w:rsidR="003E1E8C" w:rsidRDefault="003E1E8C" w:rsidP="00996634">
      <w:pPr>
        <w:pStyle w:val="ad"/>
        <w:ind w:firstLine="0"/>
        <w:rPr>
          <w:rtl/>
        </w:rPr>
      </w:pPr>
    </w:p>
    <w:p w:rsidR="003E1E8C" w:rsidRPr="00996634" w:rsidRDefault="003E1E8C" w:rsidP="00996634">
      <w:pPr>
        <w:pStyle w:val="ad"/>
        <w:ind w:left="360" w:firstLine="0"/>
        <w:rPr>
          <w:rFonts w:ascii="Times New Roman" w:eastAsia="Times New Roman" w:hAnsi="Times New Roman" w:cs="David"/>
          <w:color w:val="auto"/>
          <w:spacing w:val="0"/>
          <w:sz w:val="26"/>
          <w:szCs w:val="26"/>
          <w:rtl/>
          <w:lang w:eastAsia="he-IL"/>
        </w:rPr>
      </w:pPr>
      <w:r>
        <w:rPr>
          <w:rFonts w:ascii="Times New Roman" w:eastAsia="Times New Roman" w:hAnsi="Times New Roman" w:cs="David" w:hint="cs"/>
          <w:color w:val="auto"/>
          <w:spacing w:val="0"/>
          <w:sz w:val="26"/>
          <w:szCs w:val="26"/>
          <w:rtl/>
          <w:lang w:eastAsia="he-IL"/>
        </w:rPr>
        <w:t>בהתאם ל</w:t>
      </w:r>
      <w:r w:rsidRPr="00996634">
        <w:rPr>
          <w:rFonts w:ascii="Times New Roman" w:eastAsia="Times New Roman" w:hAnsi="Times New Roman" w:cs="David" w:hint="cs"/>
          <w:color w:val="auto"/>
          <w:spacing w:val="0"/>
          <w:sz w:val="26"/>
          <w:szCs w:val="26"/>
          <w:rtl/>
          <w:lang w:eastAsia="he-IL"/>
        </w:rPr>
        <w:t>נתוני הלשכה המרכזית לסטטיסטיקה, החל מחודש ינואר 2008 ועד חודש אפריל 2016,  עלו מחירי הדיור בשיעור ממוצע של 110%.</w:t>
      </w:r>
    </w:p>
    <w:p w:rsidR="003E1E8C" w:rsidRPr="00996634" w:rsidRDefault="003E1E8C" w:rsidP="00996634">
      <w:pPr>
        <w:pStyle w:val="ad"/>
        <w:ind w:left="360" w:firstLine="0"/>
        <w:rPr>
          <w:rFonts w:ascii="Times New Roman" w:eastAsia="Times New Roman" w:hAnsi="Times New Roman" w:cs="David"/>
          <w:color w:val="auto"/>
          <w:spacing w:val="0"/>
          <w:sz w:val="26"/>
          <w:szCs w:val="26"/>
          <w:rtl/>
          <w:lang w:eastAsia="he-IL"/>
        </w:rPr>
      </w:pPr>
    </w:p>
    <w:p w:rsidR="003E1E8C" w:rsidRDefault="003E1E8C" w:rsidP="00996634">
      <w:pPr>
        <w:pStyle w:val="ad"/>
        <w:ind w:left="360" w:firstLine="0"/>
        <w:rPr>
          <w:rFonts w:ascii="Times New Roman" w:eastAsia="Times New Roman" w:hAnsi="Times New Roman" w:cs="David"/>
          <w:color w:val="auto"/>
          <w:spacing w:val="0"/>
          <w:sz w:val="26"/>
          <w:szCs w:val="26"/>
          <w:rtl/>
          <w:lang w:eastAsia="he-IL"/>
        </w:rPr>
      </w:pPr>
      <w:r>
        <w:rPr>
          <w:rFonts w:ascii="Times New Roman" w:eastAsia="Times New Roman" w:hAnsi="Times New Roman" w:cs="David" w:hint="cs"/>
          <w:color w:val="auto"/>
          <w:spacing w:val="0"/>
          <w:sz w:val="26"/>
          <w:szCs w:val="26"/>
          <w:rtl/>
          <w:lang w:eastAsia="he-IL"/>
        </w:rPr>
        <w:t xml:space="preserve">עליית המחירים היא תוצאה של </w:t>
      </w:r>
      <w:r w:rsidRPr="00996634">
        <w:rPr>
          <w:rFonts w:ascii="Times New Roman" w:eastAsia="Times New Roman" w:hAnsi="Times New Roman" w:cs="David" w:hint="cs"/>
          <w:color w:val="auto"/>
          <w:spacing w:val="0"/>
          <w:sz w:val="26"/>
          <w:szCs w:val="26"/>
          <w:rtl/>
          <w:lang w:eastAsia="he-IL"/>
        </w:rPr>
        <w:t xml:space="preserve">עודף </w:t>
      </w:r>
      <w:r>
        <w:rPr>
          <w:rFonts w:ascii="Times New Roman" w:eastAsia="Times New Roman" w:hAnsi="Times New Roman" w:cs="David" w:hint="cs"/>
          <w:color w:val="auto"/>
          <w:spacing w:val="0"/>
          <w:sz w:val="26"/>
          <w:szCs w:val="26"/>
          <w:rtl/>
          <w:lang w:eastAsia="he-IL"/>
        </w:rPr>
        <w:t>ב</w:t>
      </w:r>
      <w:r w:rsidRPr="00996634">
        <w:rPr>
          <w:rFonts w:ascii="Times New Roman" w:eastAsia="Times New Roman" w:hAnsi="Times New Roman" w:cs="David" w:hint="cs"/>
          <w:color w:val="auto"/>
          <w:spacing w:val="0"/>
          <w:sz w:val="26"/>
          <w:szCs w:val="26"/>
          <w:rtl/>
          <w:lang w:eastAsia="he-IL"/>
        </w:rPr>
        <w:t xml:space="preserve">ביקוש לדירות </w:t>
      </w:r>
      <w:r>
        <w:rPr>
          <w:rFonts w:ascii="Times New Roman" w:eastAsia="Times New Roman" w:hAnsi="Times New Roman" w:cs="David" w:hint="cs"/>
          <w:color w:val="auto"/>
          <w:spacing w:val="0"/>
          <w:sz w:val="26"/>
          <w:szCs w:val="26"/>
          <w:rtl/>
          <w:lang w:eastAsia="he-IL"/>
        </w:rPr>
        <w:t>בהשוואה ל</w:t>
      </w:r>
      <w:r w:rsidRPr="00996634">
        <w:rPr>
          <w:rFonts w:ascii="Times New Roman" w:eastAsia="Times New Roman" w:hAnsi="Times New Roman" w:cs="David" w:hint="cs"/>
          <w:color w:val="auto"/>
          <w:spacing w:val="0"/>
          <w:sz w:val="26"/>
          <w:szCs w:val="26"/>
          <w:rtl/>
          <w:lang w:eastAsia="he-IL"/>
        </w:rPr>
        <w:t xml:space="preserve">היצע הקיים והוא קשור קשר הדוק לירידה בשיעור הריבית, המובילה לעידוד השקעה בנכסים פיסיים </w:t>
      </w:r>
      <w:r w:rsidR="005B472E">
        <w:rPr>
          <w:rFonts w:ascii="Times New Roman" w:eastAsia="Times New Roman" w:hAnsi="Times New Roman" w:cs="David" w:hint="cs"/>
          <w:color w:val="auto"/>
          <w:spacing w:val="0"/>
          <w:sz w:val="26"/>
          <w:szCs w:val="26"/>
          <w:rtl/>
          <w:lang w:eastAsia="he-IL"/>
        </w:rPr>
        <w:t>והיעדר</w:t>
      </w:r>
      <w:r w:rsidRPr="00996634">
        <w:rPr>
          <w:rFonts w:ascii="Times New Roman" w:eastAsia="Times New Roman" w:hAnsi="Times New Roman" w:cs="David" w:hint="cs"/>
          <w:color w:val="auto"/>
          <w:spacing w:val="0"/>
          <w:sz w:val="26"/>
          <w:szCs w:val="26"/>
          <w:rtl/>
          <w:lang w:eastAsia="he-IL"/>
        </w:rPr>
        <w:t xml:space="preserve"> אטרקטיביות של מסלולי חיסכון והשקעה אחרים בשוק ההון. </w:t>
      </w:r>
    </w:p>
    <w:p w:rsidR="003E1E8C" w:rsidRDefault="003E1E8C" w:rsidP="00996634">
      <w:pPr>
        <w:pStyle w:val="ad"/>
        <w:ind w:left="360" w:firstLine="0"/>
        <w:rPr>
          <w:rFonts w:ascii="Times New Roman" w:eastAsia="Times New Roman" w:hAnsi="Times New Roman" w:cs="David"/>
          <w:color w:val="auto"/>
          <w:spacing w:val="0"/>
          <w:sz w:val="26"/>
          <w:szCs w:val="26"/>
          <w:rtl/>
          <w:lang w:eastAsia="he-IL"/>
        </w:rPr>
      </w:pPr>
    </w:p>
    <w:p w:rsidR="003E1E8C" w:rsidRDefault="005B472E" w:rsidP="00996634">
      <w:pPr>
        <w:pStyle w:val="ad"/>
        <w:ind w:left="360" w:firstLine="0"/>
        <w:rPr>
          <w:rFonts w:ascii="Times New Roman" w:eastAsia="Times New Roman" w:hAnsi="Times New Roman" w:cs="David"/>
          <w:color w:val="auto"/>
          <w:spacing w:val="0"/>
          <w:sz w:val="26"/>
          <w:szCs w:val="26"/>
          <w:rtl/>
          <w:lang w:eastAsia="he-IL"/>
        </w:rPr>
      </w:pPr>
      <w:r>
        <w:rPr>
          <w:rFonts w:ascii="Times New Roman" w:eastAsia="Times New Roman" w:hAnsi="Times New Roman" w:cs="David" w:hint="cs"/>
          <w:color w:val="auto"/>
          <w:spacing w:val="0"/>
          <w:sz w:val="26"/>
          <w:szCs w:val="26"/>
          <w:rtl/>
          <w:lang w:eastAsia="he-IL"/>
        </w:rPr>
        <w:t xml:space="preserve">כמו כן, </w:t>
      </w:r>
      <w:r w:rsidR="003E1E8C" w:rsidRPr="00996634">
        <w:rPr>
          <w:rFonts w:ascii="Times New Roman" w:eastAsia="Times New Roman" w:hAnsi="Times New Roman" w:cs="David" w:hint="cs"/>
          <w:color w:val="auto"/>
          <w:spacing w:val="0"/>
          <w:sz w:val="26"/>
          <w:szCs w:val="26"/>
          <w:rtl/>
          <w:lang w:eastAsia="he-IL"/>
        </w:rPr>
        <w:t>במהלך השנים האחרונות עלה בשיעור ניכר אחוז המחזיקים בדירה נוספת ובדירת מגורים שלישית ומעלה, לצרכי השקעה.</w:t>
      </w:r>
      <w:r w:rsidR="003E1E8C">
        <w:rPr>
          <w:rFonts w:ascii="Times New Roman" w:eastAsia="Times New Roman" w:hAnsi="Times New Roman" w:cs="David" w:hint="cs"/>
          <w:color w:val="auto"/>
          <w:spacing w:val="0"/>
          <w:sz w:val="26"/>
          <w:szCs w:val="26"/>
          <w:rtl/>
          <w:lang w:eastAsia="he-IL"/>
        </w:rPr>
        <w:t xml:space="preserve"> </w:t>
      </w:r>
      <w:r w:rsidR="003E1E8C" w:rsidRPr="00996634">
        <w:rPr>
          <w:rFonts w:ascii="Times New Roman" w:eastAsia="Times New Roman" w:hAnsi="Times New Roman" w:cs="David" w:hint="cs"/>
          <w:color w:val="auto"/>
          <w:spacing w:val="0"/>
          <w:sz w:val="26"/>
          <w:szCs w:val="26"/>
          <w:rtl/>
          <w:lang w:eastAsia="he-IL"/>
        </w:rPr>
        <w:t>ל</w:t>
      </w:r>
      <w:r w:rsidR="003E1E8C">
        <w:rPr>
          <w:rFonts w:ascii="Times New Roman" w:eastAsia="Times New Roman" w:hAnsi="Times New Roman" w:cs="David" w:hint="cs"/>
          <w:color w:val="auto"/>
          <w:spacing w:val="0"/>
          <w:sz w:val="26"/>
          <w:szCs w:val="26"/>
          <w:rtl/>
          <w:lang w:eastAsia="he-IL"/>
        </w:rPr>
        <w:t xml:space="preserve">תופעה זו </w:t>
      </w:r>
      <w:r w:rsidR="003E1E8C" w:rsidRPr="00996634">
        <w:rPr>
          <w:rFonts w:ascii="Times New Roman" w:eastAsia="Times New Roman" w:hAnsi="Times New Roman" w:cs="David" w:hint="cs"/>
          <w:color w:val="auto"/>
          <w:spacing w:val="0"/>
          <w:sz w:val="26"/>
          <w:szCs w:val="26"/>
          <w:rtl/>
          <w:lang w:eastAsia="he-IL"/>
        </w:rPr>
        <w:t xml:space="preserve">השפעה </w:t>
      </w:r>
      <w:r w:rsidR="003E1E8C">
        <w:rPr>
          <w:rFonts w:ascii="Times New Roman" w:eastAsia="Times New Roman" w:hAnsi="Times New Roman" w:cs="David" w:hint="cs"/>
          <w:color w:val="auto"/>
          <w:spacing w:val="0"/>
          <w:sz w:val="26"/>
          <w:szCs w:val="26"/>
          <w:rtl/>
          <w:lang w:eastAsia="he-IL"/>
        </w:rPr>
        <w:t>חי</w:t>
      </w:r>
      <w:r>
        <w:rPr>
          <w:rFonts w:ascii="Times New Roman" w:eastAsia="Times New Roman" w:hAnsi="Times New Roman" w:cs="David" w:hint="cs"/>
          <w:color w:val="auto"/>
          <w:spacing w:val="0"/>
          <w:sz w:val="26"/>
          <w:szCs w:val="26"/>
          <w:rtl/>
          <w:lang w:eastAsia="he-IL"/>
        </w:rPr>
        <w:t>צ</w:t>
      </w:r>
      <w:r w:rsidR="003E1E8C">
        <w:rPr>
          <w:rFonts w:ascii="Times New Roman" w:eastAsia="Times New Roman" w:hAnsi="Times New Roman" w:cs="David" w:hint="cs"/>
          <w:color w:val="auto"/>
          <w:spacing w:val="0"/>
          <w:sz w:val="26"/>
          <w:szCs w:val="26"/>
          <w:rtl/>
          <w:lang w:eastAsia="he-IL"/>
        </w:rPr>
        <w:t xml:space="preserve">ונית </w:t>
      </w:r>
      <w:r w:rsidR="003E1E8C" w:rsidRPr="00996634">
        <w:rPr>
          <w:rFonts w:ascii="Times New Roman" w:eastAsia="Times New Roman" w:hAnsi="Times New Roman" w:cs="David" w:hint="cs"/>
          <w:color w:val="auto"/>
          <w:spacing w:val="0"/>
          <w:sz w:val="26"/>
          <w:szCs w:val="26"/>
          <w:rtl/>
          <w:lang w:eastAsia="he-IL"/>
        </w:rPr>
        <w:t>שלילית על רמת המחירים במשק</w:t>
      </w:r>
      <w:r w:rsidR="003E1E8C">
        <w:rPr>
          <w:rFonts w:ascii="Times New Roman" w:eastAsia="Times New Roman" w:hAnsi="Times New Roman" w:cs="David" w:hint="cs"/>
          <w:color w:val="auto"/>
          <w:spacing w:val="0"/>
          <w:sz w:val="26"/>
          <w:szCs w:val="26"/>
          <w:rtl/>
          <w:lang w:eastAsia="he-IL"/>
        </w:rPr>
        <w:t xml:space="preserve">. </w:t>
      </w:r>
    </w:p>
    <w:p w:rsidR="003E1E8C" w:rsidRDefault="003E1E8C" w:rsidP="00996634">
      <w:pPr>
        <w:pStyle w:val="ad"/>
        <w:ind w:left="360" w:firstLine="0"/>
        <w:rPr>
          <w:rFonts w:ascii="Times New Roman" w:eastAsia="Times New Roman" w:hAnsi="Times New Roman" w:cs="David"/>
          <w:color w:val="auto"/>
          <w:spacing w:val="0"/>
          <w:sz w:val="26"/>
          <w:szCs w:val="26"/>
          <w:rtl/>
          <w:lang w:eastAsia="he-IL"/>
        </w:rPr>
      </w:pPr>
    </w:p>
    <w:p w:rsidR="003E1E8C" w:rsidRPr="00996634" w:rsidRDefault="00D5059C" w:rsidP="00996634">
      <w:pPr>
        <w:pStyle w:val="ad"/>
        <w:ind w:left="360" w:firstLine="0"/>
        <w:rPr>
          <w:rFonts w:ascii="Times New Roman" w:eastAsia="Times New Roman" w:hAnsi="Times New Roman" w:cs="David"/>
          <w:color w:val="auto"/>
          <w:spacing w:val="0"/>
          <w:sz w:val="26"/>
          <w:szCs w:val="26"/>
          <w:rtl/>
          <w:lang w:eastAsia="he-IL"/>
        </w:rPr>
      </w:pPr>
      <w:r w:rsidRPr="00996634">
        <w:rPr>
          <w:rFonts w:ascii="Times New Roman" w:eastAsia="Times New Roman" w:hAnsi="Times New Roman" w:cs="David" w:hint="cs"/>
          <w:color w:val="auto"/>
          <w:spacing w:val="0"/>
          <w:sz w:val="26"/>
          <w:szCs w:val="26"/>
          <w:rtl/>
          <w:lang w:eastAsia="he-IL"/>
        </w:rPr>
        <w:t>לאור האמור</w:t>
      </w:r>
      <w:r w:rsidR="005B472E">
        <w:rPr>
          <w:rFonts w:ascii="Times New Roman" w:eastAsia="Times New Roman" w:hAnsi="Times New Roman" w:cs="David" w:hint="cs"/>
          <w:color w:val="auto"/>
          <w:spacing w:val="0"/>
          <w:sz w:val="26"/>
          <w:szCs w:val="26"/>
          <w:rtl/>
          <w:lang w:eastAsia="he-IL"/>
        </w:rPr>
        <w:t>,</w:t>
      </w:r>
      <w:r w:rsidRPr="00996634">
        <w:rPr>
          <w:rFonts w:ascii="Times New Roman" w:eastAsia="Times New Roman" w:hAnsi="Times New Roman" w:cs="David" w:hint="cs"/>
          <w:color w:val="auto"/>
          <w:spacing w:val="0"/>
          <w:sz w:val="26"/>
          <w:szCs w:val="26"/>
          <w:rtl/>
          <w:lang w:eastAsia="he-IL"/>
        </w:rPr>
        <w:t xml:space="preserve"> מוצע להטיל על מחזיקי שלוש דירות או יותר מס ב</w:t>
      </w:r>
      <w:r w:rsidR="005B472E">
        <w:rPr>
          <w:rFonts w:ascii="Times New Roman" w:eastAsia="Times New Roman" w:hAnsi="Times New Roman" w:cs="David" w:hint="cs"/>
          <w:color w:val="auto"/>
          <w:spacing w:val="0"/>
          <w:sz w:val="26"/>
          <w:szCs w:val="26"/>
          <w:rtl/>
          <w:lang w:eastAsia="he-IL"/>
        </w:rPr>
        <w:t xml:space="preserve">של אחזקת </w:t>
      </w:r>
      <w:r w:rsidRPr="00996634">
        <w:rPr>
          <w:rFonts w:ascii="Times New Roman" w:eastAsia="Times New Roman" w:hAnsi="Times New Roman" w:cs="David" w:hint="cs"/>
          <w:color w:val="auto"/>
          <w:spacing w:val="0"/>
          <w:sz w:val="26"/>
          <w:szCs w:val="26"/>
          <w:rtl/>
          <w:lang w:eastAsia="he-IL"/>
        </w:rPr>
        <w:t xml:space="preserve">הדירה השלישית ומעלה (להלן- </w:t>
      </w:r>
      <w:r w:rsidRPr="00996634">
        <w:rPr>
          <w:rFonts w:ascii="Times New Roman" w:eastAsia="Times New Roman" w:hAnsi="Times New Roman" w:cs="David" w:hint="cs"/>
          <w:b/>
          <w:bCs/>
          <w:color w:val="auto"/>
          <w:spacing w:val="0"/>
          <w:sz w:val="26"/>
          <w:szCs w:val="26"/>
          <w:rtl/>
          <w:lang w:eastAsia="he-IL"/>
        </w:rPr>
        <w:t>מס ריבוי נכסים</w:t>
      </w:r>
      <w:r w:rsidRPr="00996634">
        <w:rPr>
          <w:rFonts w:ascii="Times New Roman" w:eastAsia="Times New Roman" w:hAnsi="Times New Roman" w:cs="David" w:hint="cs"/>
          <w:color w:val="auto"/>
          <w:spacing w:val="0"/>
          <w:sz w:val="26"/>
          <w:szCs w:val="26"/>
          <w:rtl/>
          <w:lang w:eastAsia="he-IL"/>
        </w:rPr>
        <w:t>)</w:t>
      </w:r>
      <w:r w:rsidR="00BF76A4">
        <w:rPr>
          <w:rFonts w:ascii="Times New Roman" w:eastAsia="Times New Roman" w:hAnsi="Times New Roman" w:cs="David" w:hint="cs"/>
          <w:color w:val="auto"/>
          <w:spacing w:val="0"/>
          <w:sz w:val="26"/>
          <w:szCs w:val="26"/>
          <w:rtl/>
          <w:lang w:eastAsia="he-IL"/>
        </w:rPr>
        <w:t xml:space="preserve">, </w:t>
      </w:r>
      <w:r w:rsidR="003E1E8C" w:rsidRPr="00996634">
        <w:rPr>
          <w:rFonts w:ascii="Times New Roman" w:eastAsia="Times New Roman" w:hAnsi="Times New Roman" w:cs="David" w:hint="cs"/>
          <w:color w:val="auto"/>
          <w:spacing w:val="0"/>
          <w:sz w:val="26"/>
          <w:szCs w:val="26"/>
          <w:rtl/>
          <w:lang w:eastAsia="he-IL"/>
        </w:rPr>
        <w:t xml:space="preserve">באופן שיגלם את הנטל העודף שאחזקה זו יוצרת על המשק, ובאופן שמעודד את מחזיקי </w:t>
      </w:r>
      <w:r w:rsidR="005B472E">
        <w:rPr>
          <w:rFonts w:ascii="Times New Roman" w:eastAsia="Times New Roman" w:hAnsi="Times New Roman" w:cs="David" w:hint="cs"/>
          <w:color w:val="auto"/>
          <w:spacing w:val="0"/>
          <w:sz w:val="26"/>
          <w:szCs w:val="26"/>
          <w:rtl/>
          <w:lang w:eastAsia="he-IL"/>
        </w:rPr>
        <w:t xml:space="preserve">מספר </w:t>
      </w:r>
      <w:r w:rsidR="003E1E8C" w:rsidRPr="00996634">
        <w:rPr>
          <w:rFonts w:ascii="Times New Roman" w:eastAsia="Times New Roman" w:hAnsi="Times New Roman" w:cs="David" w:hint="cs"/>
          <w:color w:val="auto"/>
          <w:spacing w:val="0"/>
          <w:sz w:val="26"/>
          <w:szCs w:val="26"/>
          <w:rtl/>
          <w:lang w:eastAsia="he-IL"/>
        </w:rPr>
        <w:t xml:space="preserve">דירות למכור את נכסיהם, </w:t>
      </w:r>
      <w:r w:rsidR="003E1E8C">
        <w:rPr>
          <w:rFonts w:ascii="Times New Roman" w:eastAsia="Times New Roman" w:hAnsi="Times New Roman" w:cs="David" w:hint="cs"/>
          <w:color w:val="auto"/>
          <w:spacing w:val="0"/>
          <w:sz w:val="26"/>
          <w:szCs w:val="26"/>
          <w:rtl/>
          <w:lang w:eastAsia="he-IL"/>
        </w:rPr>
        <w:t>ובכך לה</w:t>
      </w:r>
      <w:r w:rsidR="003E1E8C" w:rsidRPr="00996634">
        <w:rPr>
          <w:rFonts w:ascii="Times New Roman" w:eastAsia="Times New Roman" w:hAnsi="Times New Roman" w:cs="David" w:hint="cs"/>
          <w:color w:val="auto"/>
          <w:spacing w:val="0"/>
          <w:sz w:val="26"/>
          <w:szCs w:val="26"/>
          <w:rtl/>
          <w:lang w:eastAsia="he-IL"/>
        </w:rPr>
        <w:t>גדיל את היצע הדירות בשוק המשני, ו</w:t>
      </w:r>
      <w:r w:rsidR="003E1E8C">
        <w:rPr>
          <w:rFonts w:ascii="Times New Roman" w:eastAsia="Times New Roman" w:hAnsi="Times New Roman" w:cs="David" w:hint="cs"/>
          <w:color w:val="auto"/>
          <w:spacing w:val="0"/>
          <w:sz w:val="26"/>
          <w:szCs w:val="26"/>
          <w:rtl/>
          <w:lang w:eastAsia="he-IL"/>
        </w:rPr>
        <w:t xml:space="preserve">להפחית את </w:t>
      </w:r>
      <w:r w:rsidR="003E1E8C" w:rsidRPr="00996634">
        <w:rPr>
          <w:rFonts w:ascii="Times New Roman" w:eastAsia="Times New Roman" w:hAnsi="Times New Roman" w:cs="David" w:hint="cs"/>
          <w:color w:val="auto"/>
          <w:spacing w:val="0"/>
          <w:sz w:val="26"/>
          <w:szCs w:val="26"/>
          <w:rtl/>
          <w:lang w:eastAsia="he-IL"/>
        </w:rPr>
        <w:t>רמת המחירים.</w:t>
      </w:r>
    </w:p>
    <w:p w:rsidR="003E1E8C" w:rsidRDefault="003E1E8C" w:rsidP="00996634">
      <w:pPr>
        <w:pStyle w:val="ad"/>
        <w:ind w:left="360" w:firstLine="0"/>
        <w:rPr>
          <w:rFonts w:ascii="Times New Roman" w:eastAsia="Times New Roman" w:hAnsi="Times New Roman" w:cs="David"/>
          <w:color w:val="auto"/>
          <w:spacing w:val="0"/>
          <w:sz w:val="26"/>
          <w:szCs w:val="26"/>
          <w:lang w:eastAsia="he-IL"/>
        </w:rPr>
      </w:pPr>
    </w:p>
    <w:p w:rsidR="00BF76A4" w:rsidRPr="00996634" w:rsidRDefault="003E1E8C" w:rsidP="0063567F">
      <w:pPr>
        <w:pStyle w:val="ad"/>
        <w:ind w:left="360" w:firstLine="0"/>
        <w:rPr>
          <w:rFonts w:ascii="Times New Roman" w:eastAsia="Times New Roman" w:hAnsi="Times New Roman" w:cs="David"/>
          <w:color w:val="auto"/>
          <w:spacing w:val="0"/>
          <w:sz w:val="16"/>
          <w:szCs w:val="16"/>
          <w:rtl/>
          <w:lang w:eastAsia="he-IL"/>
        </w:rPr>
      </w:pPr>
      <w:r>
        <w:rPr>
          <w:rFonts w:ascii="Times New Roman" w:eastAsia="Times New Roman" w:hAnsi="Times New Roman" w:cs="David" w:hint="cs"/>
          <w:color w:val="auto"/>
          <w:spacing w:val="0"/>
          <w:sz w:val="26"/>
          <w:szCs w:val="26"/>
          <w:rtl/>
          <w:lang w:eastAsia="he-IL"/>
        </w:rPr>
        <w:t xml:space="preserve">שיעור המס יעמוד על </w:t>
      </w:r>
      <w:r w:rsidRPr="00996634">
        <w:rPr>
          <w:rFonts w:ascii="Times New Roman" w:eastAsia="Times New Roman" w:hAnsi="Times New Roman" w:cs="David" w:hint="cs"/>
          <w:color w:val="auto"/>
          <w:spacing w:val="0"/>
          <w:sz w:val="26"/>
          <w:szCs w:val="26"/>
          <w:rtl/>
          <w:lang w:eastAsia="he-IL"/>
        </w:rPr>
        <w:t xml:space="preserve">1% </w:t>
      </w:r>
      <w:r w:rsidR="00172FA1">
        <w:rPr>
          <w:rFonts w:ascii="Times New Roman" w:eastAsia="Times New Roman" w:hAnsi="Times New Roman" w:cs="David" w:hint="cs"/>
          <w:color w:val="auto"/>
          <w:spacing w:val="0"/>
          <w:sz w:val="26"/>
          <w:szCs w:val="26"/>
          <w:rtl/>
          <w:lang w:eastAsia="he-IL"/>
        </w:rPr>
        <w:t>מערך ממוצע של דירה למטר רבוע</w:t>
      </w:r>
      <w:r>
        <w:rPr>
          <w:rFonts w:ascii="Times New Roman" w:eastAsia="Times New Roman" w:hAnsi="Times New Roman" w:cs="David" w:hint="cs"/>
          <w:color w:val="auto"/>
          <w:spacing w:val="0"/>
          <w:sz w:val="26"/>
          <w:szCs w:val="26"/>
          <w:rtl/>
          <w:lang w:eastAsia="he-IL"/>
        </w:rPr>
        <w:t>, שעומד נכון להיום על 15,148 שקלים חדשים, כשה</w:t>
      </w:r>
      <w:r w:rsidR="00172FA1">
        <w:rPr>
          <w:rFonts w:ascii="Times New Roman" w:eastAsia="Times New Roman" w:hAnsi="Times New Roman" w:cs="David" w:hint="cs"/>
          <w:color w:val="auto"/>
          <w:spacing w:val="0"/>
          <w:sz w:val="26"/>
          <w:szCs w:val="26"/>
          <w:rtl/>
          <w:lang w:eastAsia="he-IL"/>
        </w:rPr>
        <w:t xml:space="preserve">וא </w:t>
      </w:r>
      <w:r>
        <w:rPr>
          <w:rFonts w:ascii="Times New Roman" w:eastAsia="Times New Roman" w:hAnsi="Times New Roman" w:cs="David" w:hint="cs"/>
          <w:color w:val="auto"/>
          <w:spacing w:val="0"/>
          <w:sz w:val="26"/>
          <w:szCs w:val="26"/>
          <w:rtl/>
          <w:lang w:eastAsia="he-IL"/>
        </w:rPr>
        <w:t>מוכפל</w:t>
      </w:r>
      <w:r w:rsidR="00172FA1">
        <w:rPr>
          <w:rFonts w:ascii="Times New Roman" w:eastAsia="Times New Roman" w:hAnsi="Times New Roman" w:cs="David" w:hint="cs"/>
          <w:color w:val="auto"/>
          <w:spacing w:val="0"/>
          <w:sz w:val="26"/>
          <w:szCs w:val="26"/>
          <w:rtl/>
          <w:lang w:eastAsia="he-IL"/>
        </w:rPr>
        <w:t xml:space="preserve"> </w:t>
      </w:r>
      <w:r>
        <w:rPr>
          <w:rFonts w:ascii="Times New Roman" w:eastAsia="Times New Roman" w:hAnsi="Times New Roman" w:cs="David" w:hint="cs"/>
          <w:color w:val="auto"/>
          <w:spacing w:val="0"/>
          <w:sz w:val="26"/>
          <w:szCs w:val="26"/>
          <w:rtl/>
          <w:lang w:eastAsia="he-IL"/>
        </w:rPr>
        <w:t>במקדם, שמבוסס על מדד חברתי-כלכלי ומדד פריפריאליות שמפרסמת הלשכה המרכזית לסטטיסטיקה</w:t>
      </w:r>
      <w:r w:rsidR="00BF76A4">
        <w:rPr>
          <w:rFonts w:ascii="Times New Roman" w:eastAsia="Times New Roman" w:hAnsi="Times New Roman" w:cs="David" w:hint="cs"/>
          <w:color w:val="auto"/>
          <w:spacing w:val="0"/>
          <w:sz w:val="26"/>
          <w:szCs w:val="26"/>
          <w:rtl/>
          <w:lang w:eastAsia="he-IL"/>
        </w:rPr>
        <w:t xml:space="preserve"> בהתאם לנוסחה זו:</w:t>
      </w:r>
    </w:p>
    <w:p w:rsidR="00172FA1" w:rsidRDefault="00172FA1" w:rsidP="00996634">
      <w:pPr>
        <w:pStyle w:val="ad"/>
        <w:ind w:left="360" w:firstLine="0"/>
        <w:jc w:val="right"/>
        <w:rPr>
          <w:rFonts w:ascii="Times New Roman" w:eastAsia="Times New Roman" w:hAnsi="Times New Roman" w:cs="David"/>
          <w:color w:val="auto"/>
          <w:spacing w:val="0"/>
          <w:sz w:val="16"/>
          <w:szCs w:val="16"/>
          <w:rtl/>
          <w:lang w:eastAsia="he-IL"/>
        </w:rPr>
      </w:pPr>
    </w:p>
    <w:p w:rsidR="003E1E8C" w:rsidRPr="00996634" w:rsidRDefault="00BF76A4" w:rsidP="00996634">
      <w:pPr>
        <w:pStyle w:val="ad"/>
        <w:ind w:left="360" w:firstLine="0"/>
        <w:jc w:val="right"/>
        <w:rPr>
          <w:rFonts w:ascii="Times New Roman" w:eastAsia="Times New Roman" w:hAnsi="Times New Roman" w:cs="David"/>
          <w:color w:val="auto"/>
          <w:spacing w:val="0"/>
          <w:sz w:val="18"/>
          <w:szCs w:val="18"/>
          <w:rtl/>
          <w:lang w:eastAsia="he-IL"/>
        </w:rPr>
      </w:pPr>
      <w:r w:rsidRPr="00996634">
        <w:rPr>
          <w:rFonts w:ascii="Times New Roman" w:eastAsia="Times New Roman" w:hAnsi="Times New Roman" w:cs="David" w:hint="cs"/>
          <w:color w:val="auto"/>
          <w:spacing w:val="0"/>
          <w:sz w:val="16"/>
          <w:szCs w:val="16"/>
          <w:rtl/>
          <w:lang w:eastAsia="he-IL"/>
        </w:rPr>
        <w:t xml:space="preserve"> </w:t>
      </w:r>
      <w:r w:rsidR="00172FA1" w:rsidRPr="00996634">
        <w:rPr>
          <w:rFonts w:ascii="Times New Roman" w:eastAsia="Times New Roman" w:hAnsi="Times New Roman" w:cs="David"/>
          <w:color w:val="auto"/>
          <w:spacing w:val="0"/>
          <w:sz w:val="18"/>
          <w:szCs w:val="18"/>
          <w:lang w:eastAsia="he-IL"/>
        </w:rPr>
        <w:t>X Socio + 0.0238X Peripheria</w:t>
      </w:r>
      <w:r w:rsidR="00172FA1" w:rsidRPr="00996634">
        <w:rPr>
          <w:rFonts w:ascii="Times New Roman" w:eastAsia="Times New Roman" w:hAnsi="Times New Roman" w:cs="David"/>
          <w:color w:val="auto"/>
          <w:spacing w:val="0"/>
          <w:sz w:val="18"/>
          <w:szCs w:val="18"/>
          <w:vertAlign w:val="superscript"/>
          <w:lang w:eastAsia="he-IL"/>
        </w:rPr>
        <w:t xml:space="preserve">2 </w:t>
      </w:r>
      <w:r w:rsidR="00172FA1" w:rsidRPr="00996634">
        <w:rPr>
          <w:rFonts w:ascii="Times New Roman" w:eastAsia="Times New Roman" w:hAnsi="Times New Roman" w:cs="David"/>
          <w:color w:val="auto"/>
          <w:spacing w:val="0"/>
          <w:sz w:val="18"/>
          <w:szCs w:val="18"/>
          <w:lang w:eastAsia="he-IL"/>
        </w:rPr>
        <w:t>+ 0.0066X Socio</w:t>
      </w:r>
      <w:r w:rsidR="00172FA1" w:rsidRPr="00996634">
        <w:rPr>
          <w:rFonts w:ascii="Times New Roman" w:eastAsia="Times New Roman" w:hAnsi="Times New Roman" w:cs="David"/>
          <w:color w:val="auto"/>
          <w:spacing w:val="0"/>
          <w:sz w:val="18"/>
          <w:szCs w:val="18"/>
          <w:vertAlign w:val="superscript"/>
          <w:lang w:eastAsia="he-IL"/>
        </w:rPr>
        <w:t xml:space="preserve">2 </w:t>
      </w:r>
      <w:r w:rsidR="00172FA1" w:rsidRPr="00996634">
        <w:rPr>
          <w:rFonts w:ascii="Times New Roman" w:eastAsia="Times New Roman" w:hAnsi="Times New Roman" w:cs="David"/>
          <w:color w:val="auto"/>
          <w:spacing w:val="0"/>
          <w:sz w:val="18"/>
          <w:szCs w:val="18"/>
          <w:lang w:eastAsia="he-IL"/>
        </w:rPr>
        <w:t>+ 0.0042X</w:t>
      </w:r>
      <w:r w:rsidR="00172FA1" w:rsidRPr="00B153C3">
        <w:rPr>
          <w:rFonts w:ascii="Times New Roman" w:eastAsia="Times New Roman" w:hAnsi="Times New Roman" w:cs="David"/>
          <w:color w:val="auto"/>
          <w:spacing w:val="0"/>
          <w:sz w:val="18"/>
          <w:szCs w:val="18"/>
          <w:lang w:eastAsia="he-IL"/>
        </w:rPr>
        <w:t xml:space="preserve"> </w:t>
      </w:r>
      <w:proofErr w:type="spellStart"/>
      <w:r w:rsidR="00172FA1" w:rsidRPr="00996634">
        <w:rPr>
          <w:rFonts w:ascii="Times New Roman" w:eastAsia="Times New Roman" w:hAnsi="Times New Roman" w:cs="David"/>
          <w:color w:val="auto"/>
          <w:spacing w:val="0"/>
          <w:sz w:val="18"/>
          <w:szCs w:val="18"/>
          <w:lang w:eastAsia="he-IL"/>
        </w:rPr>
        <w:t>PeripheriaX</w:t>
      </w:r>
      <w:proofErr w:type="spellEnd"/>
      <w:r w:rsidR="00172FA1" w:rsidRPr="00996634">
        <w:rPr>
          <w:rFonts w:ascii="Times New Roman" w:eastAsia="Times New Roman" w:hAnsi="Times New Roman" w:cs="David"/>
          <w:color w:val="auto"/>
          <w:spacing w:val="0"/>
          <w:sz w:val="18"/>
          <w:szCs w:val="18"/>
          <w:lang w:eastAsia="he-IL"/>
        </w:rPr>
        <w:t xml:space="preserve"> Socio     </w:t>
      </w:r>
      <w:r w:rsidRPr="00996634">
        <w:rPr>
          <w:rFonts w:ascii="Times New Roman" w:eastAsia="Times New Roman" w:hAnsi="Times New Roman" w:cs="David" w:hint="cs"/>
          <w:color w:val="auto"/>
          <w:spacing w:val="0"/>
          <w:sz w:val="18"/>
          <w:szCs w:val="18"/>
          <w:rtl/>
          <w:lang w:eastAsia="he-IL"/>
        </w:rPr>
        <w:t xml:space="preserve"> 0.01037</w:t>
      </w:r>
      <w:r w:rsidR="00172FA1" w:rsidRPr="00996634">
        <w:rPr>
          <w:rFonts w:ascii="Times New Roman" w:eastAsia="Times New Roman" w:hAnsi="Times New Roman" w:cs="David"/>
          <w:color w:val="auto"/>
          <w:spacing w:val="0"/>
          <w:sz w:val="18"/>
          <w:szCs w:val="18"/>
          <w:lang w:eastAsia="he-IL"/>
        </w:rPr>
        <w:t xml:space="preserve"> </w:t>
      </w:r>
      <w:r w:rsidRPr="00996634">
        <w:rPr>
          <w:rFonts w:ascii="Times New Roman" w:eastAsia="Times New Roman" w:hAnsi="Times New Roman" w:cs="David"/>
          <w:color w:val="auto"/>
          <w:spacing w:val="0"/>
          <w:sz w:val="18"/>
          <w:szCs w:val="18"/>
          <w:lang w:eastAsia="he-IL"/>
        </w:rPr>
        <w:t xml:space="preserve"> X (1.49 – 0.2362 X </w:t>
      </w:r>
      <w:proofErr w:type="spellStart"/>
      <w:r w:rsidRPr="00996634">
        <w:rPr>
          <w:rFonts w:ascii="Times New Roman" w:eastAsia="Times New Roman" w:hAnsi="Times New Roman" w:cs="David"/>
          <w:color w:val="auto"/>
          <w:spacing w:val="0"/>
          <w:sz w:val="18"/>
          <w:szCs w:val="18"/>
          <w:lang w:eastAsia="he-IL"/>
        </w:rPr>
        <w:t>Periph</w:t>
      </w:r>
      <w:r w:rsidR="00172FA1" w:rsidRPr="00996634">
        <w:rPr>
          <w:rFonts w:ascii="Times New Roman" w:eastAsia="Times New Roman" w:hAnsi="Times New Roman" w:cs="David"/>
          <w:color w:val="auto"/>
          <w:spacing w:val="0"/>
          <w:sz w:val="18"/>
          <w:szCs w:val="18"/>
          <w:lang w:eastAsia="he-IL"/>
        </w:rPr>
        <w:t>e</w:t>
      </w:r>
      <w:r w:rsidRPr="00996634">
        <w:rPr>
          <w:rFonts w:ascii="Times New Roman" w:eastAsia="Times New Roman" w:hAnsi="Times New Roman" w:cs="David"/>
          <w:color w:val="auto"/>
          <w:spacing w:val="0"/>
          <w:sz w:val="18"/>
          <w:szCs w:val="18"/>
          <w:lang w:eastAsia="he-IL"/>
        </w:rPr>
        <w:t>ria</w:t>
      </w:r>
      <w:proofErr w:type="spellEnd"/>
      <w:r w:rsidRPr="00996634">
        <w:rPr>
          <w:rFonts w:ascii="Times New Roman" w:eastAsia="Times New Roman" w:hAnsi="Times New Roman" w:cs="David"/>
          <w:color w:val="auto"/>
          <w:spacing w:val="0"/>
          <w:sz w:val="18"/>
          <w:szCs w:val="18"/>
          <w:lang w:eastAsia="he-IL"/>
        </w:rPr>
        <w:t xml:space="preserve"> - </w:t>
      </w:r>
      <w:r w:rsidRPr="00996634">
        <w:rPr>
          <w:rFonts w:ascii="Times New Roman" w:eastAsia="Times New Roman" w:hAnsi="Times New Roman" w:cs="David" w:hint="cs"/>
          <w:color w:val="auto"/>
          <w:spacing w:val="0"/>
          <w:sz w:val="18"/>
          <w:szCs w:val="18"/>
          <w:rtl/>
          <w:lang w:eastAsia="he-IL"/>
        </w:rPr>
        <w:t xml:space="preserve">15,148     </w:t>
      </w:r>
    </w:p>
    <w:p w:rsidR="00172FA1" w:rsidRDefault="00172FA1" w:rsidP="00996634">
      <w:pPr>
        <w:pStyle w:val="ad"/>
        <w:ind w:left="360" w:firstLine="0"/>
        <w:rPr>
          <w:rFonts w:ascii="Times New Roman" w:eastAsia="Times New Roman" w:hAnsi="Times New Roman" w:cs="David"/>
          <w:color w:val="auto"/>
          <w:spacing w:val="0"/>
          <w:sz w:val="26"/>
          <w:szCs w:val="26"/>
          <w:rtl/>
          <w:lang w:eastAsia="he-IL"/>
        </w:rPr>
      </w:pPr>
    </w:p>
    <w:p w:rsidR="005B472E" w:rsidRDefault="005B472E" w:rsidP="00996634">
      <w:pPr>
        <w:pStyle w:val="ad"/>
        <w:tabs>
          <w:tab w:val="left" w:pos="8747"/>
          <w:tab w:val="right" w:pos="9639"/>
        </w:tabs>
        <w:ind w:left="360" w:firstLine="0"/>
        <w:jc w:val="left"/>
        <w:rPr>
          <w:rFonts w:ascii="Times New Roman" w:eastAsia="Times New Roman" w:hAnsi="Times New Roman" w:cs="David"/>
          <w:color w:val="auto"/>
          <w:spacing w:val="0"/>
          <w:sz w:val="18"/>
          <w:szCs w:val="18"/>
          <w:lang w:eastAsia="he-IL"/>
        </w:rPr>
      </w:pPr>
      <w:r>
        <w:rPr>
          <w:rFonts w:ascii="Times New Roman" w:eastAsia="Times New Roman" w:hAnsi="Times New Roman" w:cs="David"/>
          <w:color w:val="auto"/>
          <w:spacing w:val="0"/>
          <w:sz w:val="18"/>
          <w:szCs w:val="18"/>
          <w:lang w:eastAsia="he-IL"/>
        </w:rPr>
        <w:t xml:space="preserve"> </w:t>
      </w:r>
      <w:r>
        <w:rPr>
          <w:rFonts w:ascii="Times New Roman" w:eastAsia="Times New Roman" w:hAnsi="Times New Roman" w:cs="David" w:hint="cs"/>
          <w:color w:val="auto"/>
          <w:spacing w:val="0"/>
          <w:sz w:val="18"/>
          <w:szCs w:val="18"/>
          <w:rtl/>
          <w:lang w:eastAsia="he-IL"/>
        </w:rPr>
        <w:t xml:space="preserve">מדד פריפריאליות </w:t>
      </w:r>
      <w:r>
        <w:rPr>
          <w:rFonts w:ascii="Times New Roman" w:eastAsia="Times New Roman" w:hAnsi="Times New Roman" w:cs="David"/>
          <w:color w:val="auto"/>
          <w:spacing w:val="0"/>
          <w:sz w:val="18"/>
          <w:szCs w:val="18"/>
          <w:lang w:eastAsia="he-IL"/>
        </w:rPr>
        <w:t xml:space="preserve"> </w:t>
      </w:r>
      <w:r>
        <w:rPr>
          <w:rFonts w:ascii="Times New Roman" w:eastAsia="Times New Roman" w:hAnsi="Times New Roman" w:cs="David" w:hint="cs"/>
          <w:color w:val="auto"/>
          <w:spacing w:val="0"/>
          <w:sz w:val="18"/>
          <w:szCs w:val="18"/>
          <w:rtl/>
          <w:lang w:eastAsia="he-IL"/>
        </w:rPr>
        <w:t xml:space="preserve">שמפרסמת הלשכה המרכזית לסטטיסטיקה -  </w:t>
      </w:r>
      <w:proofErr w:type="spellStart"/>
      <w:r w:rsidRPr="00182FC4">
        <w:rPr>
          <w:rFonts w:ascii="Times New Roman" w:eastAsia="Times New Roman" w:hAnsi="Times New Roman" w:cs="David"/>
          <w:color w:val="auto"/>
          <w:spacing w:val="0"/>
          <w:sz w:val="18"/>
          <w:szCs w:val="18"/>
          <w:lang w:eastAsia="he-IL"/>
        </w:rPr>
        <w:t>Peripheria</w:t>
      </w:r>
      <w:proofErr w:type="spellEnd"/>
      <w:r>
        <w:rPr>
          <w:rFonts w:ascii="Times New Roman" w:eastAsia="Times New Roman" w:hAnsi="Times New Roman" w:cs="David"/>
          <w:color w:val="auto"/>
          <w:spacing w:val="0"/>
          <w:sz w:val="18"/>
          <w:szCs w:val="18"/>
          <w:lang w:eastAsia="he-IL"/>
        </w:rPr>
        <w:t xml:space="preserve"> –</w:t>
      </w:r>
    </w:p>
    <w:p w:rsidR="005B472E" w:rsidRDefault="005B472E" w:rsidP="00996634">
      <w:pPr>
        <w:pStyle w:val="ad"/>
        <w:tabs>
          <w:tab w:val="left" w:pos="8747"/>
          <w:tab w:val="right" w:pos="9639"/>
        </w:tabs>
        <w:ind w:left="360" w:firstLine="0"/>
        <w:jc w:val="left"/>
        <w:rPr>
          <w:rFonts w:ascii="Times New Roman" w:eastAsia="Times New Roman" w:hAnsi="Times New Roman" w:cs="David"/>
          <w:color w:val="auto"/>
          <w:spacing w:val="0"/>
          <w:sz w:val="18"/>
          <w:szCs w:val="18"/>
          <w:rtl/>
          <w:lang w:eastAsia="he-IL"/>
        </w:rPr>
      </w:pPr>
      <w:r>
        <w:rPr>
          <w:rFonts w:ascii="Times New Roman" w:eastAsia="Times New Roman" w:hAnsi="Times New Roman" w:cs="David" w:hint="cs"/>
          <w:color w:val="auto"/>
          <w:spacing w:val="0"/>
          <w:sz w:val="18"/>
          <w:szCs w:val="18"/>
          <w:rtl/>
          <w:lang w:eastAsia="he-IL"/>
        </w:rPr>
        <w:t>מדד חברתי- כלכלי שמפרסמת ה</w:t>
      </w:r>
      <w:r w:rsidR="00B153C3">
        <w:rPr>
          <w:rFonts w:ascii="Times New Roman" w:eastAsia="Times New Roman" w:hAnsi="Times New Roman" w:cs="David" w:hint="cs"/>
          <w:color w:val="auto"/>
          <w:spacing w:val="0"/>
          <w:sz w:val="18"/>
          <w:szCs w:val="18"/>
          <w:rtl/>
          <w:lang w:eastAsia="he-IL"/>
        </w:rPr>
        <w:t xml:space="preserve">לשכה המרכזית לסטטיסטיקה - </w:t>
      </w:r>
      <w:r w:rsidR="00B153C3" w:rsidRPr="00182FC4">
        <w:rPr>
          <w:rFonts w:ascii="Times New Roman" w:eastAsia="Times New Roman" w:hAnsi="Times New Roman" w:cs="David"/>
          <w:color w:val="auto"/>
          <w:spacing w:val="0"/>
          <w:sz w:val="18"/>
          <w:szCs w:val="18"/>
          <w:lang w:eastAsia="he-IL"/>
        </w:rPr>
        <w:t>Socio</w:t>
      </w:r>
      <w:r>
        <w:rPr>
          <w:rFonts w:ascii="Times New Roman" w:eastAsia="Times New Roman" w:hAnsi="Times New Roman" w:cs="David"/>
          <w:color w:val="auto"/>
          <w:spacing w:val="0"/>
          <w:sz w:val="18"/>
          <w:szCs w:val="18"/>
          <w:lang w:eastAsia="he-IL"/>
        </w:rPr>
        <w:tab/>
      </w:r>
    </w:p>
    <w:p w:rsidR="00172FA1" w:rsidRDefault="005B472E" w:rsidP="00996634">
      <w:pPr>
        <w:pStyle w:val="ad"/>
        <w:ind w:left="360" w:firstLine="0"/>
        <w:jc w:val="right"/>
        <w:rPr>
          <w:rFonts w:ascii="Times New Roman" w:eastAsia="Times New Roman" w:hAnsi="Times New Roman" w:cs="David"/>
          <w:color w:val="auto"/>
          <w:spacing w:val="0"/>
          <w:sz w:val="18"/>
          <w:szCs w:val="18"/>
          <w:rtl/>
          <w:lang w:eastAsia="he-IL"/>
        </w:rPr>
      </w:pPr>
      <w:r>
        <w:rPr>
          <w:rFonts w:ascii="Times New Roman" w:eastAsia="Times New Roman" w:hAnsi="Times New Roman" w:cs="David"/>
          <w:color w:val="auto"/>
          <w:spacing w:val="0"/>
          <w:sz w:val="18"/>
          <w:szCs w:val="18"/>
          <w:lang w:eastAsia="he-IL"/>
        </w:rPr>
        <w:t xml:space="preserve"> </w:t>
      </w:r>
    </w:p>
    <w:p w:rsidR="005B472E" w:rsidRDefault="005B472E" w:rsidP="00996634">
      <w:pPr>
        <w:pStyle w:val="ad"/>
        <w:ind w:left="360" w:firstLine="0"/>
        <w:jc w:val="right"/>
        <w:rPr>
          <w:rFonts w:ascii="Times New Roman" w:eastAsia="Times New Roman" w:hAnsi="Times New Roman" w:cs="David"/>
          <w:color w:val="auto"/>
          <w:spacing w:val="0"/>
          <w:sz w:val="26"/>
          <w:szCs w:val="26"/>
          <w:rtl/>
          <w:lang w:eastAsia="he-IL"/>
        </w:rPr>
      </w:pPr>
      <w:r>
        <w:rPr>
          <w:rFonts w:ascii="Times New Roman" w:eastAsia="Times New Roman" w:hAnsi="Times New Roman" w:cs="David" w:hint="cs"/>
          <w:color w:val="auto"/>
          <w:spacing w:val="0"/>
          <w:sz w:val="18"/>
          <w:szCs w:val="18"/>
          <w:rtl/>
          <w:lang w:eastAsia="he-IL"/>
        </w:rPr>
        <w:t xml:space="preserve"> </w:t>
      </w:r>
    </w:p>
    <w:p w:rsidR="003E1E8C" w:rsidRDefault="00B153C3" w:rsidP="00996634">
      <w:pPr>
        <w:pStyle w:val="ad"/>
        <w:ind w:left="360" w:firstLine="0"/>
        <w:rPr>
          <w:rFonts w:ascii="Times New Roman" w:eastAsia="Times New Roman" w:hAnsi="Times New Roman" w:cs="David"/>
          <w:color w:val="auto"/>
          <w:spacing w:val="0"/>
          <w:sz w:val="26"/>
          <w:szCs w:val="26"/>
          <w:rtl/>
          <w:lang w:eastAsia="he-IL"/>
        </w:rPr>
      </w:pPr>
      <w:r>
        <w:rPr>
          <w:rFonts w:ascii="Times New Roman" w:eastAsia="Times New Roman" w:hAnsi="Times New Roman" w:cs="David" w:hint="cs"/>
          <w:color w:val="auto"/>
          <w:spacing w:val="0"/>
          <w:sz w:val="26"/>
          <w:szCs w:val="26"/>
          <w:rtl/>
          <w:lang w:eastAsia="he-IL"/>
        </w:rPr>
        <w:t>מוצע לקבוע ש</w:t>
      </w:r>
      <w:r w:rsidR="003E1E8C">
        <w:rPr>
          <w:rFonts w:ascii="Times New Roman" w:eastAsia="Times New Roman" w:hAnsi="Times New Roman" w:cs="David" w:hint="cs"/>
          <w:color w:val="auto"/>
          <w:spacing w:val="0"/>
          <w:sz w:val="26"/>
          <w:szCs w:val="26"/>
          <w:rtl/>
          <w:lang w:eastAsia="he-IL"/>
        </w:rPr>
        <w:t>שיעור המס בעד דירת המגורים יוכפל בשטח הדירה שמצוין בחיובי הארנונה ו</w:t>
      </w:r>
      <w:r w:rsidR="005B472E">
        <w:rPr>
          <w:rFonts w:ascii="Times New Roman" w:eastAsia="Times New Roman" w:hAnsi="Times New Roman" w:cs="David" w:hint="cs"/>
          <w:color w:val="auto"/>
          <w:spacing w:val="0"/>
          <w:sz w:val="26"/>
          <w:szCs w:val="26"/>
          <w:rtl/>
          <w:lang w:eastAsia="he-IL"/>
        </w:rPr>
        <w:t xml:space="preserve">הוא מוגבל לסכום של </w:t>
      </w:r>
      <w:r w:rsidR="003E1E8C" w:rsidRPr="00996634">
        <w:rPr>
          <w:rFonts w:ascii="Times New Roman" w:eastAsia="Times New Roman" w:hAnsi="Times New Roman" w:cs="David" w:hint="cs"/>
          <w:color w:val="auto"/>
          <w:spacing w:val="0"/>
          <w:sz w:val="26"/>
          <w:szCs w:val="26"/>
          <w:rtl/>
          <w:lang w:eastAsia="he-IL"/>
        </w:rPr>
        <w:t>1,500 ש"ח לחודש עבור דירה.</w:t>
      </w:r>
    </w:p>
    <w:p w:rsidR="00D5059C" w:rsidRPr="00996634" w:rsidRDefault="00D5059C" w:rsidP="00996634">
      <w:pPr>
        <w:pStyle w:val="ad"/>
        <w:ind w:firstLine="0"/>
        <w:rPr>
          <w:rFonts w:ascii="Times New Roman" w:eastAsia="Times New Roman" w:hAnsi="Times New Roman" w:cs="David"/>
          <w:color w:val="auto"/>
          <w:spacing w:val="0"/>
          <w:sz w:val="26"/>
          <w:szCs w:val="26"/>
          <w:rtl/>
          <w:lang w:eastAsia="he-IL"/>
        </w:rPr>
      </w:pPr>
    </w:p>
    <w:p w:rsidR="00DB6197" w:rsidRPr="00996634" w:rsidRDefault="005B472E" w:rsidP="00996634">
      <w:pPr>
        <w:pStyle w:val="Hesber1st"/>
        <w:tabs>
          <w:tab w:val="clear" w:pos="680"/>
        </w:tabs>
        <w:ind w:left="360"/>
        <w:rPr>
          <w:rFonts w:ascii="Times New Roman" w:eastAsia="Times New Roman" w:hAnsi="Times New Roman"/>
          <w:snapToGrid/>
          <w:color w:val="auto"/>
          <w:sz w:val="26"/>
          <w:rtl/>
          <w:lang w:eastAsia="he-IL"/>
        </w:rPr>
      </w:pPr>
      <w:r w:rsidRPr="00996634">
        <w:rPr>
          <w:rFonts w:ascii="Times New Roman" w:eastAsia="Times New Roman" w:hAnsi="Times New Roman" w:hint="cs"/>
          <w:snapToGrid/>
          <w:color w:val="auto"/>
          <w:sz w:val="26"/>
          <w:rtl/>
          <w:lang w:eastAsia="he-IL"/>
        </w:rPr>
        <w:t xml:space="preserve">עוד </w:t>
      </w:r>
      <w:r w:rsidR="00DB6197" w:rsidRPr="00996634">
        <w:rPr>
          <w:rFonts w:ascii="Times New Roman" w:eastAsia="Times New Roman" w:hAnsi="Times New Roman" w:hint="cs"/>
          <w:snapToGrid/>
          <w:color w:val="auto"/>
          <w:sz w:val="26"/>
          <w:rtl/>
          <w:lang w:eastAsia="he-IL"/>
        </w:rPr>
        <w:t>מוצע לקבוע הסדרים משלימים אשר יאפשרו את גביית המס. המערכת תופעל על ידי המנהל כהגדרתו בחוק מיסוי מקרקעין (שבח ורכישה), התשכ"ג-1963, ולצורך כך יינתנו לו הסמכויות הנדרשות. כמו כן, נקבעות הוראות לעניין שומה, תשלום המס וגבייתו, עונשין ו</w:t>
      </w:r>
      <w:r w:rsidR="000E19BA" w:rsidRPr="00996634">
        <w:rPr>
          <w:rFonts w:ascii="Times New Roman" w:eastAsia="Times New Roman" w:hAnsi="Times New Roman" w:hint="cs"/>
          <w:snapToGrid/>
          <w:color w:val="auto"/>
          <w:sz w:val="26"/>
          <w:rtl/>
          <w:lang w:eastAsia="he-IL"/>
        </w:rPr>
        <w:t>הוראות נוספות,</w:t>
      </w:r>
      <w:r w:rsidR="00DB6197" w:rsidRPr="00996634">
        <w:rPr>
          <w:rFonts w:ascii="Times New Roman" w:eastAsia="Times New Roman" w:hAnsi="Times New Roman" w:hint="cs"/>
          <w:snapToGrid/>
          <w:color w:val="auto"/>
          <w:sz w:val="26"/>
          <w:rtl/>
          <w:lang w:eastAsia="he-IL"/>
        </w:rPr>
        <w:t xml:space="preserve"> והכל כמפורט להלן.</w:t>
      </w:r>
    </w:p>
    <w:p w:rsidR="003E194C" w:rsidRPr="00454EF6" w:rsidRDefault="00B153C3" w:rsidP="001233B6">
      <w:pPr>
        <w:pStyle w:val="Hesber"/>
        <w:rPr>
          <w:rtl/>
        </w:rPr>
      </w:pPr>
      <w:r>
        <w:t xml:space="preserve"> </w:t>
      </w:r>
    </w:p>
    <w:p w:rsidR="009E1337" w:rsidRPr="00454EF6" w:rsidRDefault="002841E2">
      <w:pPr>
        <w:keepNext/>
        <w:keepLines/>
        <w:widowControl/>
        <w:numPr>
          <w:ilvl w:val="0"/>
          <w:numId w:val="4"/>
        </w:numPr>
        <w:autoSpaceDE/>
        <w:autoSpaceDN/>
        <w:adjustRightInd/>
        <w:snapToGrid w:val="0"/>
        <w:spacing w:before="0" w:afterLines="60" w:line="360" w:lineRule="auto"/>
        <w:contextualSpacing/>
        <w:textAlignment w:val="auto"/>
        <w:rPr>
          <w:rFonts w:ascii="Arial" w:eastAsia="Arial Unicode MS" w:hAnsi="Arial" w:cs="David"/>
          <w:b/>
          <w:bCs/>
          <w:snapToGrid w:val="0"/>
          <w:color w:val="auto"/>
          <w:spacing w:val="0"/>
          <w:sz w:val="26"/>
          <w:szCs w:val="26"/>
          <w:lang w:eastAsia="en-US"/>
        </w:rPr>
      </w:pPr>
      <w:r w:rsidRPr="00454EF6">
        <w:rPr>
          <w:rFonts w:ascii="Arial" w:eastAsia="Arial Unicode MS" w:hAnsi="Arial" w:cs="David" w:hint="cs"/>
          <w:b/>
          <w:bCs/>
          <w:snapToGrid w:val="0"/>
          <w:color w:val="auto"/>
          <w:spacing w:val="0"/>
          <w:sz w:val="26"/>
          <w:szCs w:val="26"/>
          <w:rtl/>
          <w:lang w:eastAsia="en-US"/>
        </w:rPr>
        <w:lastRenderedPageBreak/>
        <w:t>השפעת החוק המוצע על תקציב המדינה וההיבט המנהלי</w:t>
      </w:r>
    </w:p>
    <w:p w:rsidR="0033093C" w:rsidRPr="00454EF6" w:rsidRDefault="0033093C" w:rsidP="00DB6197">
      <w:pPr>
        <w:spacing w:line="360" w:lineRule="auto"/>
        <w:ind w:left="720" w:firstLine="6"/>
        <w:rPr>
          <w:rFonts w:cs="David"/>
          <w:sz w:val="24"/>
          <w:szCs w:val="24"/>
          <w:rtl/>
        </w:rPr>
      </w:pPr>
      <w:r w:rsidRPr="00454EF6">
        <w:rPr>
          <w:rFonts w:cs="David" w:hint="cs"/>
          <w:sz w:val="24"/>
          <w:szCs w:val="24"/>
          <w:rtl/>
        </w:rPr>
        <w:t xml:space="preserve">החוק המוצע צפוי להביא </w:t>
      </w:r>
      <w:r w:rsidR="00DB6197" w:rsidRPr="00454EF6">
        <w:rPr>
          <w:rFonts w:cs="David" w:hint="cs"/>
          <w:sz w:val="24"/>
          <w:szCs w:val="24"/>
          <w:rtl/>
        </w:rPr>
        <w:t>לגידול בהכנסות המדינה בגובה של 800 מיליון שקלים חדשים בשנה.</w:t>
      </w:r>
    </w:p>
    <w:p w:rsidR="00DB6197" w:rsidRPr="00454EF6" w:rsidRDefault="00DB6197" w:rsidP="00DB6197">
      <w:pPr>
        <w:spacing w:line="360" w:lineRule="auto"/>
        <w:ind w:left="720" w:firstLine="6"/>
        <w:rPr>
          <w:rFonts w:cs="David"/>
          <w:sz w:val="24"/>
          <w:szCs w:val="24"/>
          <w:rtl/>
        </w:rPr>
      </w:pPr>
      <w:r w:rsidRPr="00454EF6">
        <w:rPr>
          <w:rFonts w:cs="David" w:hint="cs"/>
          <w:sz w:val="24"/>
          <w:szCs w:val="24"/>
          <w:rtl/>
        </w:rPr>
        <w:t>לשם תפעול החוק המוצע יש צורך בתגבור כוח אדם ברשות המסים.</w:t>
      </w:r>
    </w:p>
    <w:p w:rsidR="00B153C3" w:rsidRPr="00454EF6" w:rsidRDefault="00B153C3" w:rsidP="00B153C3">
      <w:pPr>
        <w:keepNext/>
        <w:keepLines/>
        <w:widowControl/>
        <w:numPr>
          <w:ilvl w:val="0"/>
          <w:numId w:val="4"/>
        </w:numPr>
        <w:autoSpaceDE/>
        <w:autoSpaceDN/>
        <w:adjustRightInd/>
        <w:snapToGrid w:val="0"/>
        <w:spacing w:before="0" w:afterLines="60" w:line="360" w:lineRule="auto"/>
        <w:contextualSpacing/>
        <w:textAlignment w:val="auto"/>
        <w:rPr>
          <w:rFonts w:ascii="Arial" w:eastAsia="Arial Unicode MS" w:hAnsi="Arial" w:cs="David"/>
          <w:b/>
          <w:bCs/>
          <w:snapToGrid w:val="0"/>
          <w:color w:val="auto"/>
          <w:spacing w:val="0"/>
          <w:sz w:val="26"/>
          <w:szCs w:val="26"/>
          <w:lang w:eastAsia="en-US"/>
        </w:rPr>
      </w:pPr>
      <w:r w:rsidRPr="00454EF6">
        <w:rPr>
          <w:rFonts w:ascii="Arial" w:eastAsia="Arial Unicode MS" w:hAnsi="Arial" w:cs="David"/>
          <w:b/>
          <w:bCs/>
          <w:snapToGrid w:val="0"/>
          <w:color w:val="auto"/>
          <w:spacing w:val="0"/>
          <w:sz w:val="26"/>
          <w:szCs w:val="26"/>
          <w:rtl/>
          <w:lang w:eastAsia="en-US"/>
        </w:rPr>
        <w:t xml:space="preserve">השפעת החוק המוצע על </w:t>
      </w:r>
      <w:r w:rsidRPr="00454EF6">
        <w:rPr>
          <w:rFonts w:ascii="Arial" w:eastAsia="Arial Unicode MS" w:hAnsi="Arial" w:cs="David" w:hint="cs"/>
          <w:b/>
          <w:bCs/>
          <w:snapToGrid w:val="0"/>
          <w:color w:val="auto"/>
          <w:spacing w:val="0"/>
          <w:sz w:val="26"/>
          <w:szCs w:val="26"/>
          <w:rtl/>
          <w:lang w:eastAsia="en-US"/>
        </w:rPr>
        <w:t>החוק הקיים</w:t>
      </w:r>
    </w:p>
    <w:p w:rsidR="00B153C3" w:rsidRPr="00454EF6" w:rsidRDefault="00B153C3" w:rsidP="00B153C3">
      <w:pPr>
        <w:tabs>
          <w:tab w:val="num" w:pos="386"/>
        </w:tabs>
        <w:spacing w:line="360" w:lineRule="auto"/>
        <w:ind w:left="386"/>
        <w:rPr>
          <w:rFonts w:cs="David"/>
          <w:sz w:val="24"/>
          <w:szCs w:val="24"/>
          <w:rtl/>
        </w:rPr>
      </w:pPr>
      <w:r w:rsidRPr="00454EF6">
        <w:rPr>
          <w:rFonts w:cs="David" w:hint="cs"/>
          <w:sz w:val="24"/>
          <w:szCs w:val="24"/>
          <w:rtl/>
        </w:rPr>
        <w:t>תיקון חוק מיסוי מקרקעין (שבח ורכישה), התשכ"ג-1963.</w:t>
      </w:r>
    </w:p>
    <w:p w:rsidR="00B153C3" w:rsidRDefault="00B153C3" w:rsidP="00B153C3">
      <w:pPr>
        <w:pStyle w:val="ad"/>
        <w:numPr>
          <w:ilvl w:val="0"/>
          <w:numId w:val="40"/>
        </w:numPr>
        <w:spacing w:line="360" w:lineRule="auto"/>
        <w:textAlignment w:val="auto"/>
        <w:rPr>
          <w:rFonts w:cs="David"/>
          <w:b/>
          <w:bCs/>
          <w:sz w:val="26"/>
          <w:szCs w:val="26"/>
        </w:rPr>
      </w:pPr>
      <w:r>
        <w:rPr>
          <w:rFonts w:cs="David" w:hint="cs"/>
          <w:b/>
          <w:bCs/>
          <w:sz w:val="26"/>
          <w:szCs w:val="26"/>
          <w:rtl/>
        </w:rPr>
        <w:t>נוסח החוק המוצע</w:t>
      </w:r>
    </w:p>
    <w:p w:rsidR="009E1337" w:rsidRPr="00454EF6" w:rsidRDefault="009E1337">
      <w:pPr>
        <w:pStyle w:val="Hesber"/>
        <w:spacing w:afterLines="60"/>
        <w:ind w:firstLine="0"/>
      </w:pPr>
    </w:p>
    <w:p w:rsidR="009E1337" w:rsidRDefault="009E1337">
      <w:pPr>
        <w:widowControl/>
        <w:autoSpaceDE/>
        <w:autoSpaceDN/>
        <w:bidi w:val="0"/>
        <w:adjustRightInd/>
        <w:spacing w:before="0" w:line="240" w:lineRule="auto"/>
        <w:ind w:firstLine="0"/>
        <w:jc w:val="left"/>
        <w:textAlignment w:val="auto"/>
        <w:rPr>
          <w:b/>
          <w:bCs/>
          <w:rtl/>
        </w:rPr>
      </w:pPr>
    </w:p>
    <w:p w:rsidR="003622CB" w:rsidRPr="00454EF6" w:rsidRDefault="003622CB" w:rsidP="003622CB">
      <w:pPr>
        <w:snapToGrid w:val="0"/>
        <w:spacing w:before="240" w:line="360" w:lineRule="auto"/>
        <w:ind w:firstLine="0"/>
        <w:jc w:val="center"/>
        <w:rPr>
          <w:rFonts w:ascii="Arial" w:eastAsia="Arial Unicode MS" w:hAnsi="Arial" w:cs="David"/>
          <w:b/>
          <w:bCs/>
          <w:snapToGrid w:val="0"/>
          <w:spacing w:val="0"/>
          <w:sz w:val="26"/>
          <w:szCs w:val="26"/>
          <w:rtl/>
        </w:rPr>
      </w:pPr>
      <w:r>
        <w:rPr>
          <w:rFonts w:ascii="Arial" w:eastAsia="Arial Unicode MS" w:hAnsi="Arial" w:cs="David" w:hint="cs"/>
          <w:b/>
          <w:bCs/>
          <w:snapToGrid w:val="0"/>
          <w:spacing w:val="0"/>
          <w:sz w:val="26"/>
          <w:szCs w:val="26"/>
          <w:rtl/>
        </w:rPr>
        <w:t>תזכיר</w:t>
      </w:r>
      <w:r w:rsidRPr="00454EF6">
        <w:rPr>
          <w:rFonts w:ascii="Arial" w:eastAsia="Arial Unicode MS" w:hAnsi="Arial" w:cs="David" w:hint="cs"/>
          <w:b/>
          <w:bCs/>
          <w:snapToGrid w:val="0"/>
          <w:spacing w:val="0"/>
          <w:sz w:val="26"/>
          <w:szCs w:val="26"/>
          <w:rtl/>
        </w:rPr>
        <w:t xml:space="preserve"> חוק </w:t>
      </w:r>
      <w:r>
        <w:rPr>
          <w:rFonts w:ascii="Arial" w:eastAsia="Arial Unicode MS" w:hAnsi="Arial" w:cs="David" w:hint="cs"/>
          <w:b/>
          <w:bCs/>
          <w:snapToGrid w:val="0"/>
          <w:spacing w:val="0"/>
          <w:sz w:val="26"/>
          <w:szCs w:val="26"/>
          <w:rtl/>
        </w:rPr>
        <w:t>ההתייעלות הכלכלית</w:t>
      </w:r>
      <w:r w:rsidRPr="00454EF6">
        <w:rPr>
          <w:rFonts w:ascii="Arial" w:eastAsia="Arial Unicode MS" w:hAnsi="Arial" w:cs="David" w:hint="cs"/>
          <w:b/>
          <w:bCs/>
          <w:snapToGrid w:val="0"/>
          <w:spacing w:val="0"/>
          <w:sz w:val="26"/>
          <w:szCs w:val="26"/>
          <w:rtl/>
        </w:rPr>
        <w:t xml:space="preserve"> </w:t>
      </w:r>
      <w:r>
        <w:rPr>
          <w:rFonts w:ascii="Arial" w:eastAsia="Arial Unicode MS" w:hAnsi="Arial" w:cs="David" w:hint="cs"/>
          <w:b/>
          <w:bCs/>
          <w:snapToGrid w:val="0"/>
          <w:spacing w:val="0"/>
          <w:sz w:val="26"/>
          <w:szCs w:val="26"/>
          <w:rtl/>
        </w:rPr>
        <w:t>(תיקוני חקיקה לשנים 2017 ו-2018</w:t>
      </w:r>
      <w:r w:rsidRPr="00454EF6">
        <w:rPr>
          <w:rFonts w:ascii="Arial" w:eastAsia="Arial Unicode MS" w:hAnsi="Arial" w:cs="David" w:hint="cs"/>
          <w:b/>
          <w:bCs/>
          <w:snapToGrid w:val="0"/>
          <w:spacing w:val="0"/>
          <w:sz w:val="26"/>
          <w:szCs w:val="26"/>
          <w:rtl/>
        </w:rPr>
        <w:t xml:space="preserve">), התשע"ו-2016 </w:t>
      </w:r>
    </w:p>
    <w:p w:rsidR="003622CB" w:rsidRDefault="003622CB" w:rsidP="003622CB">
      <w:pPr>
        <w:snapToGrid w:val="0"/>
        <w:spacing w:before="240" w:line="360" w:lineRule="auto"/>
        <w:ind w:firstLine="0"/>
        <w:jc w:val="center"/>
        <w:rPr>
          <w:rFonts w:ascii="Arial" w:eastAsia="Arial Unicode MS" w:hAnsi="Arial" w:cs="David"/>
          <w:b/>
          <w:bCs/>
          <w:snapToGrid w:val="0"/>
          <w:spacing w:val="0"/>
          <w:sz w:val="26"/>
          <w:szCs w:val="26"/>
          <w:rtl/>
        </w:rPr>
      </w:pPr>
      <w:r w:rsidRPr="00454EF6">
        <w:rPr>
          <w:rFonts w:ascii="Arial" w:eastAsia="Arial Unicode MS" w:hAnsi="Arial" w:cs="David" w:hint="cs"/>
          <w:b/>
          <w:bCs/>
          <w:snapToGrid w:val="0"/>
          <w:spacing w:val="0"/>
          <w:sz w:val="26"/>
          <w:szCs w:val="26"/>
          <w:rtl/>
        </w:rPr>
        <w:t xml:space="preserve">פרק _': מס ריבוי נכסים </w:t>
      </w:r>
    </w:p>
    <w:p w:rsidR="003622CB" w:rsidRDefault="003622CB" w:rsidP="003622CB">
      <w:pPr>
        <w:widowControl/>
        <w:autoSpaceDE/>
        <w:autoSpaceDN/>
        <w:bidi w:val="0"/>
        <w:adjustRightInd/>
        <w:spacing w:before="0" w:line="240" w:lineRule="auto"/>
        <w:ind w:firstLine="0"/>
        <w:jc w:val="left"/>
        <w:textAlignment w:val="auto"/>
        <w:rPr>
          <w:b/>
          <w:bCs/>
          <w:rtl/>
        </w:rPr>
      </w:pPr>
      <w:bookmarkStart w:id="0" w:name="_GoBack"/>
      <w:bookmarkEnd w:id="0"/>
    </w:p>
    <w:p w:rsidR="003622CB" w:rsidRPr="00454EF6" w:rsidRDefault="003622CB" w:rsidP="003622CB">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0"/>
          <w:szCs w:val="26"/>
          <w:rtl/>
        </w:rPr>
      </w:pPr>
    </w:p>
    <w:tbl>
      <w:tblPr>
        <w:bidiVisual/>
        <w:tblW w:w="9641" w:type="dxa"/>
        <w:shd w:val="clear" w:color="auto" w:fill="FFFFFF" w:themeFill="background1"/>
        <w:tblLayout w:type="fixed"/>
        <w:tblCellMar>
          <w:top w:w="57" w:type="dxa"/>
          <w:left w:w="0" w:type="dxa"/>
          <w:bottom w:w="57" w:type="dxa"/>
          <w:right w:w="0" w:type="dxa"/>
        </w:tblCellMar>
        <w:tblLook w:val="01E0"/>
      </w:tblPr>
      <w:tblGrid>
        <w:gridCol w:w="1871"/>
        <w:gridCol w:w="624"/>
        <w:gridCol w:w="624"/>
        <w:gridCol w:w="36"/>
        <w:gridCol w:w="6486"/>
      </w:tblGrid>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pPr>
          </w:p>
        </w:tc>
        <w:tc>
          <w:tcPr>
            <w:tcW w:w="624" w:type="dxa"/>
            <w:shd w:val="clear" w:color="auto" w:fill="FFFFFF" w:themeFill="background1"/>
          </w:tcPr>
          <w:p w:rsidR="00454EF6" w:rsidRPr="00454EF6" w:rsidRDefault="00454EF6" w:rsidP="00DD5914">
            <w:pPr>
              <w:pStyle w:val="TableText"/>
              <w:keepLines w:val="0"/>
            </w:pPr>
          </w:p>
        </w:tc>
        <w:tc>
          <w:tcPr>
            <w:tcW w:w="7146" w:type="dxa"/>
            <w:gridSpan w:val="3"/>
            <w:shd w:val="clear" w:color="auto" w:fill="FFFFFF" w:themeFill="background1"/>
          </w:tcPr>
          <w:p w:rsidR="00454EF6" w:rsidRPr="00454EF6" w:rsidRDefault="00454EF6" w:rsidP="00426086">
            <w:pPr>
              <w:pStyle w:val="TableHead"/>
              <w:keepLines w:val="0"/>
            </w:pPr>
            <w:r w:rsidRPr="00454EF6">
              <w:rPr>
                <w:rFonts w:hint="cs"/>
                <w:rtl/>
              </w:rPr>
              <w:t xml:space="preserve">פרק </w:t>
            </w:r>
            <w:r w:rsidR="00426086">
              <w:rPr>
                <w:rFonts w:hint="cs"/>
                <w:rtl/>
              </w:rPr>
              <w:t>____</w:t>
            </w:r>
            <w:r w:rsidR="00426086" w:rsidRPr="00454EF6">
              <w:rPr>
                <w:rFonts w:hint="cs"/>
                <w:rtl/>
              </w:rPr>
              <w:t>'</w:t>
            </w:r>
            <w:r w:rsidRPr="00454EF6">
              <w:rPr>
                <w:rFonts w:hint="cs"/>
                <w:rtl/>
              </w:rPr>
              <w:t>- מס ריבוי נכסים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pPr>
          </w:p>
        </w:tc>
        <w:tc>
          <w:tcPr>
            <w:tcW w:w="624" w:type="dxa"/>
            <w:shd w:val="clear" w:color="auto" w:fill="FFFFFF" w:themeFill="background1"/>
          </w:tcPr>
          <w:p w:rsidR="00454EF6" w:rsidRPr="00454EF6" w:rsidRDefault="00454EF6" w:rsidP="00DD5914">
            <w:pPr>
              <w:pStyle w:val="TableText"/>
              <w:keepLines w:val="0"/>
            </w:pPr>
          </w:p>
        </w:tc>
        <w:tc>
          <w:tcPr>
            <w:tcW w:w="7146" w:type="dxa"/>
            <w:gridSpan w:val="3"/>
            <w:shd w:val="clear" w:color="auto" w:fill="FFFFFF" w:themeFill="background1"/>
          </w:tcPr>
          <w:p w:rsidR="00454EF6" w:rsidRPr="00454EF6" w:rsidRDefault="00454EF6" w:rsidP="00DD5914">
            <w:pPr>
              <w:pStyle w:val="TableHead"/>
              <w:rPr>
                <w:rtl/>
              </w:rPr>
            </w:pPr>
            <w:r w:rsidRPr="00454EF6">
              <w:rPr>
                <w:rFonts w:hint="cs"/>
                <w:rtl/>
              </w:rPr>
              <w:t>סימן א': הוראות כלליות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rPr>
                <w:rtl/>
              </w:rPr>
            </w:pPr>
            <w:r w:rsidRPr="00454EF6">
              <w:rPr>
                <w:rFonts w:hint="cs"/>
                <w:rtl/>
              </w:rPr>
              <w:t>הגדרות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 xml:space="preserve">בפרק זה </w:t>
            </w:r>
            <w:r w:rsidRPr="00454EF6">
              <w:rPr>
                <w:rtl/>
              </w:rPr>
              <w:t>–</w:t>
            </w:r>
            <w:r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אדם" </w:t>
            </w:r>
            <w:r w:rsidRPr="00454EF6">
              <w:rPr>
                <w:rtl/>
              </w:rPr>
              <w:t>–</w:t>
            </w:r>
            <w:r w:rsidRPr="00454EF6">
              <w:rPr>
                <w:rFonts w:hint="cs"/>
                <w:rtl/>
              </w:rPr>
              <w:t xml:space="preserve">  כהגדרתו בפקודה;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ארנונה" </w:t>
            </w:r>
            <w:r w:rsidRPr="00454EF6">
              <w:rPr>
                <w:rtl/>
              </w:rPr>
              <w:t>–</w:t>
            </w:r>
            <w:r w:rsidRPr="00454EF6">
              <w:rPr>
                <w:rFonts w:hint="cs"/>
                <w:rtl/>
              </w:rPr>
              <w:t xml:space="preserve"> ארנונה כללית כמשמעותה בסעיף 8 </w:t>
            </w:r>
            <w:r w:rsidRPr="00454EF6">
              <w:rPr>
                <w:rtl/>
              </w:rPr>
              <w:t>לחוק הסדרים במשק המדינה (תיקוני חקיקה להשגת יעדי התקציב), התשנ"ג-1992</w:t>
            </w:r>
            <w:r w:rsidRPr="00454EF6">
              <w:rPr>
                <w:rFonts w:hint="cs"/>
                <w:rtl/>
              </w:rPr>
              <w:t>;</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בעל" או "בעלות" של דירת מגורים </w:t>
            </w:r>
            <w:r w:rsidRPr="00454EF6">
              <w:rPr>
                <w:rtl/>
              </w:rPr>
              <w:t>–</w:t>
            </w:r>
            <w:r w:rsidRPr="00454EF6">
              <w:rPr>
                <w:rFonts w:hint="cs"/>
                <w:rtl/>
              </w:rPr>
              <w:t xml:space="preserve"> מי שיש לו זכות במקרקעין בדירת מגורים; החזיק אדם בשמו הוא בשביל אחר דירת מגורים לא יראו אותו כבעל דירת המגורים, ויראו את האדם שבשבילו מוחזקת דירת המגורים כבעל דירת המגורים.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keepLines w:val="0"/>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דירת מגורים" </w:t>
            </w:r>
            <w:r w:rsidRPr="00454EF6">
              <w:rPr>
                <w:rtl/>
              </w:rPr>
              <w:t>–</w:t>
            </w:r>
            <w:r w:rsidRPr="00454EF6">
              <w:rPr>
                <w:rStyle w:val="default"/>
                <w:rFonts w:cs="FrankRuehl" w:hint="cs"/>
                <w:rtl/>
              </w:rPr>
              <w:t xml:space="preserve"> </w:t>
            </w:r>
            <w:r w:rsidRPr="00454EF6">
              <w:rPr>
                <w:rtl/>
              </w:rPr>
              <w:t>דירה</w:t>
            </w:r>
            <w:r w:rsidRPr="00454EF6">
              <w:rPr>
                <w:rFonts w:hint="cs"/>
                <w:rtl/>
              </w:rPr>
              <w:t xml:space="preserve"> שבנייתה הושלמה</w:t>
            </w:r>
            <w:r w:rsidRPr="00454EF6">
              <w:rPr>
                <w:rtl/>
              </w:rPr>
              <w:t xml:space="preserve"> או </w:t>
            </w:r>
            <w:r w:rsidRPr="00454EF6">
              <w:rPr>
                <w:rFonts w:hint="cs"/>
                <w:rtl/>
              </w:rPr>
              <w:t>חלק</w:t>
            </w:r>
            <w:r w:rsidRPr="00454EF6">
              <w:rPr>
                <w:rtl/>
              </w:rPr>
              <w:t xml:space="preserve"> מדירה</w:t>
            </w:r>
            <w:r w:rsidRPr="00454EF6">
              <w:rPr>
                <w:rFonts w:hint="cs"/>
                <w:rtl/>
              </w:rPr>
              <w:t xml:space="preserve"> כאמור</w:t>
            </w:r>
            <w:r w:rsidRPr="00454EF6">
              <w:rPr>
                <w:rtl/>
              </w:rPr>
              <w:t xml:space="preserve"> </w:t>
            </w:r>
            <w:r w:rsidRPr="00454EF6">
              <w:rPr>
                <w:rFonts w:hint="cs"/>
                <w:rtl/>
              </w:rPr>
              <w:t xml:space="preserve">העולה על שליש, </w:t>
            </w:r>
            <w:r w:rsidRPr="00454EF6">
              <w:rPr>
                <w:rtl/>
              </w:rPr>
              <w:t>בישראל או באזור</w:t>
            </w:r>
            <w:r w:rsidRPr="00454EF6">
              <w:rPr>
                <w:rFonts w:hint="cs"/>
                <w:rtl/>
              </w:rPr>
              <w:t xml:space="preserve"> כהגדרתו בסעיף 3א לפקודה</w:t>
            </w:r>
            <w:r w:rsidRPr="00454EF6">
              <w:rPr>
                <w:rtl/>
              </w:rPr>
              <w:t>, המיועדת ל</w:t>
            </w:r>
            <w:r w:rsidRPr="00454EF6">
              <w:rPr>
                <w:rFonts w:hint="cs"/>
                <w:rtl/>
              </w:rPr>
              <w:t>שמש ל</w:t>
            </w:r>
            <w:r w:rsidRPr="00454EF6">
              <w:rPr>
                <w:rtl/>
              </w:rPr>
              <w:t xml:space="preserve">מגורים לפי </w:t>
            </w:r>
            <w:r w:rsidRPr="00454EF6">
              <w:rPr>
                <w:rFonts w:hint="cs"/>
                <w:rtl/>
              </w:rPr>
              <w:t>ה</w:t>
            </w:r>
            <w:r w:rsidRPr="00454EF6">
              <w:rPr>
                <w:rtl/>
              </w:rPr>
              <w:t xml:space="preserve">תכנית </w:t>
            </w:r>
            <w:r w:rsidRPr="00454EF6">
              <w:rPr>
                <w:rFonts w:hint="cs"/>
                <w:rtl/>
              </w:rPr>
              <w:t xml:space="preserve">החלה עליה לפי </w:t>
            </w:r>
            <w:r w:rsidRPr="00454EF6">
              <w:rPr>
                <w:rtl/>
              </w:rPr>
              <w:t>חוק התכנון והבנייה</w:t>
            </w:r>
            <w:r w:rsidRPr="00454EF6">
              <w:rPr>
                <w:rFonts w:hint="cs"/>
                <w:rtl/>
              </w:rPr>
              <w:t>,</w:t>
            </w:r>
            <w:r w:rsidRPr="00454EF6">
              <w:rPr>
                <w:rtl/>
              </w:rPr>
              <w:t xml:space="preserve"> אשר מתקיימים בה כל אלה: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23"/>
              </w:numPr>
              <w:tabs>
                <w:tab w:val="left" w:pos="624"/>
              </w:tabs>
            </w:pPr>
            <w:r w:rsidRPr="00454EF6">
              <w:rPr>
                <w:rFonts w:hint="cs"/>
                <w:rtl/>
              </w:rPr>
              <w:t>היא אינה דירה המהווה מלאי עסקי לעניין מס הכנסה;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23"/>
              </w:numPr>
              <w:tabs>
                <w:tab w:val="left" w:pos="624"/>
              </w:tabs>
              <w:rPr>
                <w:rtl/>
              </w:rPr>
            </w:pPr>
            <w:r w:rsidRPr="00454EF6">
              <w:rPr>
                <w:rFonts w:hint="cs"/>
                <w:rtl/>
              </w:rPr>
              <w:t>היא לא הושכרה למגורים בשכירות מוגנת;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pPr>
            <w:r w:rsidRPr="00454EF6">
              <w:rPr>
                <w:rtl/>
              </w:rPr>
              <w:t>"</w:t>
            </w:r>
            <w:r w:rsidRPr="00454EF6">
              <w:rPr>
                <w:rFonts w:hint="cs"/>
                <w:rtl/>
              </w:rPr>
              <w:t xml:space="preserve">חוק מיסוי מקרקעין" </w:t>
            </w:r>
            <w:r w:rsidRPr="00454EF6">
              <w:rPr>
                <w:rtl/>
              </w:rPr>
              <w:t>–</w:t>
            </w:r>
            <w:r w:rsidRPr="00454EF6">
              <w:rPr>
                <w:rFonts w:hint="cs"/>
                <w:rtl/>
              </w:rPr>
              <w:t xml:space="preserve"> </w:t>
            </w:r>
            <w:r w:rsidRPr="00454EF6">
              <w:rPr>
                <w:rtl/>
              </w:rPr>
              <w:t>חוק מיסוי מקרקעין (שבח ורכישה), תשכ"ג-1963</w:t>
            </w:r>
            <w:r w:rsidRPr="00454EF6">
              <w:rPr>
                <w:rFonts w:hint="cs"/>
                <w:rtl/>
              </w:rPr>
              <w:t>;</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חייב במס" </w:t>
            </w:r>
            <w:r w:rsidRPr="00454EF6">
              <w:rPr>
                <w:rtl/>
              </w:rPr>
              <w:t>–</w:t>
            </w:r>
            <w:r w:rsidRPr="00454EF6">
              <w:rPr>
                <w:rFonts w:hint="cs"/>
                <w:rtl/>
              </w:rPr>
              <w:t xml:space="preserve"> </w:t>
            </w:r>
            <w:r w:rsidRPr="00454EF6">
              <w:rPr>
                <w:rtl/>
              </w:rPr>
              <w:t>יחיד שהוא בעלים של שלוש דירות מגורים או יותר</w:t>
            </w:r>
            <w:r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Fonts w:hint="cs"/>
                <w:rtl/>
              </w:rPr>
              <w:t xml:space="preserve">"מס", </w:t>
            </w:r>
            <w:r w:rsidRPr="00454EF6">
              <w:rPr>
                <w:rtl/>
              </w:rPr>
              <w:t>"</w:t>
            </w:r>
            <w:r w:rsidRPr="00454EF6">
              <w:rPr>
                <w:rFonts w:hint="cs"/>
                <w:rtl/>
              </w:rPr>
              <w:t xml:space="preserve">מס ריבוי דירות" </w:t>
            </w:r>
            <w:r w:rsidRPr="00454EF6">
              <w:rPr>
                <w:rtl/>
              </w:rPr>
              <w:t>–</w:t>
            </w:r>
            <w:r w:rsidRPr="00454EF6">
              <w:rPr>
                <w:rFonts w:hint="cs"/>
                <w:rtl/>
              </w:rPr>
              <w:t xml:space="preserve"> מס המוטל לפי פרק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snapToGrid/>
                <w:rtl/>
              </w:rPr>
              <w:t xml:space="preserve">מדד </w:t>
            </w:r>
            <w:r w:rsidRPr="00454EF6">
              <w:rPr>
                <w:rFonts w:hint="cs"/>
                <w:rtl/>
              </w:rPr>
              <w:t>חברתי-כלכלי", לגבי דירת מגורים</w:t>
            </w:r>
            <w:r w:rsidRPr="00454EF6">
              <w:rPr>
                <w:rFonts w:hint="cs"/>
                <w:snapToGrid/>
                <w:rtl/>
              </w:rPr>
              <w:t xml:space="preserve"> </w:t>
            </w:r>
            <w:r w:rsidRPr="00454EF6">
              <w:rPr>
                <w:rtl/>
              </w:rPr>
              <w:t>–</w:t>
            </w:r>
            <w:r w:rsidRPr="00454EF6">
              <w:rPr>
                <w:rFonts w:hint="cs"/>
                <w:snapToGrid/>
                <w:rtl/>
              </w:rPr>
              <w:t xml:space="preserve"> </w:t>
            </w:r>
            <w:r w:rsidRPr="00454EF6">
              <w:rPr>
                <w:rFonts w:hint="cs"/>
                <w:rtl/>
              </w:rPr>
              <w:t xml:space="preserve">מדד חברתי כלכלי של </w:t>
            </w:r>
            <w:proofErr w:type="spellStart"/>
            <w:r w:rsidRPr="00454EF6">
              <w:rPr>
                <w:rFonts w:hint="cs"/>
                <w:rtl/>
              </w:rPr>
              <w:t>האיזורים</w:t>
            </w:r>
            <w:proofErr w:type="spellEnd"/>
            <w:r w:rsidRPr="00454EF6">
              <w:rPr>
                <w:rFonts w:hint="cs"/>
                <w:rtl/>
              </w:rPr>
              <w:t xml:space="preserve"> </w:t>
            </w:r>
            <w:r w:rsidRPr="00454EF6">
              <w:rPr>
                <w:snapToGrid/>
                <w:rtl/>
              </w:rPr>
              <w:t>הסטטיסטיים של הרשויות המקומיות בישראל</w:t>
            </w:r>
            <w:r w:rsidRPr="00454EF6">
              <w:rPr>
                <w:rFonts w:hint="cs"/>
                <w:rtl/>
              </w:rPr>
              <w:t xml:space="preserve"> כפי שמופיעה בפרסומי הלשכה המרכזית לסטטיסטיקה </w:t>
            </w:r>
            <w:proofErr w:type="spellStart"/>
            <w:r w:rsidRPr="00454EF6">
              <w:rPr>
                <w:rFonts w:hint="cs"/>
                <w:rtl/>
              </w:rPr>
              <w:t>באיזור</w:t>
            </w:r>
            <w:proofErr w:type="spellEnd"/>
            <w:r w:rsidRPr="00454EF6">
              <w:rPr>
                <w:rFonts w:hint="cs"/>
                <w:rtl/>
              </w:rPr>
              <w:t xml:space="preserve"> שבו ממוקמת דירת המגורים;</w:t>
            </w:r>
          </w:p>
        </w:tc>
      </w:tr>
      <w:tr w:rsidR="00B560EC" w:rsidRPr="00454EF6" w:rsidTr="00454EF6">
        <w:trPr>
          <w:cantSplit/>
          <w:trHeight w:val="60"/>
        </w:trPr>
        <w:tc>
          <w:tcPr>
            <w:tcW w:w="1871" w:type="dxa"/>
            <w:shd w:val="clear" w:color="auto" w:fill="FFFFFF" w:themeFill="background1"/>
          </w:tcPr>
          <w:p w:rsidR="00B560EC" w:rsidRPr="00454EF6" w:rsidRDefault="00B560EC" w:rsidP="00DD5914">
            <w:pPr>
              <w:pStyle w:val="TableSideHeading"/>
            </w:pPr>
          </w:p>
        </w:tc>
        <w:tc>
          <w:tcPr>
            <w:tcW w:w="624" w:type="dxa"/>
            <w:shd w:val="clear" w:color="auto" w:fill="FFFFFF" w:themeFill="background1"/>
          </w:tcPr>
          <w:p w:rsidR="00B560EC" w:rsidRPr="00454EF6" w:rsidRDefault="00B560EC" w:rsidP="00DD5914">
            <w:pPr>
              <w:pStyle w:val="TableText"/>
            </w:pPr>
          </w:p>
        </w:tc>
        <w:tc>
          <w:tcPr>
            <w:tcW w:w="7146" w:type="dxa"/>
            <w:gridSpan w:val="3"/>
            <w:shd w:val="clear" w:color="auto" w:fill="FFFFFF" w:themeFill="background1"/>
          </w:tcPr>
          <w:p w:rsidR="00B560EC" w:rsidRPr="00B560EC" w:rsidRDefault="00B560EC" w:rsidP="00B560EC">
            <w:pPr>
              <w:pStyle w:val="TableBlock"/>
              <w:rPr>
                <w:rtl/>
              </w:rPr>
            </w:pPr>
            <w:r>
              <w:rPr>
                <w:rFonts w:hint="cs"/>
                <w:rtl/>
              </w:rPr>
              <w:t xml:space="preserve">"מדד מחירי הדירות" - </w:t>
            </w:r>
            <w:r w:rsidR="006020B8">
              <w:rPr>
                <w:rFonts w:hint="cs"/>
                <w:rtl/>
              </w:rPr>
              <w:t>מדד מחירי הדירות כפי שמפרסמת הלשכה המרכזית לסטטיסטיקה;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Outdent"/>
              <w:rPr>
                <w:rtl/>
              </w:rPr>
            </w:pPr>
            <w:r w:rsidRPr="00454EF6">
              <w:rPr>
                <w:rtl/>
              </w:rPr>
              <w:t>"</w:t>
            </w:r>
            <w:r w:rsidRPr="00454EF6">
              <w:rPr>
                <w:rFonts w:hint="cs"/>
                <w:rtl/>
              </w:rPr>
              <w:t xml:space="preserve">מדד פריפריאליות", לגבי דירת מגורים - </w:t>
            </w:r>
            <w:r w:rsidRPr="00454EF6">
              <w:rPr>
                <w:rtl/>
              </w:rPr>
              <w:t>מדד פריפריאליות של רשויות מקומיות</w:t>
            </w:r>
            <w:r w:rsidRPr="00454EF6">
              <w:rPr>
                <w:rFonts w:hint="cs"/>
                <w:rtl/>
              </w:rPr>
              <w:t xml:space="preserve">, כפי שמופיעה בפרסומי הלשכה המרכזית לסטטיסטיקה </w:t>
            </w:r>
            <w:proofErr w:type="spellStart"/>
            <w:r w:rsidRPr="00454EF6">
              <w:rPr>
                <w:rFonts w:hint="cs"/>
                <w:rtl/>
              </w:rPr>
              <w:t>באיזור</w:t>
            </w:r>
            <w:proofErr w:type="spellEnd"/>
            <w:r w:rsidRPr="00454EF6">
              <w:rPr>
                <w:rFonts w:hint="cs"/>
                <w:rtl/>
              </w:rPr>
              <w:t xml:space="preserve"> שבו ממוקמת דירת המגורים;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B560EC">
            <w:pPr>
              <w:pStyle w:val="TableBlockOutdent"/>
              <w:rPr>
                <w:rtl/>
              </w:rPr>
            </w:pPr>
            <w:r w:rsidRPr="00454EF6">
              <w:rPr>
                <w:rtl/>
              </w:rPr>
              <w:t xml:space="preserve">"פרסומי הלשכה המרכזית לסטטיסטיקה" </w:t>
            </w:r>
            <w:r w:rsidR="00B560EC">
              <w:rPr>
                <w:rFonts w:hint="cs"/>
                <w:rtl/>
              </w:rPr>
              <w:t>-</w:t>
            </w:r>
            <w:r w:rsidR="00B560EC" w:rsidRPr="00454EF6">
              <w:rPr>
                <w:rtl/>
              </w:rPr>
              <w:t xml:space="preserve"> </w:t>
            </w:r>
            <w:r w:rsidRPr="00454EF6">
              <w:rPr>
                <w:rtl/>
              </w:rPr>
              <w:t>הנתונים המופיעים בפרסומי הלשכה המרכזית לסטטיסטיקה הידועים ב-31 בדצמבר שלפני שנת המס שלגביה ניתן הזיכוי לפי סעיף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פרשנות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tl/>
              </w:rPr>
              <w:t>לכל מונח ב</w:t>
            </w:r>
            <w:r w:rsidRPr="00454EF6">
              <w:rPr>
                <w:rFonts w:hint="cs"/>
                <w:rtl/>
              </w:rPr>
              <w:t>פרק</w:t>
            </w:r>
            <w:r w:rsidRPr="00454EF6">
              <w:rPr>
                <w:rtl/>
              </w:rPr>
              <w:t xml:space="preserve"> זה תהיה המשמעות הנודעת לו בחוק </w:t>
            </w:r>
            <w:r w:rsidRPr="00454EF6">
              <w:rPr>
                <w:rFonts w:hint="cs"/>
                <w:rtl/>
              </w:rPr>
              <w:t>מיסוי מקרקעין</w:t>
            </w:r>
            <w:r w:rsidRPr="00454EF6">
              <w:rPr>
                <w:rtl/>
              </w:rPr>
              <w:t>, אלא אם כן נקבע</w:t>
            </w:r>
            <w:r w:rsidRPr="00454EF6">
              <w:rPr>
                <w:rFonts w:hint="cs"/>
                <w:rtl/>
              </w:rPr>
              <w:t xml:space="preserve"> </w:t>
            </w:r>
            <w:r w:rsidRPr="00454EF6">
              <w:rPr>
                <w:rtl/>
              </w:rPr>
              <w:t>במפורש אחרת.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Head"/>
              <w:rPr>
                <w:rtl/>
              </w:rPr>
            </w:pPr>
            <w:r w:rsidRPr="00454EF6">
              <w:rPr>
                <w:rFonts w:hint="cs"/>
                <w:rtl/>
              </w:rPr>
              <w:t>סימן ב': מס ריבוי דירות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 xml:space="preserve">מס ריבוי דירות </w:t>
            </w:r>
          </w:p>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24"/>
              </w:numPr>
            </w:pPr>
            <w:r w:rsidRPr="00454EF6">
              <w:rPr>
                <w:rFonts w:hint="cs"/>
                <w:rtl/>
              </w:rPr>
              <w:t>חייב במס ישלם בכל שנת מס, מס ריבוי דירות בעד כל דירת מגורים אשר הייתה בבעלותו במועד כלשהו בשנת המס למעט שתי דירות מגורים על פי בחירתו.</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0E1F1B">
            <w:pPr>
              <w:pStyle w:val="TableBlock"/>
              <w:numPr>
                <w:ilvl w:val="0"/>
                <w:numId w:val="24"/>
              </w:numPr>
              <w:tabs>
                <w:tab w:val="left" w:pos="624"/>
              </w:tabs>
              <w:rPr>
                <w:rtl/>
              </w:rPr>
            </w:pPr>
            <w:r w:rsidRPr="00454EF6">
              <w:rPr>
                <w:rFonts w:hint="cs"/>
                <w:rtl/>
              </w:rPr>
              <w:t xml:space="preserve">על אף האמור בסעיף קטן (א), חייב במס שהדירה שבשלה הוא משלם מס (להלן </w:t>
            </w:r>
            <w:r w:rsidRPr="00454EF6">
              <w:rPr>
                <w:rtl/>
              </w:rPr>
              <w:t>–</w:t>
            </w:r>
            <w:r w:rsidRPr="00454EF6">
              <w:rPr>
                <w:rFonts w:hint="cs"/>
                <w:rtl/>
              </w:rPr>
              <w:t xml:space="preserve"> דירה חייבת) הייתה בבעלות </w:t>
            </w:r>
            <w:r w:rsidRPr="00454EF6">
              <w:rPr>
                <w:rtl/>
              </w:rPr>
              <w:t>רק בחלק משנת המס, ישלם חלק יחסי ממס ריבוי הדירות</w:t>
            </w:r>
            <w:r w:rsidRPr="00454EF6">
              <w:rPr>
                <w:rFonts w:hint="cs"/>
                <w:rtl/>
              </w:rPr>
              <w:t xml:space="preserve"> השנתי שנקבע לפי הוראות סעיף 4</w:t>
            </w:r>
            <w:r w:rsidRPr="00454EF6">
              <w:rPr>
                <w:rtl/>
              </w:rPr>
              <w:t xml:space="preserve">, כיחס </w:t>
            </w:r>
            <w:r w:rsidRPr="00454EF6">
              <w:rPr>
                <w:rFonts w:hint="cs"/>
                <w:rtl/>
              </w:rPr>
              <w:t xml:space="preserve">התקופה כקבוע להלן </w:t>
            </w:r>
            <w:r w:rsidRPr="00454EF6">
              <w:rPr>
                <w:rtl/>
              </w:rPr>
              <w:t>ל-</w:t>
            </w:r>
            <w:r w:rsidRPr="00454EF6">
              <w:rPr>
                <w:rFonts w:hint="cs"/>
                <w:rtl/>
              </w:rPr>
              <w:t>365, על דירה כקבוע להלן</w:t>
            </w:r>
            <w:r w:rsidRPr="00454EF6">
              <w:rPr>
                <w:rtl/>
              </w:rPr>
              <w:t>:</w:t>
            </w:r>
            <w:r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60" w:type="dxa"/>
            <w:gridSpan w:val="2"/>
            <w:shd w:val="clear" w:color="auto" w:fill="FFFFFF" w:themeFill="background1"/>
          </w:tcPr>
          <w:p w:rsidR="00454EF6" w:rsidRPr="00454EF6" w:rsidRDefault="00454EF6" w:rsidP="00DD5914">
            <w:pPr>
              <w:pStyle w:val="TableBlock"/>
              <w:tabs>
                <w:tab w:val="clear" w:pos="624"/>
              </w:tabs>
              <w:rPr>
                <w:rtl/>
              </w:rPr>
            </w:pPr>
          </w:p>
        </w:tc>
        <w:tc>
          <w:tcPr>
            <w:tcW w:w="6486" w:type="dxa"/>
            <w:shd w:val="clear" w:color="auto" w:fill="FFFFFF" w:themeFill="background1"/>
          </w:tcPr>
          <w:p w:rsidR="00454EF6" w:rsidRPr="00454EF6" w:rsidRDefault="00454EF6" w:rsidP="00454EF6">
            <w:pPr>
              <w:pStyle w:val="TableBlock"/>
              <w:numPr>
                <w:ilvl w:val="1"/>
                <w:numId w:val="6"/>
              </w:numPr>
              <w:rPr>
                <w:rtl/>
              </w:rPr>
            </w:pPr>
            <w:r w:rsidRPr="00454EF6">
              <w:rPr>
                <w:rFonts w:hint="cs"/>
                <w:rtl/>
              </w:rPr>
              <w:t>חייב במס אשר נוספה לו דירת מגורים בשנת המס, ישלם מס ריבוי דירות על דירת המגורים הנוספת, או דירה אחרת אשר יבחר בה, לתקופה שמיום רכישת הדירה ועד סוף השנה או מועד מכירתה, לפי המוקדם.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60" w:type="dxa"/>
            <w:gridSpan w:val="2"/>
            <w:shd w:val="clear" w:color="auto" w:fill="FFFFFF" w:themeFill="background1"/>
          </w:tcPr>
          <w:p w:rsidR="00454EF6" w:rsidRPr="00454EF6" w:rsidRDefault="00454EF6" w:rsidP="00DD5914">
            <w:pPr>
              <w:pStyle w:val="TableBlock"/>
              <w:tabs>
                <w:tab w:val="clear" w:pos="624"/>
              </w:tabs>
              <w:rPr>
                <w:rtl/>
              </w:rPr>
            </w:pPr>
          </w:p>
        </w:tc>
        <w:tc>
          <w:tcPr>
            <w:tcW w:w="6486" w:type="dxa"/>
            <w:shd w:val="clear" w:color="auto" w:fill="FFFFFF" w:themeFill="background1"/>
          </w:tcPr>
          <w:p w:rsidR="00454EF6" w:rsidRPr="00454EF6" w:rsidRDefault="00454EF6" w:rsidP="00454EF6">
            <w:pPr>
              <w:pStyle w:val="TableBlock"/>
              <w:numPr>
                <w:ilvl w:val="1"/>
                <w:numId w:val="6"/>
              </w:numPr>
              <w:rPr>
                <w:rtl/>
              </w:rPr>
            </w:pPr>
            <w:r w:rsidRPr="00454EF6">
              <w:rPr>
                <w:rFonts w:hint="cs"/>
                <w:rtl/>
              </w:rPr>
              <w:t xml:space="preserve">מי שהפך לחייב במס בשל התווספות דירת מגורים במהלך שנת המס לדירות שבבעלותו, ישלם מס ריבוי דירות כאמור בסעיף קטן (א), על הדירה הנוספת, או דירה אחרת אשר יבחר בה, לתקופה שמיום שהפך לחייב במס ועד סוף השנה או יום מכירתה, לפי המוקדם.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60" w:type="dxa"/>
            <w:gridSpan w:val="2"/>
            <w:shd w:val="clear" w:color="auto" w:fill="FFFFFF" w:themeFill="background1"/>
          </w:tcPr>
          <w:p w:rsidR="00454EF6" w:rsidRPr="00454EF6" w:rsidRDefault="00454EF6" w:rsidP="00DD5914">
            <w:pPr>
              <w:pStyle w:val="TableBlock"/>
              <w:tabs>
                <w:tab w:val="clear" w:pos="624"/>
              </w:tabs>
              <w:rPr>
                <w:rtl/>
              </w:rPr>
            </w:pPr>
          </w:p>
        </w:tc>
        <w:tc>
          <w:tcPr>
            <w:tcW w:w="6486" w:type="dxa"/>
            <w:shd w:val="clear" w:color="auto" w:fill="FFFFFF" w:themeFill="background1"/>
          </w:tcPr>
          <w:p w:rsidR="00454EF6" w:rsidRPr="00454EF6" w:rsidRDefault="00454EF6" w:rsidP="00454EF6">
            <w:pPr>
              <w:pStyle w:val="TableBlock"/>
              <w:numPr>
                <w:ilvl w:val="1"/>
                <w:numId w:val="6"/>
              </w:numPr>
              <w:rPr>
                <w:rtl/>
              </w:rPr>
            </w:pPr>
            <w:r w:rsidRPr="00454EF6">
              <w:rPr>
                <w:rFonts w:hint="cs"/>
                <w:rtl/>
              </w:rPr>
              <w:t xml:space="preserve">חייב במס שמכר דירה חייבת ישלם מס על הדירה החייבת לגבי התקופה מתחילת חיובה במס ריבוי דירות ועד למכירת הדירה בלבד.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60" w:type="dxa"/>
            <w:gridSpan w:val="2"/>
            <w:shd w:val="clear" w:color="auto" w:fill="FFFFFF" w:themeFill="background1"/>
          </w:tcPr>
          <w:p w:rsidR="00454EF6" w:rsidRPr="00454EF6" w:rsidRDefault="00454EF6" w:rsidP="00DD5914">
            <w:pPr>
              <w:pStyle w:val="TableBlock"/>
              <w:tabs>
                <w:tab w:val="clear" w:pos="624"/>
              </w:tabs>
              <w:rPr>
                <w:rtl/>
              </w:rPr>
            </w:pPr>
          </w:p>
        </w:tc>
        <w:tc>
          <w:tcPr>
            <w:tcW w:w="6486" w:type="dxa"/>
            <w:shd w:val="clear" w:color="auto" w:fill="FFFFFF" w:themeFill="background1"/>
          </w:tcPr>
          <w:p w:rsidR="00454EF6" w:rsidRPr="00454EF6" w:rsidRDefault="00454EF6" w:rsidP="00996634">
            <w:pPr>
              <w:pStyle w:val="TableBlock"/>
              <w:numPr>
                <w:ilvl w:val="1"/>
                <w:numId w:val="6"/>
              </w:numPr>
              <w:rPr>
                <w:rtl/>
              </w:rPr>
            </w:pPr>
            <w:r w:rsidRPr="00454EF6">
              <w:rPr>
                <w:rFonts w:hint="cs"/>
                <w:rtl/>
              </w:rPr>
              <w:t>חייב במס אשר מכר דירה שאינה חייבת, ישלם מס על דירה חייבת בבעלותו אשר יבחר בה בהצהרתו לפי סעיף 9, לתקופה שמתחילת חיובה במס ריבוי דירות, ועד מועד מכירת הדירה שאינה חייבת בלבד</w:t>
            </w:r>
            <w:r w:rsidR="00996634">
              <w:rPr>
                <w:rFonts w:hint="cs"/>
                <w:rtl/>
              </w:rPr>
              <w:t>.</w:t>
            </w:r>
            <w:r w:rsidR="00996634"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סכום המס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8766BB">
            <w:pPr>
              <w:pStyle w:val="TableBlock"/>
              <w:numPr>
                <w:ilvl w:val="0"/>
                <w:numId w:val="35"/>
              </w:numPr>
              <w:tabs>
                <w:tab w:val="left" w:pos="624"/>
              </w:tabs>
            </w:pPr>
            <w:r w:rsidRPr="00454EF6">
              <w:rPr>
                <w:rFonts w:hint="cs"/>
                <w:rtl/>
              </w:rPr>
              <w:t xml:space="preserve">מס ריבוי דירות </w:t>
            </w:r>
            <w:r w:rsidR="0071017D">
              <w:rPr>
                <w:rFonts w:hint="cs"/>
                <w:rtl/>
              </w:rPr>
              <w:t xml:space="preserve">יעמוד על שיעור </w:t>
            </w:r>
            <w:r w:rsidRPr="00454EF6">
              <w:rPr>
                <w:rFonts w:hint="cs"/>
                <w:rtl/>
              </w:rPr>
              <w:t xml:space="preserve">של 1% </w:t>
            </w:r>
            <w:r w:rsidR="003F1970">
              <w:rPr>
                <w:rFonts w:hint="cs"/>
                <w:rtl/>
              </w:rPr>
              <w:t>מ</w:t>
            </w:r>
            <w:r w:rsidRPr="00454EF6">
              <w:rPr>
                <w:rFonts w:hint="cs"/>
                <w:rtl/>
              </w:rPr>
              <w:t>סכום</w:t>
            </w:r>
            <w:r w:rsidR="003F1970">
              <w:rPr>
                <w:rFonts w:hint="cs"/>
                <w:rtl/>
              </w:rPr>
              <w:t xml:space="preserve"> של 15,148 שקלים </w:t>
            </w:r>
            <w:r w:rsidR="00FC48D1">
              <w:rPr>
                <w:rFonts w:hint="cs"/>
                <w:rtl/>
              </w:rPr>
              <w:t xml:space="preserve">כשהוא מוכפל </w:t>
            </w:r>
            <w:r w:rsidR="003F1970">
              <w:rPr>
                <w:rFonts w:hint="cs"/>
                <w:rtl/>
              </w:rPr>
              <w:t xml:space="preserve">בשטח דירת המגורים כפי שמופיע בחיובי הארנונה </w:t>
            </w:r>
            <w:r w:rsidR="00FC48D1">
              <w:rPr>
                <w:rFonts w:hint="cs"/>
                <w:rtl/>
              </w:rPr>
              <w:t xml:space="preserve">ובמקדם. </w:t>
            </w:r>
          </w:p>
        </w:tc>
      </w:tr>
      <w:tr w:rsidR="00FC48D1" w:rsidRPr="00454EF6" w:rsidTr="00454EF6">
        <w:trPr>
          <w:cantSplit/>
          <w:trHeight w:val="60"/>
        </w:trPr>
        <w:tc>
          <w:tcPr>
            <w:tcW w:w="1871" w:type="dxa"/>
            <w:shd w:val="clear" w:color="auto" w:fill="FFFFFF" w:themeFill="background1"/>
          </w:tcPr>
          <w:p w:rsidR="00FC48D1" w:rsidRPr="00454EF6" w:rsidRDefault="00FC48D1" w:rsidP="00DD5914">
            <w:pPr>
              <w:pStyle w:val="TableSideHeading"/>
              <w:rPr>
                <w:rtl/>
              </w:rPr>
            </w:pPr>
          </w:p>
        </w:tc>
        <w:tc>
          <w:tcPr>
            <w:tcW w:w="624" w:type="dxa"/>
            <w:shd w:val="clear" w:color="auto" w:fill="FFFFFF" w:themeFill="background1"/>
          </w:tcPr>
          <w:p w:rsidR="00FC48D1" w:rsidRPr="00454EF6" w:rsidRDefault="00FC48D1" w:rsidP="00996634">
            <w:pPr>
              <w:pStyle w:val="TableText"/>
            </w:pPr>
          </w:p>
        </w:tc>
        <w:tc>
          <w:tcPr>
            <w:tcW w:w="7146" w:type="dxa"/>
            <w:gridSpan w:val="3"/>
            <w:shd w:val="clear" w:color="auto" w:fill="FFFFFF" w:themeFill="background1"/>
          </w:tcPr>
          <w:p w:rsidR="00FC48D1" w:rsidRPr="00454EF6" w:rsidRDefault="00FC48D1" w:rsidP="00FC48D1">
            <w:pPr>
              <w:pStyle w:val="TableBlock"/>
              <w:numPr>
                <w:ilvl w:val="0"/>
                <w:numId w:val="35"/>
              </w:numPr>
              <w:tabs>
                <w:tab w:val="left" w:pos="624"/>
              </w:tabs>
              <w:rPr>
                <w:rtl/>
              </w:rPr>
            </w:pPr>
            <w:r w:rsidRPr="00454EF6">
              <w:rPr>
                <w:rFonts w:hint="cs"/>
                <w:rtl/>
              </w:rPr>
              <w:t>על אף האמור בסעיף קטן (א), שיעור מס ריבוי הדירות לא יעלה על 18,000 שקלים חדשים בשנה בעד כל דירה.</w:t>
            </w:r>
          </w:p>
        </w:tc>
      </w:tr>
      <w:tr w:rsidR="00FC48D1" w:rsidRPr="00454EF6" w:rsidTr="00454EF6">
        <w:trPr>
          <w:cantSplit/>
          <w:trHeight w:val="60"/>
        </w:trPr>
        <w:tc>
          <w:tcPr>
            <w:tcW w:w="1871" w:type="dxa"/>
            <w:shd w:val="clear" w:color="auto" w:fill="FFFFFF" w:themeFill="background1"/>
          </w:tcPr>
          <w:p w:rsidR="00FC48D1" w:rsidRPr="00454EF6" w:rsidRDefault="00FC48D1" w:rsidP="00DD5914">
            <w:pPr>
              <w:pStyle w:val="TableSideHeading"/>
              <w:rPr>
                <w:rtl/>
              </w:rPr>
            </w:pPr>
          </w:p>
        </w:tc>
        <w:tc>
          <w:tcPr>
            <w:tcW w:w="624" w:type="dxa"/>
            <w:shd w:val="clear" w:color="auto" w:fill="FFFFFF" w:themeFill="background1"/>
          </w:tcPr>
          <w:p w:rsidR="00FC48D1" w:rsidRPr="00454EF6" w:rsidRDefault="00FC48D1" w:rsidP="00B153C3">
            <w:pPr>
              <w:pStyle w:val="TableText"/>
            </w:pPr>
          </w:p>
        </w:tc>
        <w:tc>
          <w:tcPr>
            <w:tcW w:w="7146" w:type="dxa"/>
            <w:gridSpan w:val="3"/>
            <w:shd w:val="clear" w:color="auto" w:fill="FFFFFF" w:themeFill="background1"/>
          </w:tcPr>
          <w:p w:rsidR="00FC48D1" w:rsidRPr="00454EF6" w:rsidRDefault="00FC48D1" w:rsidP="00FC48D1">
            <w:pPr>
              <w:pStyle w:val="TableBlock"/>
              <w:numPr>
                <w:ilvl w:val="0"/>
                <w:numId w:val="35"/>
              </w:numPr>
              <w:tabs>
                <w:tab w:val="left" w:pos="624"/>
              </w:tabs>
              <w:rPr>
                <w:rtl/>
              </w:rPr>
            </w:pPr>
            <w:r w:rsidRPr="00454EF6">
              <w:rPr>
                <w:rFonts w:hint="cs"/>
                <w:rtl/>
              </w:rPr>
              <w:t>שיעור מס ריבוי דירות שישלם חייב במס שהוא בעל</w:t>
            </w:r>
            <w:r w:rsidRPr="00454EF6">
              <w:rPr>
                <w:rtl/>
              </w:rPr>
              <w:t xml:space="preserve"> חלק </w:t>
            </w:r>
            <w:r w:rsidRPr="00454EF6">
              <w:rPr>
                <w:rFonts w:hint="cs"/>
                <w:rtl/>
              </w:rPr>
              <w:t>מדירת מגורים</w:t>
            </w:r>
            <w:r w:rsidRPr="00454EF6">
              <w:rPr>
                <w:rtl/>
              </w:rPr>
              <w:t xml:space="preserve"> </w:t>
            </w:r>
            <w:r w:rsidRPr="00454EF6">
              <w:rPr>
                <w:rFonts w:hint="cs"/>
                <w:rtl/>
              </w:rPr>
              <w:t>יעמוד על הסכום שבסעיף קטן (א) כשהוא מוכפל בשיעור בעלותו בדירה.</w:t>
            </w:r>
          </w:p>
        </w:tc>
      </w:tr>
      <w:tr w:rsidR="00FC48D1" w:rsidRPr="00454EF6" w:rsidTr="00454EF6">
        <w:trPr>
          <w:cantSplit/>
          <w:trHeight w:val="60"/>
        </w:trPr>
        <w:tc>
          <w:tcPr>
            <w:tcW w:w="1871" w:type="dxa"/>
            <w:shd w:val="clear" w:color="auto" w:fill="FFFFFF" w:themeFill="background1"/>
          </w:tcPr>
          <w:p w:rsidR="00FC48D1" w:rsidRPr="00454EF6" w:rsidRDefault="00FC48D1" w:rsidP="00DD5914">
            <w:pPr>
              <w:pStyle w:val="TableSideHeading"/>
              <w:rPr>
                <w:rtl/>
              </w:rPr>
            </w:pPr>
          </w:p>
        </w:tc>
        <w:tc>
          <w:tcPr>
            <w:tcW w:w="624" w:type="dxa"/>
            <w:shd w:val="clear" w:color="auto" w:fill="FFFFFF" w:themeFill="background1"/>
          </w:tcPr>
          <w:p w:rsidR="00FC48D1" w:rsidRPr="00454EF6" w:rsidRDefault="00FC48D1" w:rsidP="00B153C3">
            <w:pPr>
              <w:pStyle w:val="TableText"/>
            </w:pPr>
          </w:p>
        </w:tc>
        <w:tc>
          <w:tcPr>
            <w:tcW w:w="7146" w:type="dxa"/>
            <w:gridSpan w:val="3"/>
            <w:shd w:val="clear" w:color="auto" w:fill="FFFFFF" w:themeFill="background1"/>
          </w:tcPr>
          <w:p w:rsidR="00FC48D1" w:rsidRPr="00454EF6" w:rsidRDefault="00FC48D1" w:rsidP="00FC48D1">
            <w:pPr>
              <w:pStyle w:val="TableBlock"/>
              <w:numPr>
                <w:ilvl w:val="0"/>
                <w:numId w:val="35"/>
              </w:numPr>
              <w:tabs>
                <w:tab w:val="left" w:pos="624"/>
              </w:tabs>
              <w:rPr>
                <w:rtl/>
              </w:rPr>
            </w:pPr>
            <w:r w:rsidRPr="00454EF6">
              <w:rPr>
                <w:rFonts w:hint="cs"/>
                <w:rtl/>
              </w:rPr>
              <w:t xml:space="preserve">הסכום הנקוב בסעיף קטן (א) יתואם בהתאם לשינוי מדד </w:t>
            </w:r>
            <w:r>
              <w:rPr>
                <w:rFonts w:hint="cs"/>
                <w:rtl/>
              </w:rPr>
              <w:t>מחירי</w:t>
            </w:r>
            <w:r w:rsidRPr="00454EF6">
              <w:rPr>
                <w:rFonts w:hint="cs"/>
                <w:rtl/>
              </w:rPr>
              <w:t xml:space="preserve"> </w:t>
            </w:r>
            <w:r>
              <w:rPr>
                <w:rFonts w:hint="cs"/>
                <w:rtl/>
              </w:rPr>
              <w:t>ה</w:t>
            </w:r>
            <w:r w:rsidRPr="00454EF6">
              <w:rPr>
                <w:rFonts w:hint="cs"/>
                <w:rtl/>
              </w:rPr>
              <w:t>דיר</w:t>
            </w:r>
            <w:r>
              <w:rPr>
                <w:rFonts w:hint="cs"/>
                <w:rtl/>
              </w:rPr>
              <w:t>ות</w:t>
            </w:r>
            <w:r w:rsidRPr="00454EF6">
              <w:rPr>
                <w:rFonts w:hint="cs"/>
                <w:rtl/>
              </w:rPr>
              <w:t>, של כל שנה, לפי שיעור עליית המדד האמור לעומת המדד של השנה הקודמת</w:t>
            </w:r>
            <w:r>
              <w:rPr>
                <w:rFonts w:hint="cs"/>
                <w:rtl/>
              </w:rPr>
              <w:t xml:space="preserve">; </w:t>
            </w:r>
            <w:r w:rsidRPr="00454EF6">
              <w:rPr>
                <w:rFonts w:hint="cs"/>
                <w:rtl/>
              </w:rPr>
              <w:t>הסכום שהותאם כאמור יעוגל לסכום הקרוב שהוא מכפלה של 10 שקלים חדשים.</w:t>
            </w:r>
          </w:p>
        </w:tc>
      </w:tr>
      <w:tr w:rsidR="00FC48D1" w:rsidRPr="00454EF6" w:rsidTr="00454EF6">
        <w:trPr>
          <w:cantSplit/>
          <w:trHeight w:val="60"/>
        </w:trPr>
        <w:tc>
          <w:tcPr>
            <w:tcW w:w="1871" w:type="dxa"/>
            <w:shd w:val="clear" w:color="auto" w:fill="FFFFFF" w:themeFill="background1"/>
          </w:tcPr>
          <w:p w:rsidR="00FC48D1" w:rsidRPr="00454EF6" w:rsidRDefault="00FC48D1" w:rsidP="00DD5914">
            <w:pPr>
              <w:pStyle w:val="TableSideHeading"/>
              <w:rPr>
                <w:rtl/>
              </w:rPr>
            </w:pPr>
          </w:p>
        </w:tc>
        <w:tc>
          <w:tcPr>
            <w:tcW w:w="624" w:type="dxa"/>
            <w:shd w:val="clear" w:color="auto" w:fill="FFFFFF" w:themeFill="background1"/>
          </w:tcPr>
          <w:p w:rsidR="00FC48D1" w:rsidRPr="00454EF6" w:rsidRDefault="00FC48D1" w:rsidP="00996634">
            <w:pPr>
              <w:pStyle w:val="TableText"/>
            </w:pPr>
          </w:p>
        </w:tc>
        <w:tc>
          <w:tcPr>
            <w:tcW w:w="7146" w:type="dxa"/>
            <w:gridSpan w:val="3"/>
            <w:shd w:val="clear" w:color="auto" w:fill="FFFFFF" w:themeFill="background1"/>
          </w:tcPr>
          <w:p w:rsidR="00FC48D1" w:rsidRPr="00454EF6" w:rsidRDefault="00FC48D1" w:rsidP="00996634">
            <w:pPr>
              <w:pStyle w:val="TableBlock"/>
              <w:tabs>
                <w:tab w:val="clear" w:pos="624"/>
              </w:tabs>
              <w:rPr>
                <w:rtl/>
              </w:rPr>
            </w:pPr>
            <w:r>
              <w:rPr>
                <w:rFonts w:hint="cs"/>
                <w:rtl/>
              </w:rPr>
              <w:t xml:space="preserve">בסעיף זה, "מקדם" - 1.49 בהפחתת מדד פריפריה בשיעור של 23.62% ומדד </w:t>
            </w:r>
            <w:r w:rsidR="00BF76A4">
              <w:rPr>
                <w:rFonts w:hint="cs"/>
                <w:rtl/>
              </w:rPr>
              <w:t xml:space="preserve">חברתי-כלכלי </w:t>
            </w:r>
            <w:r>
              <w:rPr>
                <w:rFonts w:hint="cs"/>
                <w:rtl/>
              </w:rPr>
              <w:t>בשיעור של 1.037%, בתוספת 2.38% ממדד פריפריאליות בחזקת 2 ו0.66% ממדד חברתי-כלכלי בחזקת 2 ובתוספת 0.42% ממדד הפריפריאליות שהוא מוכפל במדד חברתי-כלכלי.</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חזקות חלוטות לעניין בעלות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 xml:space="preserve">לעניין פרק זה -  </w:t>
            </w:r>
          </w:p>
        </w:tc>
      </w:tr>
      <w:tr w:rsidR="00426086" w:rsidRPr="00454EF6" w:rsidTr="00974AEE">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5"/>
              </w:numPr>
              <w:tabs>
                <w:tab w:val="left" w:pos="624"/>
              </w:tabs>
            </w:pPr>
            <w:r w:rsidRPr="00454EF6">
              <w:rPr>
                <w:rFonts w:hint="cs"/>
                <w:rtl/>
              </w:rPr>
              <w:t xml:space="preserve">יראו כדירת מגורים בבעלותו של יחיד גם דירת מגורים שהיא בבעלותו של איגוד, שליחיד יש באמצעות זכויות באיגוד, במישרין או בעקיפין, חלק בבעלות בה. </w:t>
            </w:r>
            <w:proofErr w:type="spellStart"/>
            <w:r w:rsidRPr="00454EF6">
              <w:rPr>
                <w:rFonts w:hint="cs"/>
                <w:rtl/>
              </w:rPr>
              <w:t>לענין</w:t>
            </w:r>
            <w:proofErr w:type="spellEnd"/>
            <w:r w:rsidRPr="00454EF6">
              <w:rPr>
                <w:rFonts w:hint="cs"/>
                <w:rtl/>
              </w:rPr>
              <w:t xml:space="preserve"> זה, "זכויות" </w:t>
            </w:r>
            <w:r w:rsidRPr="00454EF6">
              <w:rPr>
                <w:rtl/>
              </w:rPr>
              <w:t>–</w:t>
            </w:r>
            <w:r w:rsidRPr="00454EF6">
              <w:rPr>
                <w:rFonts w:hint="cs"/>
                <w:rtl/>
              </w:rPr>
              <w:t xml:space="preserve"> לרבות כל אחד מאלה, זכות לקבלת נכסי האיגוד בעת פירוקו, הזכות לקבל רווחים והזכות למנות מנהלים.  </w:t>
            </w:r>
          </w:p>
        </w:tc>
      </w:tr>
      <w:tr w:rsidR="00426086" w:rsidRPr="00454EF6" w:rsidTr="00D41191">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5"/>
              </w:numPr>
              <w:tabs>
                <w:tab w:val="left" w:pos="624"/>
              </w:tabs>
              <w:rPr>
                <w:rtl/>
              </w:rPr>
            </w:pPr>
            <w:r w:rsidRPr="00454EF6">
              <w:rPr>
                <w:rFonts w:hint="cs"/>
                <w:rtl/>
              </w:rPr>
              <w:t>על אף האמור בכל דין ובכל הסכם, יראו יחיד ובן זוגו, למעט בן זוג הגר דרך קבע בנפרד, וילדיהם שטרם מלאו להם 18 שנים, כבעלים אחד.</w:t>
            </w:r>
          </w:p>
        </w:tc>
      </w:tr>
      <w:tr w:rsidR="00454EF6" w:rsidRPr="00454EF6" w:rsidTr="00454EF6">
        <w:trPr>
          <w:cantSplit/>
          <w:trHeight w:val="60"/>
        </w:trPr>
        <w:tc>
          <w:tcPr>
            <w:tcW w:w="1871" w:type="dxa"/>
            <w:shd w:val="clear" w:color="auto" w:fill="FFFFFF" w:themeFill="background1"/>
          </w:tcPr>
          <w:p w:rsidR="00454EF6" w:rsidRPr="00454EF6" w:rsidRDefault="00454EF6" w:rsidP="00B153C3">
            <w:pPr>
              <w:pStyle w:val="TableSideHeading"/>
            </w:pPr>
            <w:r w:rsidRPr="00454EF6">
              <w:rPr>
                <w:rFonts w:hint="cs"/>
                <w:rtl/>
              </w:rPr>
              <w:t xml:space="preserve">דירות מגורים אשר לא </w:t>
            </w:r>
            <w:r w:rsidR="00426086" w:rsidRPr="00454EF6">
              <w:rPr>
                <w:rFonts w:hint="cs"/>
                <w:rtl/>
              </w:rPr>
              <w:t>יי</w:t>
            </w:r>
            <w:r w:rsidR="00426086">
              <w:rPr>
                <w:rFonts w:hint="cs"/>
                <w:rtl/>
              </w:rPr>
              <w:t>מנו</w:t>
            </w:r>
            <w:r w:rsidR="00426086" w:rsidRPr="00454EF6">
              <w:rPr>
                <w:rFonts w:hint="cs"/>
                <w:rtl/>
              </w:rPr>
              <w:t xml:space="preserve"> </w:t>
            </w:r>
            <w:r w:rsidRPr="00454EF6">
              <w:rPr>
                <w:rFonts w:hint="cs"/>
                <w:rtl/>
              </w:rPr>
              <w:t>לצורך הטלת המס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B153C3">
            <w:pPr>
              <w:pStyle w:val="TableBlock"/>
            </w:pPr>
            <w:r w:rsidRPr="00454EF6">
              <w:rPr>
                <w:rFonts w:hint="cs"/>
                <w:rtl/>
              </w:rPr>
              <w:t xml:space="preserve">דירות המגורים המנויות להלן לא </w:t>
            </w:r>
            <w:r w:rsidR="00426086" w:rsidRPr="00454EF6">
              <w:rPr>
                <w:rFonts w:hint="cs"/>
                <w:rtl/>
              </w:rPr>
              <w:t>יי</w:t>
            </w:r>
            <w:r w:rsidR="00426086">
              <w:rPr>
                <w:rFonts w:hint="cs"/>
                <w:rtl/>
              </w:rPr>
              <w:t>מנו</w:t>
            </w:r>
            <w:r w:rsidR="00426086" w:rsidRPr="00454EF6">
              <w:rPr>
                <w:rFonts w:hint="cs"/>
                <w:rtl/>
              </w:rPr>
              <w:t xml:space="preserve"> </w:t>
            </w:r>
            <w:r w:rsidRPr="00454EF6">
              <w:rPr>
                <w:rFonts w:hint="cs"/>
                <w:rtl/>
              </w:rPr>
              <w:t xml:space="preserve">כדירות מגורים לצורך הטלת מס ריבוי דירות: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26"/>
              </w:numPr>
              <w:tabs>
                <w:tab w:val="left" w:pos="624"/>
              </w:tabs>
              <w:rPr>
                <w:rtl/>
              </w:rPr>
            </w:pPr>
            <w:r w:rsidRPr="00454EF6">
              <w:rPr>
                <w:rFonts w:hint="cs"/>
                <w:rtl/>
              </w:rPr>
              <w:t>דירת מגורים בבעלותו של מוסד ללא כוונת רווח כהגדרתו בחוק מס ערך מוסף;</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B153C3">
            <w:pPr>
              <w:pStyle w:val="TableBlock"/>
              <w:numPr>
                <w:ilvl w:val="0"/>
                <w:numId w:val="26"/>
              </w:numPr>
              <w:tabs>
                <w:tab w:val="left" w:pos="624"/>
              </w:tabs>
              <w:rPr>
                <w:rtl/>
              </w:rPr>
            </w:pPr>
            <w:r w:rsidRPr="00454EF6">
              <w:rPr>
                <w:rFonts w:hint="cs"/>
                <w:rtl/>
              </w:rPr>
              <w:t>דירת מגורים שבעל</w:t>
            </w:r>
            <w:r w:rsidR="00426086">
              <w:rPr>
                <w:rFonts w:hint="cs"/>
                <w:rtl/>
              </w:rPr>
              <w:t>י</w:t>
            </w:r>
            <w:r w:rsidRPr="00454EF6">
              <w:rPr>
                <w:rFonts w:hint="cs"/>
                <w:rtl/>
              </w:rPr>
              <w:t>ה, זכאי להטבות בשלה לפי פרק שביעי 1 לחוק לעידוד השקעות הון, התשי"ט-1959, בשנים שבהן זכאי להטבות כאמור</w:t>
            </w:r>
            <w:r w:rsidR="00F64906">
              <w:rPr>
                <w:rFonts w:hint="cs"/>
                <w:rtl/>
              </w:rPr>
              <w:t>;</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26"/>
              </w:numPr>
              <w:tabs>
                <w:tab w:val="left" w:pos="624"/>
              </w:tabs>
              <w:rPr>
                <w:rtl/>
              </w:rPr>
            </w:pPr>
            <w:r w:rsidRPr="00454EF6">
              <w:rPr>
                <w:rFonts w:hint="cs"/>
                <w:rtl/>
              </w:rPr>
              <w:t xml:space="preserve">דירת מגורים שמשמשת להשכרה לטווח ארוך לפי מכרז שפרסמה המדינה או החברה הממשלתית לדיור ולהשכרה.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Head"/>
            </w:pPr>
            <w:r w:rsidRPr="00454EF6">
              <w:rPr>
                <w:rFonts w:hint="cs"/>
                <w:rtl/>
              </w:rPr>
              <w:t xml:space="preserve">סימן ג':  הצהרות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הצהרה</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עד ליום ה-30 בינואר בכל שנה, יגיש הצהרה מי שהיה חייב במס ב-1 בינואר של השנה שבה מוגשת ההצהרה, שבה יפרט את כל אלה, לפי טופס אשר יקבע המנהל:</w:t>
            </w:r>
          </w:p>
        </w:tc>
      </w:tr>
      <w:tr w:rsidR="00426086" w:rsidRPr="00454EF6" w:rsidTr="0059139B">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7"/>
              </w:numPr>
              <w:tabs>
                <w:tab w:val="left" w:pos="624"/>
              </w:tabs>
            </w:pPr>
            <w:r w:rsidRPr="00454EF6">
              <w:rPr>
                <w:rFonts w:hint="cs"/>
                <w:rtl/>
              </w:rPr>
              <w:t>פרטים ביחס לכל דירת מגורים שבבעלותו;</w:t>
            </w:r>
          </w:p>
        </w:tc>
      </w:tr>
      <w:tr w:rsidR="00426086" w:rsidRPr="00454EF6" w:rsidTr="00B749C4">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7"/>
              </w:numPr>
              <w:tabs>
                <w:tab w:val="left" w:pos="624"/>
              </w:tabs>
              <w:rPr>
                <w:rtl/>
              </w:rPr>
            </w:pPr>
            <w:r w:rsidRPr="00454EF6">
              <w:rPr>
                <w:rFonts w:hint="cs"/>
                <w:rtl/>
              </w:rPr>
              <w:t xml:space="preserve">דירות המגורים שבשלן ישולם מס ריבוי הדירות; </w:t>
            </w:r>
          </w:p>
        </w:tc>
      </w:tr>
      <w:tr w:rsidR="00426086" w:rsidRPr="00454EF6" w:rsidTr="00CB33AA">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7"/>
              </w:numPr>
              <w:tabs>
                <w:tab w:val="left" w:pos="624"/>
              </w:tabs>
            </w:pPr>
            <w:r w:rsidRPr="00454EF6">
              <w:rPr>
                <w:rFonts w:hint="cs"/>
                <w:rtl/>
              </w:rPr>
              <w:t>סכום המס המגיע, ודרך חישובו.</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הצהרה על שינוי</w:t>
            </w:r>
          </w:p>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 xml:space="preserve">חייב במס אשר הפך לבעלים של דירת מגורים או שהפסיק להיות בעלים של דירת מגורים, וכן מי שהפך להיות חייב במס, יגיש למנהל הצהרה כאמור בסעיף 7 תוך 20 ימים מיום קרות האירוע כאמור.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סופיות בחירת הדירה החייב</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בחר חייב במס דירות מגורים שבשלן ישלם את מס ריבוי הדירות, כאמור בסעיף 7(2) או 8, לא יהא רשאי לשנות את בחירתו באותה שנה.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אופן ההגשה</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28"/>
              </w:numPr>
              <w:tabs>
                <w:tab w:val="left" w:pos="624"/>
              </w:tabs>
              <w:rPr>
                <w:rtl/>
              </w:rPr>
            </w:pPr>
            <w:r w:rsidRPr="00454EF6">
              <w:rPr>
                <w:rFonts w:hint="cs"/>
                <w:rtl/>
              </w:rPr>
              <w:t>הצהרות לפי פרק זה יוגשו באופן מקוון בהתאם לכללים אשר יקבע המנהל.</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28"/>
              </w:numPr>
              <w:tabs>
                <w:tab w:val="left" w:pos="624"/>
              </w:tabs>
              <w:rPr>
                <w:rtl/>
              </w:rPr>
            </w:pPr>
            <w:r w:rsidRPr="00454EF6">
              <w:rPr>
                <w:rtl/>
              </w:rPr>
              <w:t xml:space="preserve">על אף האמור בסעיף קטן (א), </w:t>
            </w:r>
            <w:r w:rsidRPr="00454EF6">
              <w:rPr>
                <w:rFonts w:hint="cs"/>
                <w:rtl/>
              </w:rPr>
              <w:t xml:space="preserve">מי שפטור מחובת הגשת הצהרה לפי סעיף 73 לחוק מיסוי מקרקעין באופן מקוון, יהא </w:t>
            </w:r>
            <w:r w:rsidRPr="00454EF6">
              <w:rPr>
                <w:rtl/>
              </w:rPr>
              <w:t xml:space="preserve">פטור </w:t>
            </w:r>
            <w:r w:rsidRPr="00454EF6">
              <w:rPr>
                <w:rFonts w:hint="cs"/>
                <w:rtl/>
              </w:rPr>
              <w:t>מ</w:t>
            </w:r>
            <w:r w:rsidRPr="00454EF6">
              <w:rPr>
                <w:rtl/>
              </w:rPr>
              <w:t>הגש</w:t>
            </w:r>
            <w:r w:rsidRPr="00454EF6">
              <w:rPr>
                <w:rFonts w:hint="cs"/>
                <w:rtl/>
              </w:rPr>
              <w:t xml:space="preserve">ת הצהרה </w:t>
            </w:r>
            <w:r w:rsidRPr="00454EF6">
              <w:rPr>
                <w:rtl/>
              </w:rPr>
              <w:t>באופן מקוון</w:t>
            </w:r>
            <w:r w:rsidRPr="00454EF6">
              <w:rPr>
                <w:rFonts w:hint="cs"/>
                <w:rtl/>
              </w:rPr>
              <w:t xml:space="preserve"> גם לעניין פרק זה</w:t>
            </w:r>
            <w:r w:rsidRPr="00454EF6">
              <w:rPr>
                <w:rtl/>
              </w:rPr>
              <w:t>.</w:t>
            </w:r>
            <w:r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28"/>
              </w:numPr>
              <w:tabs>
                <w:tab w:val="left" w:pos="624"/>
              </w:tabs>
              <w:rPr>
                <w:rtl/>
              </w:rPr>
            </w:pPr>
            <w:r w:rsidRPr="00454EF6">
              <w:rPr>
                <w:rFonts w:hint="cs"/>
                <w:rtl/>
              </w:rPr>
              <w:t>הצהרה או הודעה</w:t>
            </w:r>
            <w:r w:rsidRPr="00454EF6">
              <w:rPr>
                <w:rtl/>
              </w:rPr>
              <w:t xml:space="preserve"> </w:t>
            </w:r>
            <w:proofErr w:type="spellStart"/>
            <w:r w:rsidRPr="00454EF6">
              <w:rPr>
                <w:rtl/>
              </w:rPr>
              <w:t>שהיתה</w:t>
            </w:r>
            <w:proofErr w:type="spellEnd"/>
            <w:r w:rsidRPr="00454EF6">
              <w:rPr>
                <w:rtl/>
              </w:rPr>
              <w:t xml:space="preserve"> חובה להגישם באופן מקוון ולא הוגשו בדרך זו, יראו אותם כאילו לא הוגשו.</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Head"/>
            </w:pPr>
            <w:r w:rsidRPr="00454EF6">
              <w:rPr>
                <w:rFonts w:hint="cs"/>
                <w:rtl/>
              </w:rPr>
              <w:t>סימן ד': שומה, השגה וערעור</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שומה עצמית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B153C3">
            <w:pPr>
              <w:pStyle w:val="TableBlock"/>
            </w:pPr>
            <w:r w:rsidRPr="00454EF6">
              <w:rPr>
                <w:rFonts w:hint="cs"/>
                <w:rtl/>
              </w:rPr>
              <w:t xml:space="preserve">נמסרה למנהל הצהרה לפי סעיף 7 או 8 יראו את ההצהרה כקביעת המס בידי אותו אדם (להלן </w:t>
            </w:r>
            <w:r w:rsidRPr="00454EF6">
              <w:rPr>
                <w:rtl/>
              </w:rPr>
              <w:t>–</w:t>
            </w:r>
            <w:r w:rsidRPr="00454EF6">
              <w:rPr>
                <w:rFonts w:hint="cs"/>
                <w:rtl/>
              </w:rPr>
              <w:t xml:space="preserve"> שומה עצמית</w:t>
            </w:r>
            <w:r w:rsidR="00426086" w:rsidRPr="00454EF6">
              <w:rPr>
                <w:rFonts w:hint="cs"/>
                <w:rtl/>
              </w:rPr>
              <w:t>)</w:t>
            </w:r>
            <w:r w:rsidR="00426086">
              <w:rPr>
                <w:rFonts w:hint="cs"/>
                <w:rtl/>
              </w:rPr>
              <w:t>.</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שומת המנהל</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 xml:space="preserve">המנהל רשאי, בתוך שנה מיום שנמסרה הצהרה לפי סעיפים 7 או 8, לבדוק אותה ולעשות אחת מאלה: </w:t>
            </w:r>
          </w:p>
        </w:tc>
      </w:tr>
      <w:tr w:rsidR="00426086" w:rsidRPr="00454EF6" w:rsidTr="00B729C1">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9"/>
              </w:numPr>
              <w:tabs>
                <w:tab w:val="left" w:pos="624"/>
              </w:tabs>
            </w:pPr>
            <w:r w:rsidRPr="00454EF6">
              <w:rPr>
                <w:rFonts w:hint="cs"/>
                <w:rtl/>
              </w:rPr>
              <w:t>לאשר את השומה העצמית;</w:t>
            </w:r>
          </w:p>
        </w:tc>
      </w:tr>
      <w:tr w:rsidR="00426086" w:rsidRPr="00454EF6" w:rsidTr="00C72C44">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9"/>
              </w:numPr>
              <w:tabs>
                <w:tab w:val="left" w:pos="624"/>
              </w:tabs>
              <w:rPr>
                <w:rtl/>
              </w:rPr>
            </w:pPr>
            <w:r w:rsidRPr="00454EF6">
              <w:rPr>
                <w:rFonts w:hint="cs"/>
                <w:rtl/>
              </w:rPr>
              <w:t xml:space="preserve">אם יש לו טעמים סבירים להניח שההצהרה אינה נכונה </w:t>
            </w:r>
            <w:r w:rsidRPr="00454EF6">
              <w:rPr>
                <w:rtl/>
              </w:rPr>
              <w:t>–</w:t>
            </w:r>
            <w:r w:rsidRPr="00454EF6">
              <w:rPr>
                <w:rFonts w:hint="cs"/>
                <w:rtl/>
              </w:rPr>
              <w:t xml:space="preserve"> לקבוע לפי מיטב שפיטתו את המס החל; שומה לפי פסקה זו יכול שתיעשה בהתאם להסכם עם החייב במס;</w:t>
            </w:r>
          </w:p>
        </w:tc>
      </w:tr>
      <w:tr w:rsidR="00426086" w:rsidRPr="00454EF6" w:rsidTr="008C2983">
        <w:trPr>
          <w:cantSplit/>
          <w:trHeight w:val="60"/>
        </w:trPr>
        <w:tc>
          <w:tcPr>
            <w:tcW w:w="1871" w:type="dxa"/>
            <w:shd w:val="clear" w:color="auto" w:fill="FFFFFF" w:themeFill="background1"/>
          </w:tcPr>
          <w:p w:rsidR="00426086" w:rsidRPr="00454EF6" w:rsidRDefault="00426086" w:rsidP="00DD5914">
            <w:pPr>
              <w:pStyle w:val="TableSideHeading"/>
            </w:pPr>
          </w:p>
        </w:tc>
        <w:tc>
          <w:tcPr>
            <w:tcW w:w="624" w:type="dxa"/>
            <w:shd w:val="clear" w:color="auto" w:fill="FFFFFF" w:themeFill="background1"/>
          </w:tcPr>
          <w:p w:rsidR="00426086" w:rsidRPr="00454EF6" w:rsidRDefault="00426086" w:rsidP="00DD5914">
            <w:pPr>
              <w:pStyle w:val="TableText"/>
            </w:pPr>
          </w:p>
        </w:tc>
        <w:tc>
          <w:tcPr>
            <w:tcW w:w="7146" w:type="dxa"/>
            <w:gridSpan w:val="3"/>
            <w:shd w:val="clear" w:color="auto" w:fill="FFFFFF" w:themeFill="background1"/>
          </w:tcPr>
          <w:p w:rsidR="00426086" w:rsidRPr="00454EF6" w:rsidRDefault="00426086" w:rsidP="00454EF6">
            <w:pPr>
              <w:pStyle w:val="TableBlock"/>
              <w:numPr>
                <w:ilvl w:val="0"/>
                <w:numId w:val="29"/>
              </w:numPr>
              <w:tabs>
                <w:tab w:val="left" w:pos="624"/>
              </w:tabs>
              <w:rPr>
                <w:rtl/>
              </w:rPr>
            </w:pPr>
            <w:r w:rsidRPr="00454EF6">
              <w:rPr>
                <w:rFonts w:hint="cs"/>
                <w:rtl/>
              </w:rPr>
              <w:t xml:space="preserve">אם שוכנע שנפלה בשומה כאמור בסעיף 11 או בסעיף זה טעות חשבון </w:t>
            </w:r>
            <w:r w:rsidRPr="00454EF6">
              <w:rPr>
                <w:rtl/>
              </w:rPr>
              <w:t>–</w:t>
            </w:r>
            <w:r w:rsidRPr="00454EF6">
              <w:rPr>
                <w:rFonts w:hint="cs"/>
                <w:rtl/>
              </w:rPr>
              <w:t xml:space="preserve"> לתקנה, ביוזמתו או לבקשת החייב במס; תיקן המנהל כאמור שומה לפי סעיף 11, ימשיכו לראות בה כשומה עצמית.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שומה בהעדר הצהרה</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לא נמסרה למנהל הצהרה כאמור בסעיפים 7 או 8, והמנהל סבור שאדם פלוני חייב בתשלום מס, רשאי המנהל לדרוש את מסירת ההצהרה ומשלא נענה רשאי הוא לקבוע לפי מיטב שפיטתו את דירות המגורים שבשלהן ישולם המס, את ערך המטר הממוצע האזורי, שטחם, תקופת ההחזקה של החייב במס בהן, ואת סכום המס שהחייב במס חייב בו, וכל דבר אחר הדרוש לצורך עשיית השומה.</w:t>
            </w:r>
          </w:p>
          <w:p w:rsidR="00454EF6" w:rsidRPr="00454EF6" w:rsidRDefault="00454EF6" w:rsidP="00DD5914">
            <w:pPr>
              <w:pStyle w:val="TableBlock"/>
              <w:rPr>
                <w:rtl/>
              </w:rPr>
            </w:pP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תחולת הוראות חוק מיסוי מקרקעין על השומה</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על שומה לפי פרק זה יחולו הוראות סעיפים 79א, 84, 85 ו-86 לחוק מיסוי מקרקעין בשינויים המחויבים.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השגה וערעור</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פרק שמיני לחוק מיסוי מקרקעין יחול על השגה וערעור על השומה לפי פרק זה, בשינויים המחויבים.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Head"/>
            </w:pPr>
            <w:r w:rsidRPr="00454EF6">
              <w:rPr>
                <w:rFonts w:hint="cs"/>
                <w:rtl/>
              </w:rPr>
              <w:t>סימן ה': תשלום המס, גבייתו ועונשין</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תשלום המס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30"/>
              </w:numPr>
              <w:tabs>
                <w:tab w:val="left" w:pos="624"/>
              </w:tabs>
            </w:pPr>
            <w:r w:rsidRPr="00454EF6">
              <w:rPr>
                <w:rFonts w:hint="cs"/>
                <w:rtl/>
              </w:rPr>
              <w:t xml:space="preserve">תשלום המס על ידי חייב במס לכל שנה ייעשה כקבוע להלן: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36"/>
              </w:numPr>
              <w:tabs>
                <w:tab w:val="left" w:pos="624"/>
              </w:tabs>
            </w:pPr>
            <w:r w:rsidRPr="00454EF6">
              <w:rPr>
                <w:rFonts w:hint="cs"/>
                <w:rtl/>
              </w:rPr>
              <w:t>עד ה-30 ביוני בשנת המס ישולם מחצית מסכום המס;</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36"/>
              </w:numPr>
              <w:tabs>
                <w:tab w:val="left" w:pos="624"/>
              </w:tabs>
              <w:rPr>
                <w:rtl/>
              </w:rPr>
            </w:pPr>
            <w:r w:rsidRPr="00454EF6">
              <w:rPr>
                <w:rFonts w:hint="cs"/>
                <w:rtl/>
              </w:rPr>
              <w:t>עד ה-31 בדצמבר בשנת המס תשולם יתרת המס.</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0"/>
              </w:numPr>
              <w:tabs>
                <w:tab w:val="left" w:pos="624"/>
              </w:tabs>
              <w:rPr>
                <w:rtl/>
              </w:rPr>
            </w:pPr>
            <w:r w:rsidRPr="00454EF6">
              <w:rPr>
                <w:rFonts w:hint="cs"/>
                <w:rtl/>
              </w:rPr>
              <w:t xml:space="preserve">על אף האמור בסעיף קטן (א), המועד לתשלום תוספת המס של מי שנוסף לו סכום מס לתשלום בשל התווספות דירה כאמור בסעיף 3(ב)(1) או (2) לאחר ה-31 במאי, הוא במועד הקבוע בסעיף קטן (א) שלאחר המועד בו חייב בהגשת הצהרה לפי סעיף 8 לגבי הדירה שהתווספה.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0"/>
              </w:numPr>
              <w:tabs>
                <w:tab w:val="left" w:pos="624"/>
              </w:tabs>
              <w:rPr>
                <w:rtl/>
              </w:rPr>
            </w:pP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31"/>
              </w:numPr>
              <w:tabs>
                <w:tab w:val="left" w:pos="624"/>
              </w:tabs>
            </w:pPr>
            <w:r w:rsidRPr="00454EF6">
              <w:rPr>
                <w:rFonts w:hint="cs"/>
                <w:rtl/>
              </w:rPr>
              <w:t xml:space="preserve">נמסרה לאדם הודעת שומה לפי סעיף 12, לאחר ה-16 לדצמבר חייב הוא, בתוך 15 ימים מיום מסירת הודעת השומה, לשלם את יתרת המס המגיע ממנו לפיה;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624" w:type="dxa"/>
            <w:shd w:val="clear" w:color="auto" w:fill="FFFFFF" w:themeFill="background1"/>
          </w:tcPr>
          <w:p w:rsidR="00454EF6" w:rsidRPr="00454EF6" w:rsidRDefault="00454EF6" w:rsidP="00DD5914">
            <w:pPr>
              <w:pStyle w:val="TableText"/>
            </w:pPr>
          </w:p>
        </w:tc>
        <w:tc>
          <w:tcPr>
            <w:tcW w:w="6522" w:type="dxa"/>
            <w:gridSpan w:val="2"/>
            <w:shd w:val="clear" w:color="auto" w:fill="FFFFFF" w:themeFill="background1"/>
          </w:tcPr>
          <w:p w:rsidR="00454EF6" w:rsidRPr="00454EF6" w:rsidRDefault="00454EF6" w:rsidP="00454EF6">
            <w:pPr>
              <w:pStyle w:val="TableBlock"/>
              <w:numPr>
                <w:ilvl w:val="0"/>
                <w:numId w:val="31"/>
              </w:numPr>
              <w:tabs>
                <w:tab w:val="left" w:pos="624"/>
              </w:tabs>
              <w:rPr>
                <w:rtl/>
              </w:rPr>
            </w:pPr>
            <w:r w:rsidRPr="00454EF6">
              <w:rPr>
                <w:rFonts w:hint="cs"/>
                <w:rtl/>
              </w:rPr>
              <w:t xml:space="preserve">הגיש האדם השגה, ישלם את סכום המס שאינו שנוי במחלוקת עד המועד הקבוע בפסקה (1);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0"/>
              </w:numPr>
              <w:tabs>
                <w:tab w:val="left" w:pos="624"/>
              </w:tabs>
              <w:rPr>
                <w:rtl/>
              </w:rPr>
            </w:pPr>
            <w:r w:rsidRPr="00454EF6">
              <w:rPr>
                <w:rFonts w:hint="cs"/>
                <w:rtl/>
              </w:rPr>
              <w:t>ניתן פסק דין בערעור על ההשגה, ישולם סכום המס המגיע לפי פסק הדין בתוך 45 ימים מיום שניתן, זולת אם קבע בית המשפט העליון אחרת.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0"/>
              </w:numPr>
              <w:tabs>
                <w:tab w:val="left" w:pos="624"/>
              </w:tabs>
              <w:rPr>
                <w:rtl/>
              </w:rPr>
            </w:pPr>
            <w:r w:rsidRPr="00454EF6">
              <w:rPr>
                <w:rFonts w:hint="cs"/>
                <w:rtl/>
              </w:rPr>
              <w:t>ניתן פסק דין של בית המשפט העליון בערעור על החלטת בית המשפט המחוזי, ישולם סכום המס המגיע לפי פסק הדין בתוך 15 ימים מיום שניתן.</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קנס על אי הגשת הצהרה או הודעה</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38"/>
              </w:numPr>
              <w:tabs>
                <w:tab w:val="left" w:pos="624"/>
              </w:tabs>
            </w:pPr>
            <w:r w:rsidRPr="00454EF6">
              <w:rPr>
                <w:rtl/>
              </w:rPr>
              <w:t xml:space="preserve">לא הגיש אדם הצהרה </w:t>
            </w:r>
            <w:r w:rsidRPr="00454EF6">
              <w:rPr>
                <w:rFonts w:hint="cs"/>
                <w:rtl/>
              </w:rPr>
              <w:t>לפי סעיפים 7 או 8 במועד הקבוע להגשתה</w:t>
            </w:r>
            <w:r w:rsidRPr="00454EF6">
              <w:rPr>
                <w:rtl/>
              </w:rPr>
              <w:t xml:space="preserve">, יוטל עליו, בעד כל שבועיים של פיגור, קנס בסכום </w:t>
            </w:r>
            <w:r w:rsidRPr="00454EF6">
              <w:rPr>
                <w:rFonts w:hint="cs"/>
                <w:rtl/>
              </w:rPr>
              <w:t>הקבוע בסעיף 94א(א)(1) לחוק מיסוי מקרקעין.</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8"/>
              </w:numPr>
              <w:tabs>
                <w:tab w:val="left" w:pos="624"/>
              </w:tabs>
              <w:rPr>
                <w:rtl/>
              </w:rPr>
            </w:pPr>
            <w:r w:rsidRPr="00454EF6">
              <w:rPr>
                <w:rFonts w:hint="cs"/>
                <w:rtl/>
              </w:rPr>
              <w:t>תשלום קנס לפי סעיף זה לא יגרע מאחריותו הפלילית של אדם לפי פרק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8"/>
              </w:numPr>
              <w:tabs>
                <w:tab w:val="left" w:pos="624"/>
              </w:tabs>
              <w:rPr>
                <w:rtl/>
              </w:rPr>
            </w:pPr>
            <w:r w:rsidRPr="00454EF6">
              <w:rPr>
                <w:rFonts w:hint="cs"/>
                <w:rtl/>
              </w:rPr>
              <w:t xml:space="preserve">הוגשה נגד אדם תביעה פלילית על אי הגשת דו"ח, לא </w:t>
            </w:r>
            <w:proofErr w:type="spellStart"/>
            <w:r w:rsidRPr="00454EF6">
              <w:rPr>
                <w:rFonts w:hint="cs"/>
                <w:rtl/>
              </w:rPr>
              <w:t>יחוייב</w:t>
            </w:r>
            <w:proofErr w:type="spellEnd"/>
            <w:r w:rsidRPr="00454EF6">
              <w:rPr>
                <w:rFonts w:hint="cs"/>
                <w:rtl/>
              </w:rPr>
              <w:t xml:space="preserve"> התשלום קנס לפי פרק זה על אותה עבירה, ואם שילם קנס כאמור </w:t>
            </w:r>
            <w:r w:rsidRPr="00454EF6">
              <w:rPr>
                <w:rtl/>
              </w:rPr>
              <w:t>–</w:t>
            </w:r>
            <w:r w:rsidRPr="00454EF6">
              <w:rPr>
                <w:rFonts w:hint="cs"/>
                <w:rtl/>
              </w:rPr>
              <w:t xml:space="preserve"> יוחזר לו </w:t>
            </w:r>
            <w:r w:rsidRPr="00454EF6">
              <w:rPr>
                <w:rtl/>
              </w:rPr>
              <w:t>בתוספת הפרשי הצמדה וריבית מיום תשלומו עד יום החזרתו</w:t>
            </w:r>
            <w:r w:rsidRPr="00454EF6">
              <w:rPr>
                <w:rFonts w:hint="cs"/>
                <w:rtl/>
              </w:rPr>
              <w:t xml:space="preserve">; </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גביית המס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על גביית המס יחולו הוראות סעיפים 92, 94ד 95א ו-95ב לחוק מיסוי מקרקעין.</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הפרשי הצמדה וריבית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37"/>
              </w:numPr>
              <w:tabs>
                <w:tab w:val="left" w:pos="624"/>
              </w:tabs>
              <w:rPr>
                <w:rtl/>
              </w:rPr>
            </w:pPr>
            <w:r w:rsidRPr="00454EF6">
              <w:rPr>
                <w:rFonts w:hint="cs"/>
                <w:rtl/>
              </w:rPr>
              <w:t>על סכומי מס שלא שולמו במועד אשר נקבע לתשלום יוטלו על הנישום בעד התקופה שמיום לאחר המועד שנקבע לתשלום ועד יום התשלום בפועל, הפרשי הצמדה וריבית.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7"/>
              </w:numPr>
              <w:rPr>
                <w:rtl/>
              </w:rPr>
            </w:pPr>
            <w:r w:rsidRPr="00454EF6">
              <w:rPr>
                <w:rFonts w:hint="cs"/>
                <w:rtl/>
              </w:rPr>
              <w:t>המנהל רשאי, לדחות את המועד לתשלום המס, כולו או מקצתו, לתקופה שימצא לנכון, ובלבד שהחייב במס ישלם על תקופת הדחיה הפרשי הצמדה וריבית.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סמכות המנהל להקטין ריבית או קנס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tabs>
                <w:tab w:val="clear" w:pos="624"/>
              </w:tabs>
              <w:rPr>
                <w:rtl/>
              </w:rPr>
            </w:pPr>
            <w:r w:rsidRPr="00454EF6">
              <w:rPr>
                <w:rFonts w:hint="cs"/>
                <w:rtl/>
              </w:rPr>
              <w:t>המנהל רשאי, להקטין את שיעור הפרשי ההצמדה וריבית וסכום קנס המוטל לפי פרק זה או לוותר עליהם לחלוטין, אם הוכח להנחת דעתו כי הפיגור שגרם לחובת התשלום לא נגרם על ידי מעשה או מחדל התלויים ברצונו של הנישום.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המועד לתשלום הפרשי הצמדה וריבית או קנס</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המועד לתשלום הפרשי הצמדה וריבית או קנס שחייב בהם חייב במס על פי  פרק זה הוא תוך 30 ימים מיום משלוח ההודעה על החיוב בהם.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עבירות ועונשין</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32"/>
              </w:numPr>
              <w:tabs>
                <w:tab w:val="left" w:pos="624"/>
              </w:tabs>
            </w:pPr>
            <w:r w:rsidRPr="00454EF6">
              <w:rPr>
                <w:rFonts w:hint="cs"/>
                <w:rtl/>
              </w:rPr>
              <w:t xml:space="preserve">אדם שעבר על הוראה הקבועה בפרק זה או על תקנה שהותקנה לפיה, ולא נקבע לאותה עבירה עונש מפורש אחר, דינו </w:t>
            </w:r>
            <w:r w:rsidRPr="00454EF6">
              <w:rPr>
                <w:rtl/>
              </w:rPr>
              <w:t>–</w:t>
            </w:r>
            <w:r w:rsidRPr="00454EF6">
              <w:rPr>
                <w:rFonts w:hint="cs"/>
                <w:rtl/>
              </w:rPr>
              <w:t xml:space="preserve"> מאסר שנה או קנס כאמור בסעיף 61(א)(2) לחוק העונשין, התשל"ז-1977.</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2"/>
              </w:numPr>
              <w:tabs>
                <w:tab w:val="left" w:pos="624"/>
              </w:tabs>
              <w:rPr>
                <w:rtl/>
              </w:rPr>
            </w:pPr>
            <w:r w:rsidRPr="00454EF6">
              <w:rPr>
                <w:rFonts w:hint="cs"/>
                <w:rtl/>
              </w:rPr>
              <w:t>הוראות סעיפים 98(ב1) עד (ד), 98א, 99, 100 ו-101 לחוק מיסוי מקרקעין יחולו בשינויים המחויבים.</w:t>
            </w:r>
          </w:p>
        </w:tc>
      </w:tr>
      <w:tr w:rsidR="00454EF6" w:rsidRPr="00454EF6" w:rsidTr="00454EF6">
        <w:trPr>
          <w:cantSplit/>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DD5914">
            <w:pPr>
              <w:pStyle w:val="TableBlock"/>
              <w:tabs>
                <w:tab w:val="clear" w:pos="624"/>
              </w:tabs>
              <w:jc w:val="center"/>
              <w:rPr>
                <w:b/>
                <w:bCs/>
                <w:rtl/>
              </w:rPr>
            </w:pPr>
            <w:r w:rsidRPr="00454EF6">
              <w:rPr>
                <w:rFonts w:hint="cs"/>
                <w:b/>
                <w:bCs/>
                <w:rtl/>
              </w:rPr>
              <w:t>סימן ח': סמכויות והוראות נוספות</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lastRenderedPageBreak/>
              <w:t>סמכויות המנהל לדרישת מסמכים, הארכות מועד, קביעת טפסים ואצילת סמכויות.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סמכויות המנהל לפי סעיפים 96, 107, 111, 112 לחוק מיסוי מקרקעין, ולפי סעיף 140 לפקודה, יינתנו לו גם לצורך פרק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חקירות וחיפושים</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מי שהוסמך מכוח סעיף 97 לחוק מיסוי מקרקעין לערוך חקירות או חיפושים לשם גילוין של עבירות על חוק מיסוי מקרקעין, יהיה מוסמך להשתמש בסמכויות האמורות גם לצורך גילוין של עבירות על פרק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הוראות נוספות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סעיפים 103, 103א, 105, 105א, 108, ו- 110 יחולו על המס לפי פרק זה בשינויים המחויבים.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אי מתן ניכויים</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 xml:space="preserve">סכומים ששולמו כמס לפי פרק זה לא יורשו כניכוי לפי הוראות חוק מסים אחר כהגדרתו בחוק דיני מסים (הוראות שונות), התשכ"ז-1967 (להלן </w:t>
            </w:r>
            <w:r w:rsidRPr="00454EF6">
              <w:rPr>
                <w:rtl/>
              </w:rPr>
              <w:t>–</w:t>
            </w:r>
            <w:r w:rsidRPr="00454EF6">
              <w:rPr>
                <w:rFonts w:hint="cs"/>
                <w:rtl/>
              </w:rPr>
              <w:t xml:space="preserve"> חוק מסים).</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העברת מידע</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454EF6">
            <w:pPr>
              <w:pStyle w:val="TableBlock"/>
              <w:numPr>
                <w:ilvl w:val="0"/>
                <w:numId w:val="34"/>
              </w:numPr>
              <w:tabs>
                <w:tab w:val="left" w:pos="624"/>
              </w:tabs>
              <w:rPr>
                <w:rtl/>
              </w:rPr>
            </w:pPr>
            <w:r w:rsidRPr="00454EF6">
              <w:rPr>
                <w:rFonts w:hint="cs"/>
                <w:rtl/>
              </w:rPr>
              <w:t xml:space="preserve">על אף האמור בסעיף 105 לחוק מיסוי מקרקעין כפי שהוא מוחל בסעיף 24 לפרק זה, המנהל יהא רשאי להעביר מידע שהתקבל מכוח הוראות פרק זה לרשות מס כהגדרתה בחוק מסים (להלן </w:t>
            </w:r>
            <w:r w:rsidRPr="00454EF6">
              <w:rPr>
                <w:rtl/>
              </w:rPr>
              <w:t>–</w:t>
            </w:r>
            <w:r w:rsidRPr="00454EF6">
              <w:rPr>
                <w:rFonts w:hint="cs"/>
                <w:rtl/>
              </w:rPr>
              <w:t xml:space="preserve"> רשות מס),  לצורך ביצוע תפקידה.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p>
        </w:tc>
        <w:tc>
          <w:tcPr>
            <w:tcW w:w="624" w:type="dxa"/>
            <w:shd w:val="clear" w:color="auto" w:fill="FFFFFF" w:themeFill="background1"/>
          </w:tcPr>
          <w:p w:rsidR="00454EF6" w:rsidRPr="00454EF6" w:rsidRDefault="00454EF6" w:rsidP="00DD5914">
            <w:pPr>
              <w:pStyle w:val="TableText"/>
            </w:pPr>
          </w:p>
        </w:tc>
        <w:tc>
          <w:tcPr>
            <w:tcW w:w="7146" w:type="dxa"/>
            <w:gridSpan w:val="3"/>
            <w:shd w:val="clear" w:color="auto" w:fill="FFFFFF" w:themeFill="background1"/>
          </w:tcPr>
          <w:p w:rsidR="00454EF6" w:rsidRPr="00454EF6" w:rsidRDefault="00454EF6" w:rsidP="00454EF6">
            <w:pPr>
              <w:pStyle w:val="TableBlock"/>
              <w:numPr>
                <w:ilvl w:val="0"/>
                <w:numId w:val="34"/>
              </w:numPr>
              <w:tabs>
                <w:tab w:val="left" w:pos="624"/>
              </w:tabs>
              <w:rPr>
                <w:rtl/>
              </w:rPr>
            </w:pPr>
            <w:r w:rsidRPr="00454EF6">
              <w:rPr>
                <w:rtl/>
              </w:rPr>
              <w:t>על אף האמור בחוקי המסים לענ</w:t>
            </w:r>
            <w:r w:rsidRPr="00454EF6">
              <w:rPr>
                <w:rFonts w:hint="cs"/>
                <w:rtl/>
              </w:rPr>
              <w:t>י</w:t>
            </w:r>
            <w:r w:rsidRPr="00454EF6">
              <w:rPr>
                <w:rtl/>
              </w:rPr>
              <w:t>ין חובת שמירת הסודיות על ידי רשויות המס, תהא רשות מ</w:t>
            </w:r>
            <w:r w:rsidRPr="00454EF6">
              <w:rPr>
                <w:rFonts w:hint="cs"/>
                <w:rtl/>
              </w:rPr>
              <w:t>ס</w:t>
            </w:r>
            <w:r w:rsidRPr="00454EF6">
              <w:rPr>
                <w:rtl/>
              </w:rPr>
              <w:t xml:space="preserve"> רשאית למסור</w:t>
            </w:r>
            <w:r w:rsidRPr="00454EF6">
              <w:rPr>
                <w:rFonts w:hint="cs"/>
                <w:rtl/>
              </w:rPr>
              <w:t xml:space="preserve"> למנהל מידע לצורף ביצוע חוק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ביצוע ותקנות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tl/>
              </w:rPr>
              <w:t xml:space="preserve">שר האוצר ממונה על ביצוע </w:t>
            </w:r>
            <w:r w:rsidRPr="00454EF6">
              <w:rPr>
                <w:rFonts w:hint="cs"/>
                <w:rtl/>
              </w:rPr>
              <w:t>פרק</w:t>
            </w:r>
            <w:r w:rsidRPr="00454EF6">
              <w:rPr>
                <w:rtl/>
              </w:rPr>
              <w:t xml:space="preserve"> זה והוא רשאי להתקין תקנות בכל ענין הנוגע לביצועו</w:t>
            </w:r>
            <w:r w:rsidRPr="00454EF6">
              <w:rPr>
                <w:rFonts w:hint="cs"/>
                <w:rtl/>
              </w:rPr>
              <w:t>;</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rPr>
                <w:rtl/>
              </w:rPr>
            </w:pPr>
            <w:r w:rsidRPr="00454EF6">
              <w:rPr>
                <w:rFonts w:hint="cs"/>
                <w:rtl/>
              </w:rPr>
              <w:t>תחולת תקנות מיסוי מקרקעין (שבח ורכישה) (קביעת אגרות בעד פעולות ושירותים)</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rPr>
                <w:rtl/>
              </w:rPr>
            </w:pPr>
            <w:r w:rsidRPr="00454EF6">
              <w:rPr>
                <w:rFonts w:hint="cs"/>
                <w:rtl/>
              </w:rPr>
              <w:t>תקנות מיסוי מקרקעין (שבח ורכישה) (קביעת אגרות בעד פעולות ושירותים), התש"ע-2009 יחולו גם לגבי פעולות ושירותים שנותן המנהל לצורך ביצוע הוראות פרק זה.</w:t>
            </w:r>
          </w:p>
        </w:tc>
      </w:tr>
      <w:tr w:rsidR="00454EF6" w:rsidRP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t>תיקון חוק העבירות המנהליות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454EF6" w:rsidRDefault="00454EF6" w:rsidP="00DD5914">
            <w:pPr>
              <w:pStyle w:val="TableBlock"/>
            </w:pPr>
            <w:r w:rsidRPr="00454EF6">
              <w:rPr>
                <w:rFonts w:hint="cs"/>
                <w:rtl/>
              </w:rPr>
              <w:t>ב</w:t>
            </w:r>
            <w:r w:rsidRPr="00454EF6">
              <w:rPr>
                <w:rtl/>
              </w:rPr>
              <w:t xml:space="preserve">חוק העבירות </w:t>
            </w:r>
            <w:proofErr w:type="spellStart"/>
            <w:r w:rsidRPr="00454EF6">
              <w:rPr>
                <w:rtl/>
              </w:rPr>
              <w:t>המינהליות</w:t>
            </w:r>
            <w:proofErr w:type="spellEnd"/>
            <w:r w:rsidRPr="00454EF6">
              <w:rPr>
                <w:rtl/>
              </w:rPr>
              <w:t>, תשמ"ו-1985</w:t>
            </w:r>
            <w:r w:rsidRPr="00454EF6">
              <w:rPr>
                <w:rFonts w:hint="cs"/>
                <w:rtl/>
              </w:rPr>
              <w:t>,</w:t>
            </w:r>
            <w:r w:rsidRPr="00454EF6">
              <w:rPr>
                <w:rStyle w:val="a6"/>
                <w:rtl/>
              </w:rPr>
              <w:footnoteReference w:id="2"/>
            </w:r>
            <w:r w:rsidRPr="00454EF6">
              <w:rPr>
                <w:rFonts w:hint="cs"/>
                <w:rtl/>
              </w:rPr>
              <w:t xml:space="preserve"> </w:t>
            </w:r>
            <w:r w:rsidRPr="00454EF6">
              <w:rPr>
                <w:rtl/>
              </w:rPr>
              <w:t>בתוספת הראשונה, בטור א', בסופו יבוא</w:t>
            </w:r>
            <w:r w:rsidRPr="00454EF6">
              <w:rPr>
                <w:rFonts w:hint="cs"/>
                <w:rtl/>
              </w:rPr>
              <w:t xml:space="preserve"> "פרק </w:t>
            </w:r>
            <w:r w:rsidRPr="00454EF6">
              <w:rPr>
                <w:rFonts w:hint="cs"/>
              </w:rPr>
              <w:t>X</w:t>
            </w:r>
            <w:r w:rsidRPr="00454EF6">
              <w:rPr>
                <w:rFonts w:hint="cs"/>
                <w:rtl/>
              </w:rPr>
              <w:t xml:space="preserve"> לחוק </w:t>
            </w:r>
            <w:r w:rsidRPr="00454EF6">
              <w:rPr>
                <w:rtl/>
              </w:rPr>
              <w:t>התכנית הכלכלית לשנים 2017 ו-2018 (תיקוני חקיקה), התשע"ו-2016</w:t>
            </w:r>
            <w:r w:rsidRPr="00454EF6">
              <w:rPr>
                <w:rFonts w:hint="cs"/>
                <w:rtl/>
              </w:rPr>
              <w:t>"</w:t>
            </w:r>
          </w:p>
        </w:tc>
      </w:tr>
      <w:tr w:rsidR="00454EF6" w:rsidTr="00454EF6">
        <w:trPr>
          <w:cantSplit/>
          <w:trHeight w:val="60"/>
        </w:trPr>
        <w:tc>
          <w:tcPr>
            <w:tcW w:w="1871" w:type="dxa"/>
            <w:shd w:val="clear" w:color="auto" w:fill="FFFFFF" w:themeFill="background1"/>
          </w:tcPr>
          <w:p w:rsidR="00454EF6" w:rsidRPr="00454EF6" w:rsidRDefault="00454EF6" w:rsidP="00DD5914">
            <w:pPr>
              <w:pStyle w:val="TableSideHeading"/>
            </w:pPr>
            <w:r w:rsidRPr="00454EF6">
              <w:rPr>
                <w:rFonts w:hint="cs"/>
                <w:rtl/>
              </w:rPr>
              <w:lastRenderedPageBreak/>
              <w:t>דיווח על נאמנויות</w:t>
            </w:r>
          </w:p>
        </w:tc>
        <w:tc>
          <w:tcPr>
            <w:tcW w:w="624" w:type="dxa"/>
            <w:shd w:val="clear" w:color="auto" w:fill="FFFFFF" w:themeFill="background1"/>
          </w:tcPr>
          <w:p w:rsidR="00454EF6" w:rsidRPr="00454EF6" w:rsidRDefault="00454EF6" w:rsidP="00454EF6">
            <w:pPr>
              <w:pStyle w:val="TableText"/>
              <w:numPr>
                <w:ilvl w:val="0"/>
                <w:numId w:val="6"/>
              </w:numPr>
            </w:pPr>
          </w:p>
        </w:tc>
        <w:tc>
          <w:tcPr>
            <w:tcW w:w="7146" w:type="dxa"/>
            <w:gridSpan w:val="3"/>
            <w:shd w:val="clear" w:color="auto" w:fill="FFFFFF" w:themeFill="background1"/>
          </w:tcPr>
          <w:p w:rsidR="00454EF6" w:rsidRPr="00C34DE2" w:rsidRDefault="00454EF6" w:rsidP="00DD5914">
            <w:pPr>
              <w:pStyle w:val="TableBlock"/>
            </w:pPr>
            <w:r w:rsidRPr="00454EF6">
              <w:rPr>
                <w:rFonts w:hint="cs"/>
                <w:rtl/>
              </w:rPr>
              <w:t>מי שמחזיק דירת מגורים בשמו הוא בשביל אחר, ולא דיווח כל כך בהודעה לפי סעיף 73(א), 74 או 119 לחוק מיסוי מקרקעין, ידווח למנהל תוך שלושה חודשים מיום תחילתו של פרק זה, על כל דירת מגורים שהוא מחזיק בו ואת שמו של האדם שבשבילו הוא מחזיק, וכן את המועד בו רכש את הזכות האמורה בשביל האחר.</w:t>
            </w:r>
          </w:p>
        </w:tc>
      </w:tr>
      <w:tr w:rsidR="00454EF6" w:rsidTr="00454EF6">
        <w:trPr>
          <w:cantSplit/>
          <w:trHeight w:val="60"/>
        </w:trPr>
        <w:tc>
          <w:tcPr>
            <w:tcW w:w="1871" w:type="dxa"/>
            <w:shd w:val="clear" w:color="auto" w:fill="FFFFFF" w:themeFill="background1"/>
          </w:tcPr>
          <w:p w:rsidR="00454EF6" w:rsidRDefault="00454EF6" w:rsidP="00DD5914">
            <w:pPr>
              <w:pStyle w:val="TableSideHeading"/>
            </w:pPr>
          </w:p>
        </w:tc>
        <w:tc>
          <w:tcPr>
            <w:tcW w:w="624" w:type="dxa"/>
            <w:shd w:val="clear" w:color="auto" w:fill="FFFFFF" w:themeFill="background1"/>
          </w:tcPr>
          <w:p w:rsidR="00454EF6" w:rsidRDefault="00454EF6" w:rsidP="00DD5914">
            <w:pPr>
              <w:pStyle w:val="TableText"/>
            </w:pPr>
          </w:p>
        </w:tc>
        <w:tc>
          <w:tcPr>
            <w:tcW w:w="7146" w:type="dxa"/>
            <w:gridSpan w:val="3"/>
            <w:shd w:val="clear" w:color="auto" w:fill="FFFFFF" w:themeFill="background1"/>
          </w:tcPr>
          <w:p w:rsidR="00454EF6" w:rsidRPr="00C34DE2" w:rsidRDefault="00454EF6" w:rsidP="00454EF6">
            <w:pPr>
              <w:pStyle w:val="TableBlock"/>
            </w:pPr>
          </w:p>
        </w:tc>
      </w:tr>
      <w:tr w:rsidR="00454EF6" w:rsidTr="00454EF6">
        <w:trPr>
          <w:cantSplit/>
          <w:trHeight w:val="60"/>
        </w:trPr>
        <w:tc>
          <w:tcPr>
            <w:tcW w:w="1871" w:type="dxa"/>
            <w:shd w:val="clear" w:color="auto" w:fill="FFFFFF" w:themeFill="background1"/>
          </w:tcPr>
          <w:p w:rsidR="00454EF6" w:rsidRDefault="00454EF6" w:rsidP="00DD5914">
            <w:pPr>
              <w:pStyle w:val="TableSideHeading"/>
              <w:rPr>
                <w:rtl/>
              </w:rPr>
            </w:pPr>
          </w:p>
        </w:tc>
        <w:tc>
          <w:tcPr>
            <w:tcW w:w="624" w:type="dxa"/>
            <w:shd w:val="clear" w:color="auto" w:fill="FFFFFF" w:themeFill="background1"/>
          </w:tcPr>
          <w:p w:rsidR="00454EF6" w:rsidRDefault="00454EF6" w:rsidP="00DD5914">
            <w:pPr>
              <w:pStyle w:val="TableText"/>
            </w:pPr>
          </w:p>
        </w:tc>
        <w:tc>
          <w:tcPr>
            <w:tcW w:w="7146" w:type="dxa"/>
            <w:gridSpan w:val="3"/>
            <w:shd w:val="clear" w:color="auto" w:fill="FFFFFF" w:themeFill="background1"/>
          </w:tcPr>
          <w:p w:rsidR="00454EF6" w:rsidRDefault="00454EF6" w:rsidP="00DD5914">
            <w:pPr>
              <w:pStyle w:val="TableBlock"/>
              <w:tabs>
                <w:tab w:val="clear" w:pos="624"/>
              </w:tabs>
              <w:rPr>
                <w:rtl/>
              </w:rPr>
            </w:pPr>
          </w:p>
        </w:tc>
      </w:tr>
      <w:tr w:rsidR="00454EF6" w:rsidTr="00454EF6">
        <w:trPr>
          <w:cantSplit/>
          <w:trHeight w:val="60"/>
        </w:trPr>
        <w:tc>
          <w:tcPr>
            <w:tcW w:w="1871" w:type="dxa"/>
            <w:shd w:val="clear" w:color="auto" w:fill="FFFFFF" w:themeFill="background1"/>
          </w:tcPr>
          <w:p w:rsidR="00454EF6" w:rsidRDefault="00454EF6" w:rsidP="00DD5914">
            <w:pPr>
              <w:pStyle w:val="TableSideHeading"/>
              <w:rPr>
                <w:rtl/>
              </w:rPr>
            </w:pPr>
          </w:p>
        </w:tc>
        <w:tc>
          <w:tcPr>
            <w:tcW w:w="624" w:type="dxa"/>
            <w:shd w:val="clear" w:color="auto" w:fill="FFFFFF" w:themeFill="background1"/>
          </w:tcPr>
          <w:p w:rsidR="00454EF6" w:rsidRDefault="00454EF6" w:rsidP="00DD5914">
            <w:pPr>
              <w:pStyle w:val="TableText"/>
            </w:pPr>
          </w:p>
        </w:tc>
        <w:tc>
          <w:tcPr>
            <w:tcW w:w="7146" w:type="dxa"/>
            <w:gridSpan w:val="3"/>
            <w:shd w:val="clear" w:color="auto" w:fill="FFFFFF" w:themeFill="background1"/>
          </w:tcPr>
          <w:p w:rsidR="00454EF6" w:rsidRDefault="00454EF6" w:rsidP="00DD5914">
            <w:pPr>
              <w:pStyle w:val="TableBlock"/>
              <w:tabs>
                <w:tab w:val="clear" w:pos="624"/>
              </w:tabs>
              <w:rPr>
                <w:rtl/>
              </w:rPr>
            </w:pPr>
          </w:p>
        </w:tc>
      </w:tr>
    </w:tbl>
    <w:p w:rsidR="009E1337" w:rsidRPr="00454EF6" w:rsidRDefault="009E1337">
      <w:pPr>
        <w:pStyle w:val="HeadDivreiHesber"/>
        <w:jc w:val="both"/>
        <w:rPr>
          <w:b w:val="0"/>
          <w:bCs/>
          <w:rtl/>
        </w:rPr>
      </w:pPr>
    </w:p>
    <w:sectPr w:rsidR="009E1337" w:rsidRPr="00454EF6" w:rsidSect="008722E0">
      <w:footerReference w:type="even" r:id="rId11"/>
      <w:footerReference w:type="default" r:id="rId12"/>
      <w:pgSz w:w="11907" w:h="16840" w:code="9"/>
      <w:pgMar w:top="963" w:right="1134" w:bottom="1134" w:left="1134" w:header="568" w:footer="680" w:gutter="0"/>
      <w:cols w:space="720"/>
      <w:noEndnote/>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C52" w:rsidRDefault="00D02C52">
      <w:r>
        <w:separator/>
      </w:r>
    </w:p>
  </w:endnote>
  <w:endnote w:type="continuationSeparator" w:id="0">
    <w:p w:rsidR="00D02C52" w:rsidRDefault="00D02C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78" w:rsidRDefault="00E94C84">
    <w:pPr>
      <w:pStyle w:val="a9"/>
      <w:framePr w:wrap="around" w:vAnchor="text" w:hAnchor="text" w:xAlign="center" w:y="1"/>
      <w:rPr>
        <w:rStyle w:val="aa"/>
      </w:rPr>
    </w:pPr>
    <w:r>
      <w:rPr>
        <w:rStyle w:val="aa"/>
        <w:rtl/>
      </w:rPr>
      <w:fldChar w:fldCharType="begin"/>
    </w:r>
    <w:r w:rsidR="00CF6878">
      <w:rPr>
        <w:rStyle w:val="aa"/>
      </w:rPr>
      <w:instrText xml:space="preserve">PAGE  </w:instrText>
    </w:r>
    <w:r>
      <w:rPr>
        <w:rStyle w:val="aa"/>
        <w:rtl/>
      </w:rPr>
      <w:fldChar w:fldCharType="end"/>
    </w:r>
  </w:p>
  <w:p w:rsidR="00CF6878" w:rsidRDefault="00CF687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878" w:rsidRDefault="00E94C84">
    <w:pPr>
      <w:pStyle w:val="a9"/>
      <w:framePr w:wrap="around" w:vAnchor="text" w:hAnchor="text" w:xAlign="center" w:y="1"/>
      <w:rPr>
        <w:rStyle w:val="aa"/>
        <w:rFonts w:cs="David"/>
        <w:sz w:val="26"/>
        <w:szCs w:val="26"/>
      </w:rPr>
    </w:pPr>
    <w:r>
      <w:rPr>
        <w:rStyle w:val="aa"/>
        <w:rFonts w:cs="David"/>
        <w:sz w:val="26"/>
        <w:szCs w:val="26"/>
        <w:rtl/>
      </w:rPr>
      <w:fldChar w:fldCharType="begin"/>
    </w:r>
    <w:r w:rsidR="00CF6878">
      <w:rPr>
        <w:rStyle w:val="aa"/>
        <w:rFonts w:cs="David"/>
        <w:sz w:val="26"/>
        <w:szCs w:val="26"/>
      </w:rPr>
      <w:instrText xml:space="preserve">PAGE  </w:instrText>
    </w:r>
    <w:r>
      <w:rPr>
        <w:rStyle w:val="aa"/>
        <w:rFonts w:cs="David"/>
        <w:sz w:val="26"/>
        <w:szCs w:val="26"/>
        <w:rtl/>
      </w:rPr>
      <w:fldChar w:fldCharType="separate"/>
    </w:r>
    <w:r w:rsidR="0021456F">
      <w:rPr>
        <w:rStyle w:val="aa"/>
        <w:rFonts w:cs="David"/>
        <w:noProof/>
        <w:sz w:val="26"/>
        <w:szCs w:val="26"/>
        <w:rtl/>
      </w:rPr>
      <w:t>9</w:t>
    </w:r>
    <w:r>
      <w:rPr>
        <w:rStyle w:val="aa"/>
        <w:rFonts w:cs="David"/>
        <w:sz w:val="26"/>
        <w:szCs w:val="26"/>
        <w:rtl/>
      </w:rPr>
      <w:fldChar w:fldCharType="end"/>
    </w:r>
  </w:p>
  <w:p w:rsidR="00CF6878" w:rsidRDefault="00CF6878">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C52" w:rsidRDefault="00D02C52">
      <w:pPr>
        <w:ind w:firstLine="0"/>
      </w:pPr>
      <w:r>
        <w:separator/>
      </w:r>
    </w:p>
  </w:footnote>
  <w:footnote w:type="continuationSeparator" w:id="0">
    <w:p w:rsidR="00D02C52" w:rsidRDefault="00D02C52">
      <w:r>
        <w:continuationSeparator/>
      </w:r>
    </w:p>
  </w:footnote>
  <w:footnote w:type="continuationNotice" w:id="1">
    <w:p w:rsidR="00D02C52" w:rsidRDefault="00D02C52"/>
  </w:footnote>
  <w:footnote w:id="2">
    <w:p w:rsidR="00454EF6" w:rsidRDefault="00454EF6" w:rsidP="00454EF6">
      <w:pPr>
        <w:pStyle w:val="a4"/>
        <w:rPr>
          <w:rtl/>
        </w:rPr>
      </w:pPr>
      <w:r>
        <w:rPr>
          <w:rStyle w:val="a6"/>
        </w:rPr>
        <w:footnoteRef/>
      </w:r>
      <w:r>
        <w:rPr>
          <w:rtl/>
        </w:rPr>
        <w:t xml:space="preserve"> </w:t>
      </w:r>
      <w:r>
        <w:rPr>
          <w:rFonts w:hint="cs"/>
          <w:rtl/>
        </w:rPr>
        <w:t>ס"ח תשמ"ו, עמ' 31; תשע"ו, עמ' 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7B7D"/>
    <w:multiLevelType w:val="hybridMultilevel"/>
    <w:tmpl w:val="7E52AE5A"/>
    <w:lvl w:ilvl="0" w:tplc="77183E9A">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21031"/>
    <w:multiLevelType w:val="hybridMultilevel"/>
    <w:tmpl w:val="CD42D4BE"/>
    <w:lvl w:ilvl="0" w:tplc="10BC805E">
      <w:start w:val="1"/>
      <w:numFmt w:val="hebrew1"/>
      <w:lvlRestart w:val="0"/>
      <w:lvlText w:val="(%1)"/>
      <w:lvlJc w:val="left"/>
      <w:pPr>
        <w:tabs>
          <w:tab w:val="num" w:pos="624"/>
        </w:tabs>
        <w:ind w:left="0" w:firstLine="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077A81"/>
    <w:multiLevelType w:val="hybridMultilevel"/>
    <w:tmpl w:val="E7B6B256"/>
    <w:lvl w:ilvl="0" w:tplc="3CE480D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04BCF"/>
    <w:multiLevelType w:val="hybridMultilevel"/>
    <w:tmpl w:val="35C8BAEC"/>
    <w:lvl w:ilvl="0" w:tplc="DEDAD9B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64E87"/>
    <w:multiLevelType w:val="hybridMultilevel"/>
    <w:tmpl w:val="A784E69C"/>
    <w:lvl w:ilvl="0" w:tplc="4DF890F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11BD1"/>
    <w:multiLevelType w:val="hybridMultilevel"/>
    <w:tmpl w:val="9EBC0904"/>
    <w:lvl w:ilvl="0" w:tplc="8D56A2E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25362"/>
    <w:multiLevelType w:val="hybridMultilevel"/>
    <w:tmpl w:val="24E825EC"/>
    <w:lvl w:ilvl="0" w:tplc="2306E52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02D9"/>
    <w:multiLevelType w:val="hybridMultilevel"/>
    <w:tmpl w:val="E3E8BBB0"/>
    <w:lvl w:ilvl="0" w:tplc="FD1821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F1D63"/>
    <w:multiLevelType w:val="hybridMultilevel"/>
    <w:tmpl w:val="099C12F4"/>
    <w:lvl w:ilvl="0" w:tplc="0964AD42">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96882"/>
    <w:multiLevelType w:val="hybridMultilevel"/>
    <w:tmpl w:val="43EAE310"/>
    <w:lvl w:ilvl="0" w:tplc="346A455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46CCB"/>
    <w:multiLevelType w:val="hybridMultilevel"/>
    <w:tmpl w:val="8DF46AA6"/>
    <w:lvl w:ilvl="0" w:tplc="A22CFF9C">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E6CEF"/>
    <w:multiLevelType w:val="hybridMultilevel"/>
    <w:tmpl w:val="B69CEEA0"/>
    <w:lvl w:ilvl="0" w:tplc="F7B22D5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31D0B"/>
    <w:multiLevelType w:val="hybridMultilevel"/>
    <w:tmpl w:val="C228EB0E"/>
    <w:lvl w:ilvl="0" w:tplc="69AA406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CB2260"/>
    <w:multiLevelType w:val="hybridMultilevel"/>
    <w:tmpl w:val="674C38F4"/>
    <w:lvl w:ilvl="0" w:tplc="5C742A22">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B5E16"/>
    <w:multiLevelType w:val="hybridMultilevel"/>
    <w:tmpl w:val="795C5D94"/>
    <w:lvl w:ilvl="0" w:tplc="837CC77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8634AA"/>
    <w:multiLevelType w:val="hybridMultilevel"/>
    <w:tmpl w:val="FB209E2A"/>
    <w:lvl w:ilvl="0" w:tplc="2AC2B41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96342"/>
    <w:multiLevelType w:val="hybridMultilevel"/>
    <w:tmpl w:val="07CEA6C4"/>
    <w:lvl w:ilvl="0" w:tplc="2536FA2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AC0D38"/>
    <w:multiLevelType w:val="hybridMultilevel"/>
    <w:tmpl w:val="99F26FB0"/>
    <w:lvl w:ilvl="0" w:tplc="7BA8788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184D"/>
    <w:multiLevelType w:val="hybridMultilevel"/>
    <w:tmpl w:val="13003052"/>
    <w:lvl w:ilvl="0" w:tplc="3B14F1E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54F5F"/>
    <w:multiLevelType w:val="hybridMultilevel"/>
    <w:tmpl w:val="1D4C534A"/>
    <w:lvl w:ilvl="0" w:tplc="A5ECEC5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B16A7"/>
    <w:multiLevelType w:val="hybridMultilevel"/>
    <w:tmpl w:val="7E646466"/>
    <w:lvl w:ilvl="0" w:tplc="ECCCD5F4">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A867E1"/>
    <w:multiLevelType w:val="hybridMultilevel"/>
    <w:tmpl w:val="FE1AE49C"/>
    <w:lvl w:ilvl="0" w:tplc="526C65F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3A511A"/>
    <w:multiLevelType w:val="hybridMultilevel"/>
    <w:tmpl w:val="1CC4E434"/>
    <w:lvl w:ilvl="0" w:tplc="FBF6BF3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73AAC"/>
    <w:multiLevelType w:val="hybridMultilevel"/>
    <w:tmpl w:val="3DF2BD80"/>
    <w:lvl w:ilvl="0" w:tplc="F516F990">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F5440A"/>
    <w:multiLevelType w:val="hybridMultilevel"/>
    <w:tmpl w:val="CDDC10D2"/>
    <w:lvl w:ilvl="0" w:tplc="9B72E5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192F9D"/>
    <w:multiLevelType w:val="hybridMultilevel"/>
    <w:tmpl w:val="FCC48F54"/>
    <w:lvl w:ilvl="0" w:tplc="1ADA9F80">
      <w:start w:val="1"/>
      <w:numFmt w:val="hebrew1"/>
      <w:lvlText w:val="%1."/>
      <w:lvlJc w:val="left"/>
      <w:pPr>
        <w:ind w:left="630" w:hanging="360"/>
      </w:pPr>
      <w:rPr>
        <w:rFonts w:cs="David" w:hint="default"/>
        <w:sz w:val="26"/>
        <w:szCs w:val="26"/>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6331239E"/>
    <w:multiLevelType w:val="hybridMultilevel"/>
    <w:tmpl w:val="DAB63258"/>
    <w:lvl w:ilvl="0" w:tplc="935810C6">
      <w:numFmt w:val="bullet"/>
      <w:lvlText w:val="-"/>
      <w:lvlJc w:val="left"/>
      <w:pPr>
        <w:ind w:left="9148" w:hanging="360"/>
      </w:pPr>
      <w:rPr>
        <w:rFonts w:ascii="Times New Roman" w:eastAsia="Times New Roman" w:hAnsi="Times New Roman" w:cs="Times New Roman" w:hint="default"/>
        <w:sz w:val="18"/>
      </w:rPr>
    </w:lvl>
    <w:lvl w:ilvl="1" w:tplc="04090003" w:tentative="1">
      <w:start w:val="1"/>
      <w:numFmt w:val="bullet"/>
      <w:lvlText w:val="o"/>
      <w:lvlJc w:val="left"/>
      <w:pPr>
        <w:ind w:left="9868" w:hanging="360"/>
      </w:pPr>
      <w:rPr>
        <w:rFonts w:ascii="Courier New" w:hAnsi="Courier New" w:cs="Courier New" w:hint="default"/>
      </w:rPr>
    </w:lvl>
    <w:lvl w:ilvl="2" w:tplc="04090005" w:tentative="1">
      <w:start w:val="1"/>
      <w:numFmt w:val="bullet"/>
      <w:lvlText w:val=""/>
      <w:lvlJc w:val="left"/>
      <w:pPr>
        <w:ind w:left="10588" w:hanging="360"/>
      </w:pPr>
      <w:rPr>
        <w:rFonts w:ascii="Wingdings" w:hAnsi="Wingdings" w:hint="default"/>
      </w:rPr>
    </w:lvl>
    <w:lvl w:ilvl="3" w:tplc="04090001" w:tentative="1">
      <w:start w:val="1"/>
      <w:numFmt w:val="bullet"/>
      <w:lvlText w:val=""/>
      <w:lvlJc w:val="left"/>
      <w:pPr>
        <w:ind w:left="11308" w:hanging="360"/>
      </w:pPr>
      <w:rPr>
        <w:rFonts w:ascii="Symbol" w:hAnsi="Symbol" w:hint="default"/>
      </w:rPr>
    </w:lvl>
    <w:lvl w:ilvl="4" w:tplc="04090003" w:tentative="1">
      <w:start w:val="1"/>
      <w:numFmt w:val="bullet"/>
      <w:lvlText w:val="o"/>
      <w:lvlJc w:val="left"/>
      <w:pPr>
        <w:ind w:left="12028" w:hanging="360"/>
      </w:pPr>
      <w:rPr>
        <w:rFonts w:ascii="Courier New" w:hAnsi="Courier New" w:cs="Courier New" w:hint="default"/>
      </w:rPr>
    </w:lvl>
    <w:lvl w:ilvl="5" w:tplc="04090005" w:tentative="1">
      <w:start w:val="1"/>
      <w:numFmt w:val="bullet"/>
      <w:lvlText w:val=""/>
      <w:lvlJc w:val="left"/>
      <w:pPr>
        <w:ind w:left="12748" w:hanging="360"/>
      </w:pPr>
      <w:rPr>
        <w:rFonts w:ascii="Wingdings" w:hAnsi="Wingdings" w:hint="default"/>
      </w:rPr>
    </w:lvl>
    <w:lvl w:ilvl="6" w:tplc="04090001" w:tentative="1">
      <w:start w:val="1"/>
      <w:numFmt w:val="bullet"/>
      <w:lvlText w:val=""/>
      <w:lvlJc w:val="left"/>
      <w:pPr>
        <w:ind w:left="13468" w:hanging="360"/>
      </w:pPr>
      <w:rPr>
        <w:rFonts w:ascii="Symbol" w:hAnsi="Symbol" w:hint="default"/>
      </w:rPr>
    </w:lvl>
    <w:lvl w:ilvl="7" w:tplc="04090003" w:tentative="1">
      <w:start w:val="1"/>
      <w:numFmt w:val="bullet"/>
      <w:lvlText w:val="o"/>
      <w:lvlJc w:val="left"/>
      <w:pPr>
        <w:ind w:left="14188" w:hanging="360"/>
      </w:pPr>
      <w:rPr>
        <w:rFonts w:ascii="Courier New" w:hAnsi="Courier New" w:cs="Courier New" w:hint="default"/>
      </w:rPr>
    </w:lvl>
    <w:lvl w:ilvl="8" w:tplc="04090005" w:tentative="1">
      <w:start w:val="1"/>
      <w:numFmt w:val="bullet"/>
      <w:lvlText w:val=""/>
      <w:lvlJc w:val="left"/>
      <w:pPr>
        <w:ind w:left="14908" w:hanging="360"/>
      </w:pPr>
      <w:rPr>
        <w:rFonts w:ascii="Wingdings" w:hAnsi="Wingdings" w:hint="default"/>
      </w:rPr>
    </w:lvl>
  </w:abstractNum>
  <w:abstractNum w:abstractNumId="27">
    <w:nsid w:val="65ED14C3"/>
    <w:multiLevelType w:val="hybridMultilevel"/>
    <w:tmpl w:val="80DCD8B0"/>
    <w:lvl w:ilvl="0" w:tplc="DAE29EC8">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F540E4"/>
    <w:multiLevelType w:val="hybridMultilevel"/>
    <w:tmpl w:val="53FAF20C"/>
    <w:lvl w:ilvl="0" w:tplc="2808FDE4">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74449"/>
    <w:multiLevelType w:val="hybridMultilevel"/>
    <w:tmpl w:val="EC923544"/>
    <w:lvl w:ilvl="0" w:tplc="4CAE149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0C388A"/>
    <w:multiLevelType w:val="hybridMultilevel"/>
    <w:tmpl w:val="037888B4"/>
    <w:lvl w:ilvl="0" w:tplc="E03E5520">
      <w:start w:val="1"/>
      <w:numFmt w:val="decimal"/>
      <w:lvlRestart w:val="0"/>
      <w:lvlText w:val="(%1)"/>
      <w:lvlJc w:val="left"/>
      <w:pPr>
        <w:tabs>
          <w:tab w:val="num" w:pos="62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C2208"/>
    <w:multiLevelType w:val="hybridMultilevel"/>
    <w:tmpl w:val="C72441D6"/>
    <w:lvl w:ilvl="0" w:tplc="B2C0F8A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666A0"/>
    <w:multiLevelType w:val="hybridMultilevel"/>
    <w:tmpl w:val="905A42C0"/>
    <w:lvl w:ilvl="0" w:tplc="D2C0A59C">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8282F"/>
    <w:multiLevelType w:val="hybridMultilevel"/>
    <w:tmpl w:val="47E208FE"/>
    <w:lvl w:ilvl="0" w:tplc="3962CBE4">
      <w:start w:val="1"/>
      <w:numFmt w:val="hebrew1"/>
      <w:lvlText w:val="%1."/>
      <w:lvlJc w:val="center"/>
      <w:pPr>
        <w:ind w:left="360" w:hanging="360"/>
      </w:pPr>
      <w:rPr>
        <w:b/>
        <w:bCs/>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E2359D"/>
    <w:multiLevelType w:val="hybridMultilevel"/>
    <w:tmpl w:val="212A8E4E"/>
    <w:lvl w:ilvl="0" w:tplc="60AC429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3B55CA"/>
    <w:multiLevelType w:val="hybridMultilevel"/>
    <w:tmpl w:val="FBACB712"/>
    <w:lvl w:ilvl="0" w:tplc="539262F0">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C5149"/>
    <w:multiLevelType w:val="hybridMultilevel"/>
    <w:tmpl w:val="584A80FC"/>
    <w:lvl w:ilvl="0" w:tplc="CC78C35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F032F"/>
    <w:multiLevelType w:val="hybridMultilevel"/>
    <w:tmpl w:val="B1B0280C"/>
    <w:lvl w:ilvl="0" w:tplc="843801C2">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0E038A"/>
    <w:multiLevelType w:val="hybridMultilevel"/>
    <w:tmpl w:val="06B6C848"/>
    <w:lvl w:ilvl="0" w:tplc="CE925FBA">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39"/>
  </w:num>
  <w:num w:numId="4">
    <w:abstractNumId w:val="13"/>
  </w:num>
  <w:num w:numId="5">
    <w:abstractNumId w:val="33"/>
  </w:num>
  <w:num w:numId="6">
    <w:abstractNumId w:val="34"/>
  </w:num>
  <w:num w:numId="7">
    <w:abstractNumId w:val="21"/>
  </w:num>
  <w:num w:numId="8">
    <w:abstractNumId w:val="32"/>
  </w:num>
  <w:num w:numId="9">
    <w:abstractNumId w:val="24"/>
  </w:num>
  <w:num w:numId="10">
    <w:abstractNumId w:val="31"/>
  </w:num>
  <w:num w:numId="11">
    <w:abstractNumId w:val="35"/>
  </w:num>
  <w:num w:numId="12">
    <w:abstractNumId w:val="3"/>
  </w:num>
  <w:num w:numId="13">
    <w:abstractNumId w:val="11"/>
  </w:num>
  <w:num w:numId="14">
    <w:abstractNumId w:val="4"/>
  </w:num>
  <w:num w:numId="15">
    <w:abstractNumId w:val="38"/>
  </w:num>
  <w:num w:numId="16">
    <w:abstractNumId w:val="10"/>
  </w:num>
  <w:num w:numId="17">
    <w:abstractNumId w:val="1"/>
  </w:num>
  <w:num w:numId="18">
    <w:abstractNumId w:val="15"/>
  </w:num>
  <w:num w:numId="19">
    <w:abstractNumId w:val="14"/>
  </w:num>
  <w:num w:numId="20">
    <w:abstractNumId w:val="18"/>
  </w:num>
  <w:num w:numId="21">
    <w:abstractNumId w:val="2"/>
  </w:num>
  <w:num w:numId="22">
    <w:abstractNumId w:val="22"/>
  </w:num>
  <w:num w:numId="23">
    <w:abstractNumId w:val="0"/>
  </w:num>
  <w:num w:numId="24">
    <w:abstractNumId w:val="6"/>
  </w:num>
  <w:num w:numId="25">
    <w:abstractNumId w:val="30"/>
  </w:num>
  <w:num w:numId="26">
    <w:abstractNumId w:val="23"/>
  </w:num>
  <w:num w:numId="27">
    <w:abstractNumId w:val="20"/>
  </w:num>
  <w:num w:numId="28">
    <w:abstractNumId w:val="7"/>
  </w:num>
  <w:num w:numId="29">
    <w:abstractNumId w:val="8"/>
  </w:num>
  <w:num w:numId="30">
    <w:abstractNumId w:val="36"/>
  </w:num>
  <w:num w:numId="31">
    <w:abstractNumId w:val="28"/>
  </w:num>
  <w:num w:numId="32">
    <w:abstractNumId w:val="37"/>
  </w:num>
  <w:num w:numId="33">
    <w:abstractNumId w:val="27"/>
  </w:num>
  <w:num w:numId="34">
    <w:abstractNumId w:val="5"/>
  </w:num>
  <w:num w:numId="35">
    <w:abstractNumId w:val="12"/>
  </w:num>
  <w:num w:numId="36">
    <w:abstractNumId w:val="16"/>
  </w:num>
  <w:num w:numId="37">
    <w:abstractNumId w:val="9"/>
  </w:num>
  <w:num w:numId="38">
    <w:abstractNumId w:val="29"/>
  </w:num>
  <w:num w:numId="39">
    <w:abstractNumId w:val="26"/>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stylePaneFormatFilter w:val="0002"/>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applyBreakingRules/>
    <w:useFELayout/>
  </w:compat>
  <w:rsids>
    <w:rsidRoot w:val="009E1337"/>
    <w:rsid w:val="000E19BA"/>
    <w:rsid w:val="000E1F1B"/>
    <w:rsid w:val="001233B6"/>
    <w:rsid w:val="00130D69"/>
    <w:rsid w:val="00132D74"/>
    <w:rsid w:val="00172FA1"/>
    <w:rsid w:val="0021456F"/>
    <w:rsid w:val="002630AD"/>
    <w:rsid w:val="00273824"/>
    <w:rsid w:val="002841E2"/>
    <w:rsid w:val="0033093C"/>
    <w:rsid w:val="003622CB"/>
    <w:rsid w:val="003E194C"/>
    <w:rsid w:val="003E1E8C"/>
    <w:rsid w:val="003F1970"/>
    <w:rsid w:val="00426086"/>
    <w:rsid w:val="00454EF6"/>
    <w:rsid w:val="00472897"/>
    <w:rsid w:val="004C7737"/>
    <w:rsid w:val="005B472E"/>
    <w:rsid w:val="005D2B85"/>
    <w:rsid w:val="006020B8"/>
    <w:rsid w:val="0063567F"/>
    <w:rsid w:val="0066334F"/>
    <w:rsid w:val="00707A8A"/>
    <w:rsid w:val="0071017D"/>
    <w:rsid w:val="008722E0"/>
    <w:rsid w:val="008766BB"/>
    <w:rsid w:val="0098170A"/>
    <w:rsid w:val="00996634"/>
    <w:rsid w:val="009B3801"/>
    <w:rsid w:val="009E1337"/>
    <w:rsid w:val="00A346E2"/>
    <w:rsid w:val="00B0185F"/>
    <w:rsid w:val="00B153C3"/>
    <w:rsid w:val="00B560EC"/>
    <w:rsid w:val="00BD6AB1"/>
    <w:rsid w:val="00BF76A4"/>
    <w:rsid w:val="00CA1F7C"/>
    <w:rsid w:val="00CF6878"/>
    <w:rsid w:val="00D02C52"/>
    <w:rsid w:val="00D5059C"/>
    <w:rsid w:val="00D80A9C"/>
    <w:rsid w:val="00DB6197"/>
    <w:rsid w:val="00E94C84"/>
    <w:rsid w:val="00F64906"/>
    <w:rsid w:val="00F83E44"/>
    <w:rsid w:val="00FC48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C84"/>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E94C84"/>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rsid w:val="00E94C84"/>
    <w:pPr>
      <w:tabs>
        <w:tab w:val="left" w:pos="1191"/>
        <w:tab w:val="left" w:pos="1587"/>
      </w:tabs>
      <w:spacing w:before="240" w:after="240" w:line="480" w:lineRule="auto"/>
      <w:jc w:val="center"/>
    </w:pPr>
  </w:style>
  <w:style w:type="paragraph" w:customStyle="1" w:styleId="Cover2-HatzaotHok">
    <w:name w:val="Cover 2-HatzaotHok"/>
    <w:basedOn w:val="Cover1-Reshumot"/>
    <w:rsid w:val="00E94C84"/>
    <w:rPr>
      <w:sz w:val="36"/>
      <w:szCs w:val="52"/>
    </w:rPr>
  </w:style>
  <w:style w:type="paragraph" w:customStyle="1" w:styleId="Cover3-Haknesset">
    <w:name w:val="Cover 3-Haknesset"/>
    <w:basedOn w:val="Cover1-Reshumot"/>
    <w:rsid w:val="00E94C84"/>
    <w:rPr>
      <w:b/>
      <w:bCs/>
      <w:spacing w:val="60"/>
    </w:rPr>
  </w:style>
  <w:style w:type="paragraph" w:customStyle="1" w:styleId="Cover4-Date">
    <w:name w:val="Cover 4-Date"/>
    <w:basedOn w:val="Noparagraphstyle"/>
    <w:rsid w:val="00E94C84"/>
    <w:pPr>
      <w:pBdr>
        <w:bottom w:val="single" w:sz="4" w:space="0" w:color="auto"/>
      </w:pBdr>
      <w:tabs>
        <w:tab w:val="center" w:pos="4820"/>
        <w:tab w:val="right" w:pos="9639"/>
      </w:tabs>
      <w:spacing w:before="240" w:after="240"/>
    </w:pPr>
  </w:style>
  <w:style w:type="paragraph" w:customStyle="1" w:styleId="TOC">
    <w:name w:val="TOC"/>
    <w:basedOn w:val="Noparagraphstyle"/>
    <w:rsid w:val="00E94C84"/>
    <w:pPr>
      <w:tabs>
        <w:tab w:val="left" w:leader="dot" w:pos="8789"/>
      </w:tabs>
      <w:spacing w:before="120"/>
      <w:ind w:left="284" w:right="284"/>
    </w:pPr>
  </w:style>
  <w:style w:type="paragraph" w:customStyle="1" w:styleId="TOCpg">
    <w:name w:val="TOC pg"/>
    <w:basedOn w:val="TOC"/>
    <w:rsid w:val="00E94C84"/>
    <w:pPr>
      <w:spacing w:after="120"/>
      <w:ind w:right="567"/>
      <w:jc w:val="right"/>
    </w:pPr>
  </w:style>
  <w:style w:type="paragraph" w:customStyle="1" w:styleId="HeadMitparsemetBaze">
    <w:name w:val="Head MitparsemetBaze"/>
    <w:basedOn w:val="Noparagraphstyle"/>
    <w:rsid w:val="00E94C84"/>
    <w:pPr>
      <w:keepNext/>
      <w:keepLines/>
      <w:pageBreakBefore/>
      <w:spacing w:before="480"/>
      <w:jc w:val="both"/>
    </w:pPr>
    <w:rPr>
      <w:b/>
      <w:bCs/>
    </w:rPr>
  </w:style>
  <w:style w:type="paragraph" w:customStyle="1" w:styleId="HeadHatzaotHok">
    <w:name w:val="Head HatzaotHok"/>
    <w:basedOn w:val="Noparagraphstyle"/>
    <w:rsid w:val="00E94C84"/>
    <w:pPr>
      <w:keepNext/>
      <w:keepLines/>
      <w:spacing w:before="240"/>
      <w:jc w:val="center"/>
    </w:pPr>
    <w:rPr>
      <w:b/>
      <w:bCs/>
    </w:rPr>
  </w:style>
  <w:style w:type="paragraph" w:customStyle="1" w:styleId="HeadHatzaotHok4Futer">
    <w:name w:val="Head HatzaotHok4Futer"/>
    <w:basedOn w:val="HeadHatzaotHok"/>
    <w:rsid w:val="00E94C84"/>
    <w:pPr>
      <w:spacing w:before="120" w:after="120"/>
    </w:pPr>
    <w:rPr>
      <w:color w:val="FF0000"/>
      <w:w w:val="80"/>
    </w:rPr>
  </w:style>
  <w:style w:type="paragraph" w:styleId="a3">
    <w:name w:val="endnote text"/>
    <w:basedOn w:val="Ragil"/>
    <w:semiHidden/>
    <w:rsid w:val="00E94C84"/>
    <w:pPr>
      <w:ind w:left="227" w:hanging="227"/>
    </w:pPr>
    <w:rPr>
      <w:sz w:val="14"/>
      <w:szCs w:val="22"/>
    </w:rPr>
  </w:style>
  <w:style w:type="paragraph" w:customStyle="1" w:styleId="TableText">
    <w:name w:val="Table Text"/>
    <w:basedOn w:val="Ragil"/>
    <w:link w:val="TableText0"/>
    <w:rsid w:val="00E94C84"/>
    <w:pPr>
      <w:keepLines/>
      <w:tabs>
        <w:tab w:val="left" w:pos="624"/>
        <w:tab w:val="left" w:pos="1247"/>
      </w:tabs>
      <w:ind w:right="57" w:firstLine="0"/>
    </w:pPr>
  </w:style>
  <w:style w:type="paragraph" w:customStyle="1" w:styleId="TableSideHeading">
    <w:name w:val="Table SideHeading"/>
    <w:basedOn w:val="TableText"/>
    <w:rsid w:val="00E94C84"/>
  </w:style>
  <w:style w:type="paragraph" w:customStyle="1" w:styleId="TableBlock">
    <w:name w:val="Table Block"/>
    <w:basedOn w:val="TableText"/>
    <w:link w:val="TableBlock0"/>
    <w:rsid w:val="00E94C84"/>
    <w:pPr>
      <w:ind w:right="0"/>
      <w:jc w:val="both"/>
    </w:pPr>
  </w:style>
  <w:style w:type="paragraph" w:customStyle="1" w:styleId="TableHead">
    <w:name w:val="Table Head"/>
    <w:basedOn w:val="TableText"/>
    <w:rsid w:val="00E94C84"/>
    <w:pPr>
      <w:ind w:right="0"/>
      <w:jc w:val="center"/>
    </w:pPr>
    <w:rPr>
      <w:b/>
      <w:bCs/>
    </w:rPr>
  </w:style>
  <w:style w:type="paragraph" w:customStyle="1" w:styleId="TableText2">
    <w:name w:val="Table Text2"/>
    <w:basedOn w:val="TableText"/>
    <w:rsid w:val="00E94C84"/>
  </w:style>
  <w:style w:type="paragraph" w:customStyle="1" w:styleId="TableInnerSideHeading">
    <w:name w:val="Table InnerSideHeading"/>
    <w:basedOn w:val="TableSideHeading"/>
    <w:rsid w:val="00E94C84"/>
  </w:style>
  <w:style w:type="paragraph" w:customStyle="1" w:styleId="Hesber">
    <w:name w:val="Hesber"/>
    <w:basedOn w:val="Ragil"/>
    <w:rsid w:val="00E94C84"/>
    <w:pPr>
      <w:jc w:val="both"/>
    </w:pPr>
  </w:style>
  <w:style w:type="paragraph" w:styleId="a4">
    <w:name w:val="footnote text"/>
    <w:basedOn w:val="Ragil"/>
    <w:link w:val="a5"/>
    <w:autoRedefine/>
    <w:semiHidden/>
    <w:rsid w:val="00E94C84"/>
    <w:pPr>
      <w:spacing w:line="240" w:lineRule="auto"/>
      <w:ind w:left="227" w:hanging="227"/>
    </w:pPr>
    <w:rPr>
      <w:sz w:val="14"/>
      <w:szCs w:val="20"/>
    </w:rPr>
  </w:style>
  <w:style w:type="character" w:styleId="a6">
    <w:name w:val="footnote reference"/>
    <w:aliases w:val="Footnote Reference"/>
    <w:basedOn w:val="a0"/>
    <w:rsid w:val="00E94C84"/>
    <w:rPr>
      <w:vertAlign w:val="superscript"/>
    </w:rPr>
  </w:style>
  <w:style w:type="paragraph" w:customStyle="1" w:styleId="HesberHeading">
    <w:name w:val="Hesber Heading"/>
    <w:basedOn w:val="Hesber"/>
    <w:rsid w:val="00E94C84"/>
    <w:pPr>
      <w:keepNext/>
      <w:keepLines/>
      <w:spacing w:before="240"/>
      <w:ind w:firstLine="0"/>
    </w:pPr>
    <w:rPr>
      <w:b/>
      <w:bCs/>
    </w:rPr>
  </w:style>
  <w:style w:type="paragraph" w:customStyle="1" w:styleId="HesberWriters">
    <w:name w:val="Hesber Writers"/>
    <w:basedOn w:val="Hesber"/>
    <w:rsid w:val="00E94C84"/>
    <w:pPr>
      <w:spacing w:before="120" w:after="6000"/>
      <w:ind w:left="1418" w:firstLine="0"/>
      <w:jc w:val="right"/>
    </w:pPr>
    <w:rPr>
      <w:b/>
      <w:bCs/>
    </w:rPr>
  </w:style>
  <w:style w:type="paragraph" w:customStyle="1" w:styleId="Hesber1st">
    <w:name w:val="Hesber 1st"/>
    <w:basedOn w:val="Hesber"/>
    <w:rsid w:val="00E94C84"/>
    <w:pPr>
      <w:tabs>
        <w:tab w:val="left" w:pos="680"/>
        <w:tab w:val="left" w:pos="1020"/>
      </w:tabs>
      <w:ind w:firstLine="0"/>
    </w:pPr>
  </w:style>
  <w:style w:type="character" w:styleId="a7">
    <w:name w:val="endnote reference"/>
    <w:basedOn w:val="a0"/>
    <w:semiHidden/>
    <w:rsid w:val="00E94C84"/>
    <w:rPr>
      <w:vertAlign w:val="superscript"/>
    </w:rPr>
  </w:style>
  <w:style w:type="paragraph" w:customStyle="1" w:styleId="TableBlockOutdent">
    <w:name w:val="Table BlockOutdent"/>
    <w:basedOn w:val="TableBlock"/>
    <w:rsid w:val="00E94C84"/>
    <w:pPr>
      <w:ind w:left="624" w:hanging="624"/>
    </w:pPr>
  </w:style>
  <w:style w:type="paragraph" w:styleId="a8">
    <w:name w:val="header"/>
    <w:basedOn w:val="a"/>
    <w:rsid w:val="00E94C84"/>
    <w:pPr>
      <w:tabs>
        <w:tab w:val="center" w:pos="4153"/>
        <w:tab w:val="right" w:pos="8306"/>
      </w:tabs>
    </w:pPr>
  </w:style>
  <w:style w:type="paragraph" w:styleId="a9">
    <w:name w:val="footer"/>
    <w:basedOn w:val="a"/>
    <w:rsid w:val="00E94C84"/>
    <w:pPr>
      <w:tabs>
        <w:tab w:val="center" w:pos="4153"/>
        <w:tab w:val="right" w:pos="8306"/>
      </w:tabs>
    </w:pPr>
  </w:style>
  <w:style w:type="paragraph" w:customStyle="1" w:styleId="HeadDivreiHesber">
    <w:name w:val="Head DivreiHesber"/>
    <w:basedOn w:val="Ragil"/>
    <w:rsid w:val="00E94C84"/>
    <w:pPr>
      <w:spacing w:before="360" w:after="120"/>
      <w:ind w:firstLine="0"/>
      <w:jc w:val="center"/>
    </w:pPr>
    <w:rPr>
      <w:b/>
      <w:spacing w:val="40"/>
    </w:rPr>
  </w:style>
  <w:style w:type="paragraph" w:customStyle="1" w:styleId="Ragil">
    <w:name w:val="Ragil"/>
    <w:basedOn w:val="Noparagraphstyle"/>
    <w:rsid w:val="00E94C84"/>
    <w:pPr>
      <w:ind w:firstLine="340"/>
    </w:pPr>
  </w:style>
  <w:style w:type="character" w:styleId="aa">
    <w:name w:val="page number"/>
    <w:basedOn w:val="a0"/>
    <w:rsid w:val="00E94C84"/>
  </w:style>
  <w:style w:type="character" w:customStyle="1" w:styleId="default">
    <w:name w:val="default"/>
    <w:basedOn w:val="a0"/>
    <w:rsid w:val="00E94C84"/>
    <w:rPr>
      <w:rFonts w:ascii="Times New Roman" w:hAnsi="Times New Roman" w:cs="Times New Roman"/>
      <w:sz w:val="26"/>
      <w:szCs w:val="26"/>
    </w:rPr>
  </w:style>
  <w:style w:type="paragraph" w:customStyle="1" w:styleId="P11">
    <w:name w:val="P11"/>
    <w:basedOn w:val="a"/>
    <w:rsid w:val="00E94C84"/>
    <w:pPr>
      <w:tabs>
        <w:tab w:val="left" w:pos="1021"/>
        <w:tab w:val="left" w:pos="1474"/>
        <w:tab w:val="left" w:pos="1928"/>
        <w:tab w:val="left" w:pos="2381"/>
        <w:tab w:val="left" w:pos="2835"/>
        <w:tab w:val="right" w:leader="dot" w:pos="6259"/>
      </w:tabs>
      <w:suppressAutoHyphens/>
      <w:adjustRightInd/>
      <w:spacing w:before="60" w:line="240" w:lineRule="auto"/>
      <w:ind w:left="2835" w:right="624" w:firstLine="0"/>
      <w:textAlignment w:val="auto"/>
    </w:pPr>
    <w:rPr>
      <w:rFonts w:ascii="Times New Roman" w:eastAsia="Times New Roman" w:hAnsi="Times New Roman" w:cs="Times New Roman"/>
      <w:noProof/>
      <w:color w:val="auto"/>
      <w:spacing w:val="0"/>
      <w:sz w:val="20"/>
      <w:szCs w:val="26"/>
      <w:lang w:eastAsia="he-IL"/>
    </w:rPr>
  </w:style>
  <w:style w:type="character" w:styleId="Hyperlink">
    <w:name w:val="Hyperlink"/>
    <w:basedOn w:val="a0"/>
    <w:rsid w:val="00E94C84"/>
    <w:rPr>
      <w:color w:val="0000FF"/>
      <w:u w:val="single"/>
    </w:rPr>
  </w:style>
  <w:style w:type="paragraph" w:styleId="ab">
    <w:name w:val="Balloon Text"/>
    <w:basedOn w:val="a"/>
    <w:link w:val="ac"/>
    <w:rsid w:val="00E94C84"/>
    <w:pPr>
      <w:spacing w:before="0" w:line="240" w:lineRule="auto"/>
    </w:pPr>
    <w:rPr>
      <w:rFonts w:ascii="Tahoma" w:hAnsi="Tahoma" w:cs="Tahoma"/>
      <w:sz w:val="16"/>
      <w:szCs w:val="16"/>
    </w:rPr>
  </w:style>
  <w:style w:type="character" w:customStyle="1" w:styleId="ac">
    <w:name w:val="טקסט בלונים תו"/>
    <w:basedOn w:val="a0"/>
    <w:link w:val="ab"/>
    <w:rsid w:val="00E94C84"/>
    <w:rPr>
      <w:rFonts w:ascii="Tahoma" w:hAnsi="Tahoma" w:cs="Tahoma"/>
      <w:color w:val="000000"/>
      <w:spacing w:val="1"/>
      <w:sz w:val="16"/>
      <w:szCs w:val="16"/>
      <w:lang w:eastAsia="ja-JP"/>
    </w:rPr>
  </w:style>
  <w:style w:type="paragraph" w:styleId="ad">
    <w:name w:val="List Paragraph"/>
    <w:basedOn w:val="a"/>
    <w:link w:val="ae"/>
    <w:uiPriority w:val="34"/>
    <w:qFormat/>
    <w:rsid w:val="00E94C84"/>
    <w:pPr>
      <w:ind w:left="720"/>
      <w:contextualSpacing/>
    </w:pPr>
  </w:style>
  <w:style w:type="character" w:customStyle="1" w:styleId="a5">
    <w:name w:val="טקסט הערת שוליים תו"/>
    <w:basedOn w:val="a0"/>
    <w:link w:val="a4"/>
    <w:semiHidden/>
    <w:rsid w:val="001233B6"/>
    <w:rPr>
      <w:rFonts w:ascii="Arial" w:eastAsia="Arial Unicode MS" w:hAnsi="Arial" w:cs="David"/>
      <w:snapToGrid w:val="0"/>
      <w:color w:val="000000"/>
      <w:sz w:val="14"/>
      <w:lang w:eastAsia="ja-JP"/>
    </w:rPr>
  </w:style>
  <w:style w:type="character" w:customStyle="1" w:styleId="TableText0">
    <w:name w:val="Table Text תו"/>
    <w:link w:val="TableText"/>
    <w:rsid w:val="001233B6"/>
    <w:rPr>
      <w:rFonts w:ascii="Arial" w:eastAsia="Arial Unicode MS" w:hAnsi="Arial" w:cs="David"/>
      <w:snapToGrid w:val="0"/>
      <w:color w:val="000000"/>
      <w:szCs w:val="26"/>
      <w:lang w:eastAsia="ja-JP"/>
    </w:rPr>
  </w:style>
  <w:style w:type="character" w:customStyle="1" w:styleId="TableBlock0">
    <w:name w:val="Table Block תו"/>
    <w:link w:val="TableBlock"/>
    <w:rsid w:val="001233B6"/>
    <w:rPr>
      <w:rFonts w:ascii="Arial" w:eastAsia="Arial Unicode MS" w:hAnsi="Arial" w:cs="David"/>
      <w:snapToGrid w:val="0"/>
      <w:color w:val="000000"/>
      <w:szCs w:val="26"/>
      <w:lang w:eastAsia="ja-JP"/>
    </w:rPr>
  </w:style>
  <w:style w:type="character" w:customStyle="1" w:styleId="ae">
    <w:name w:val="פיסקת רשימה תו"/>
    <w:link w:val="ad"/>
    <w:uiPriority w:val="34"/>
    <w:locked/>
    <w:rsid w:val="00B153C3"/>
    <w:rPr>
      <w:rFonts w:ascii="Hadasa Roso SL" w:hAnsi="Hadasa Roso SL" w:cs="Hadasa Roso SL"/>
      <w:color w:val="000000"/>
      <w:spacing w:val="1"/>
      <w:sz w:val="17"/>
      <w:szCs w:val="17"/>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Noparagraphstyle"/>
    <w:pPr>
      <w:tabs>
        <w:tab w:val="left" w:pos="1191"/>
        <w:tab w:val="left" w:pos="1587"/>
      </w:tabs>
      <w:spacing w:before="240" w:after="240" w:line="480" w:lineRule="auto"/>
      <w:jc w:val="center"/>
    </w:pPr>
  </w:style>
  <w:style w:type="paragraph" w:customStyle="1" w:styleId="Cover2-HatzaotHok">
    <w:name w:val="Cover 2-HatzaotHok"/>
    <w:basedOn w:val="Cover1-Reshumot"/>
    <w:rPr>
      <w:sz w:val="36"/>
      <w:szCs w:val="52"/>
    </w:rPr>
  </w:style>
  <w:style w:type="paragraph" w:customStyle="1" w:styleId="Cover3-Haknesset">
    <w:name w:val="Cover 3-Haknesset"/>
    <w:basedOn w:val="Cover1-Reshumot"/>
    <w:rPr>
      <w:b/>
      <w:bCs/>
      <w:spacing w:val="60"/>
    </w:rPr>
  </w:style>
  <w:style w:type="paragraph" w:customStyle="1" w:styleId="Cover4-Date">
    <w:name w:val="Cover 4-Date"/>
    <w:basedOn w:val="Noparagraphstyle"/>
    <w:pPr>
      <w:pBdr>
        <w:bottom w:val="single" w:sz="4" w:space="0" w:color="auto"/>
      </w:pBdr>
      <w:tabs>
        <w:tab w:val="center" w:pos="4820"/>
        <w:tab w:val="right" w:pos="9639"/>
      </w:tabs>
      <w:spacing w:before="240" w:after="240"/>
    </w:pPr>
  </w:style>
  <w:style w:type="paragraph" w:customStyle="1" w:styleId="TOC">
    <w:name w:val="TOC"/>
    <w:basedOn w:val="Noparagraphstyle"/>
    <w:pPr>
      <w:tabs>
        <w:tab w:val="left" w:leader="dot" w:pos="8789"/>
      </w:tabs>
      <w:spacing w:before="120"/>
      <w:ind w:left="284" w:right="284"/>
    </w:pPr>
  </w:style>
  <w:style w:type="paragraph" w:customStyle="1" w:styleId="TOCpg">
    <w:name w:val="TOC pg"/>
    <w:basedOn w:val="TOC"/>
    <w:pPr>
      <w:spacing w:after="120"/>
      <w:ind w:right="567"/>
      <w:jc w:val="right"/>
    </w:pPr>
  </w:style>
  <w:style w:type="paragraph" w:customStyle="1" w:styleId="HeadMitparsemetBaze">
    <w:name w:val="Head MitparsemetBaze"/>
    <w:basedOn w:val="Noparagraphstyle"/>
    <w:pPr>
      <w:keepNext/>
      <w:keepLines/>
      <w:pageBreakBefore/>
      <w:spacing w:before="480"/>
      <w:jc w:val="both"/>
    </w:pPr>
    <w:rPr>
      <w:b/>
      <w:bCs/>
    </w:rPr>
  </w:style>
  <w:style w:type="paragraph" w:customStyle="1" w:styleId="HeadHatzaotHok">
    <w:name w:val="Head HatzaotHok"/>
    <w:basedOn w:val="Noparagraphstyle"/>
    <w:pPr>
      <w:keepNext/>
      <w:keepLines/>
      <w:spacing w:before="240"/>
      <w:jc w:val="center"/>
    </w:pPr>
    <w:rPr>
      <w:b/>
      <w:bCs/>
    </w:rPr>
  </w:style>
  <w:style w:type="paragraph" w:customStyle="1" w:styleId="HeadHatzaotHok4Futer">
    <w:name w:val="Head HatzaotHok4Futer"/>
    <w:basedOn w:val="HeadHatzaotHok"/>
    <w:pPr>
      <w:spacing w:before="120" w:after="120"/>
    </w:pPr>
    <w:rPr>
      <w:color w:val="FF0000"/>
      <w:w w:val="80"/>
    </w:rPr>
  </w:style>
  <w:style w:type="paragraph" w:styleId="a3">
    <w:name w:val="endnote text"/>
    <w:basedOn w:val="Ragil"/>
    <w:semiHidden/>
    <w:pPr>
      <w:ind w:left="227" w:hanging="227"/>
    </w:pPr>
    <w:rPr>
      <w:sz w:val="14"/>
      <w:szCs w:val="22"/>
    </w:rPr>
  </w:style>
  <w:style w:type="paragraph" w:customStyle="1" w:styleId="TableText">
    <w:name w:val="Table Text"/>
    <w:basedOn w:val="Ragil"/>
    <w:link w:val="TableText0"/>
    <w:pPr>
      <w:keepLines/>
      <w:tabs>
        <w:tab w:val="left" w:pos="624"/>
        <w:tab w:val="left" w:pos="1247"/>
      </w:tabs>
      <w:ind w:right="57" w:firstLine="0"/>
    </w:pPr>
  </w:style>
  <w:style w:type="paragraph" w:customStyle="1" w:styleId="TableSideHeading">
    <w:name w:val="Table SideHeading"/>
    <w:basedOn w:val="TableText"/>
  </w:style>
  <w:style w:type="paragraph" w:customStyle="1" w:styleId="TableBlock">
    <w:name w:val="Table Block"/>
    <w:basedOn w:val="TableText"/>
    <w:link w:val="TableBlock0"/>
    <w:pPr>
      <w:ind w:right="0"/>
      <w:jc w:val="both"/>
    </w:pPr>
  </w:style>
  <w:style w:type="paragraph" w:customStyle="1" w:styleId="TableHead">
    <w:name w:val="Table Head"/>
    <w:basedOn w:val="TableText"/>
    <w:pPr>
      <w:ind w:right="0"/>
      <w:jc w:val="center"/>
    </w:pPr>
    <w:rPr>
      <w:b/>
      <w:bCs/>
    </w:rPr>
  </w:style>
  <w:style w:type="paragraph" w:customStyle="1" w:styleId="TableText2">
    <w:name w:val="Table Text2"/>
    <w:basedOn w:val="TableText"/>
  </w:style>
  <w:style w:type="paragraph" w:customStyle="1" w:styleId="TableInnerSideHeading">
    <w:name w:val="Table InnerSideHeading"/>
    <w:basedOn w:val="TableSideHeading"/>
  </w:style>
  <w:style w:type="paragraph" w:customStyle="1" w:styleId="Hesber">
    <w:name w:val="Hesber"/>
    <w:basedOn w:val="Ragil"/>
    <w:pPr>
      <w:jc w:val="both"/>
    </w:pPr>
  </w:style>
  <w:style w:type="paragraph" w:styleId="a4">
    <w:name w:val="footnote text"/>
    <w:basedOn w:val="Ragil"/>
    <w:link w:val="a5"/>
    <w:autoRedefine/>
    <w:semiHidden/>
    <w:pPr>
      <w:spacing w:line="240" w:lineRule="auto"/>
      <w:ind w:left="227" w:hanging="227"/>
    </w:pPr>
    <w:rPr>
      <w:sz w:val="14"/>
      <w:szCs w:val="20"/>
    </w:rPr>
  </w:style>
  <w:style w:type="character" w:styleId="a6">
    <w:name w:val="footnote reference"/>
    <w:aliases w:val="Footnote Reference"/>
    <w:basedOn w:val="a0"/>
    <w:rPr>
      <w:vertAlign w:val="superscript"/>
    </w:rPr>
  </w:style>
  <w:style w:type="paragraph" w:customStyle="1" w:styleId="HesberHeading">
    <w:name w:val="Hesber Heading"/>
    <w:basedOn w:val="Hesber"/>
    <w:pPr>
      <w:keepNext/>
      <w:keepLines/>
      <w:spacing w:before="240"/>
      <w:ind w:firstLine="0"/>
    </w:pPr>
    <w:rPr>
      <w:b/>
      <w:bCs/>
    </w:rPr>
  </w:style>
  <w:style w:type="paragraph" w:customStyle="1" w:styleId="HesberWriters">
    <w:name w:val="Hesber Writers"/>
    <w:basedOn w:val="Hesber"/>
    <w:pPr>
      <w:spacing w:before="120" w:after="6000"/>
      <w:ind w:left="1418" w:firstLine="0"/>
      <w:jc w:val="right"/>
    </w:pPr>
    <w:rPr>
      <w:b/>
      <w:bCs/>
    </w:rPr>
  </w:style>
  <w:style w:type="paragraph" w:customStyle="1" w:styleId="Hesber1st">
    <w:name w:val="Hesber 1st"/>
    <w:basedOn w:val="Hesber"/>
    <w:pPr>
      <w:tabs>
        <w:tab w:val="left" w:pos="680"/>
        <w:tab w:val="left" w:pos="1020"/>
      </w:tabs>
      <w:ind w:firstLine="0"/>
    </w:pPr>
  </w:style>
  <w:style w:type="character" w:styleId="a7">
    <w:name w:val="endnote reference"/>
    <w:basedOn w:val="a0"/>
    <w:semiHidden/>
    <w:rPr>
      <w:vertAlign w:val="superscript"/>
    </w:rPr>
  </w:style>
  <w:style w:type="paragraph" w:customStyle="1" w:styleId="TableBlockOutdent">
    <w:name w:val="Table BlockOutdent"/>
    <w:basedOn w:val="TableBlock"/>
    <w:pPr>
      <w:ind w:left="624" w:hanging="624"/>
    </w:p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HeadDivreiHesber">
    <w:name w:val="Head DivreiHesber"/>
    <w:basedOn w:val="Ragil"/>
    <w:pPr>
      <w:spacing w:before="360" w:after="120"/>
      <w:ind w:firstLine="0"/>
      <w:jc w:val="center"/>
    </w:pPr>
    <w:rPr>
      <w:b/>
      <w:spacing w:val="40"/>
    </w:rPr>
  </w:style>
  <w:style w:type="paragraph" w:customStyle="1" w:styleId="Ragil">
    <w:name w:val="Ragil"/>
    <w:basedOn w:val="Noparagraphstyle"/>
    <w:pPr>
      <w:ind w:firstLine="340"/>
    </w:pPr>
  </w:style>
  <w:style w:type="character" w:styleId="aa">
    <w:name w:val="page number"/>
    <w:basedOn w:val="a0"/>
  </w:style>
  <w:style w:type="character" w:customStyle="1" w:styleId="default">
    <w:name w:val="default"/>
    <w:basedOn w:val="a0"/>
    <w:rPr>
      <w:rFonts w:ascii="Times New Roman" w:hAnsi="Times New Roman" w:cs="Times New Roman"/>
      <w:sz w:val="26"/>
      <w:szCs w:val="26"/>
    </w:rPr>
  </w:style>
  <w:style w:type="paragraph" w:customStyle="1" w:styleId="P11">
    <w:name w:val="P11"/>
    <w:basedOn w:val="a"/>
    <w:pPr>
      <w:tabs>
        <w:tab w:val="left" w:pos="1021"/>
        <w:tab w:val="left" w:pos="1474"/>
        <w:tab w:val="left" w:pos="1928"/>
        <w:tab w:val="left" w:pos="2381"/>
        <w:tab w:val="left" w:pos="2835"/>
        <w:tab w:val="right" w:leader="dot" w:pos="6259"/>
      </w:tabs>
      <w:suppressAutoHyphens/>
      <w:adjustRightInd/>
      <w:spacing w:before="60" w:line="240" w:lineRule="auto"/>
      <w:ind w:left="2835" w:right="624" w:firstLine="0"/>
      <w:textAlignment w:val="auto"/>
    </w:pPr>
    <w:rPr>
      <w:rFonts w:ascii="Times New Roman" w:eastAsia="Times New Roman" w:hAnsi="Times New Roman" w:cs="Times New Roman"/>
      <w:noProof/>
      <w:color w:val="auto"/>
      <w:spacing w:val="0"/>
      <w:sz w:val="20"/>
      <w:szCs w:val="26"/>
      <w:lang w:eastAsia="he-IL"/>
    </w:rPr>
  </w:style>
  <w:style w:type="character" w:styleId="Hyperlink">
    <w:name w:val="Hyperlink"/>
    <w:basedOn w:val="a0"/>
    <w:rPr>
      <w:color w:val="0000FF"/>
      <w:u w:val="single"/>
    </w:rPr>
  </w:style>
  <w:style w:type="paragraph" w:styleId="ab">
    <w:name w:val="Balloon Text"/>
    <w:basedOn w:val="a"/>
    <w:link w:val="ac"/>
    <w:pPr>
      <w:spacing w:before="0" w:line="240" w:lineRule="auto"/>
    </w:pPr>
    <w:rPr>
      <w:rFonts w:ascii="Tahoma" w:hAnsi="Tahoma" w:cs="Tahoma"/>
      <w:sz w:val="16"/>
      <w:szCs w:val="16"/>
    </w:rPr>
  </w:style>
  <w:style w:type="character" w:customStyle="1" w:styleId="ac">
    <w:name w:val="טקסט בלונים תו"/>
    <w:basedOn w:val="a0"/>
    <w:link w:val="ab"/>
    <w:rPr>
      <w:rFonts w:ascii="Tahoma" w:hAnsi="Tahoma" w:cs="Tahoma"/>
      <w:color w:val="000000"/>
      <w:spacing w:val="1"/>
      <w:sz w:val="16"/>
      <w:szCs w:val="16"/>
      <w:lang w:eastAsia="ja-JP"/>
    </w:rPr>
  </w:style>
  <w:style w:type="paragraph" w:styleId="ad">
    <w:name w:val="List Paragraph"/>
    <w:basedOn w:val="a"/>
    <w:link w:val="ae"/>
    <w:uiPriority w:val="34"/>
    <w:qFormat/>
    <w:pPr>
      <w:ind w:left="720"/>
      <w:contextualSpacing/>
    </w:pPr>
  </w:style>
  <w:style w:type="character" w:customStyle="1" w:styleId="a5">
    <w:name w:val="טקסט הערת שוליים תו"/>
    <w:basedOn w:val="a0"/>
    <w:link w:val="a4"/>
    <w:semiHidden/>
    <w:rsid w:val="001233B6"/>
    <w:rPr>
      <w:rFonts w:ascii="Arial" w:eastAsia="Arial Unicode MS" w:hAnsi="Arial" w:cs="David"/>
      <w:snapToGrid w:val="0"/>
      <w:color w:val="000000"/>
      <w:sz w:val="14"/>
      <w:lang w:eastAsia="ja-JP"/>
    </w:rPr>
  </w:style>
  <w:style w:type="character" w:customStyle="1" w:styleId="TableText0">
    <w:name w:val="Table Text תו"/>
    <w:link w:val="TableText"/>
    <w:rsid w:val="001233B6"/>
    <w:rPr>
      <w:rFonts w:ascii="Arial" w:eastAsia="Arial Unicode MS" w:hAnsi="Arial" w:cs="David"/>
      <w:snapToGrid w:val="0"/>
      <w:color w:val="000000"/>
      <w:szCs w:val="26"/>
      <w:lang w:eastAsia="ja-JP"/>
    </w:rPr>
  </w:style>
  <w:style w:type="character" w:customStyle="1" w:styleId="TableBlock0">
    <w:name w:val="Table Block תו"/>
    <w:link w:val="TableBlock"/>
    <w:rsid w:val="001233B6"/>
    <w:rPr>
      <w:rFonts w:ascii="Arial" w:eastAsia="Arial Unicode MS" w:hAnsi="Arial" w:cs="David"/>
      <w:snapToGrid w:val="0"/>
      <w:color w:val="000000"/>
      <w:szCs w:val="26"/>
      <w:lang w:eastAsia="ja-JP"/>
    </w:rPr>
  </w:style>
  <w:style w:type="character" w:customStyle="1" w:styleId="ae">
    <w:name w:val="פיסקת רשימה תו"/>
    <w:link w:val="ad"/>
    <w:uiPriority w:val="34"/>
    <w:locked/>
    <w:rsid w:val="00B153C3"/>
    <w:rPr>
      <w:rFonts w:ascii="Hadasa Roso SL" w:hAnsi="Hadasa Roso SL" w:cs="Hadasa Roso SL"/>
      <w:color w:val="000000"/>
      <w:spacing w:val="1"/>
      <w:sz w:val="17"/>
      <w:szCs w:val="17"/>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RefNumber xmlns="d2589617-2f74-4077-aee7-f516ed639388">43011</Ref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6C536-406C-4246-80F2-DE3FBD705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0CDF04A-6E88-4358-ACEA-D10952BFCAFB}">
  <ds:schemaRefs>
    <ds:schemaRef ds:uri="http://schemas.microsoft.com/office/2006/metadata/properties"/>
    <ds:schemaRef ds:uri="d2589617-2f74-4077-aee7-f516ed639388"/>
  </ds:schemaRefs>
</ds:datastoreItem>
</file>

<file path=customXml/itemProps3.xml><?xml version="1.0" encoding="utf-8"?>
<ds:datastoreItem xmlns:ds="http://schemas.openxmlformats.org/officeDocument/2006/customXml" ds:itemID="{9EFB71C5-3B53-4545-9465-49D8E47F68B5}">
  <ds:schemaRefs>
    <ds:schemaRef ds:uri="http://schemas.microsoft.com/sharepoint/v3/contenttype/forms"/>
  </ds:schemaRefs>
</ds:datastoreItem>
</file>

<file path=customXml/itemProps4.xml><?xml version="1.0" encoding="utf-8"?>
<ds:datastoreItem xmlns:ds="http://schemas.openxmlformats.org/officeDocument/2006/customXml" ds:itemID="{671CDC01-D79E-46F0-96A4-06EE7C78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2179</Words>
  <Characters>10899</Characters>
  <Application>Microsoft Office Word</Application>
  <DocSecurity>0</DocSecurity>
  <Lines>90</Lines>
  <Paragraphs>26</Paragraphs>
  <ScaleCrop>false</ScaleCrop>
  <HeadingPairs>
    <vt:vector size="2" baseType="variant">
      <vt:variant>
        <vt:lpstr>שם</vt:lpstr>
      </vt:variant>
      <vt:variant>
        <vt:i4>1</vt:i4>
      </vt:variant>
    </vt:vector>
  </HeadingPairs>
  <TitlesOfParts>
    <vt:vector size="1" baseType="lpstr">
      <vt:lpstr>רשומות</vt:lpstr>
    </vt:vector>
  </TitlesOfParts>
  <Company>MOF</Company>
  <LinksUpToDate>false</LinksUpToDate>
  <CharactersWithSpaces>13052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מס ריבוי נכסים.docx</dc:title>
  <dc:creator>xxkeren</dc:creator>
  <cp:lastModifiedBy>bb bt</cp:lastModifiedBy>
  <cp:revision>2</cp:revision>
  <cp:lastPrinted>2016-09-05T17:56:00Z</cp:lastPrinted>
  <dcterms:created xsi:type="dcterms:W3CDTF">2017-01-17T13:55:00Z</dcterms:created>
  <dcterms:modified xsi:type="dcterms:W3CDTF">2017-01-17T13:55:00Z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