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jc w:val="center"/>
        <w:tblLayout w:type="fixed"/>
        <w:tblLook w:val="0000"/>
      </w:tblPr>
      <w:tblGrid>
        <w:gridCol w:w="2847"/>
        <w:gridCol w:w="2950"/>
        <w:gridCol w:w="3481"/>
      </w:tblGrid>
      <w:tr w:rsidR="007A7D17">
        <w:tblPrEx>
          <w:tblCellMar>
            <w:top w:w="0" w:type="dxa"/>
            <w:bottom w:w="0" w:type="dxa"/>
          </w:tblCellMar>
        </w:tblPrEx>
        <w:trPr>
          <w:cantSplit/>
          <w:jc w:val="center"/>
        </w:trPr>
        <w:tc>
          <w:tcPr>
            <w:tcW w:w="2847" w:type="dxa"/>
            <w:tcBorders>
              <w:top w:val="nil"/>
              <w:left w:val="nil"/>
              <w:bottom w:val="nil"/>
              <w:right w:val="nil"/>
            </w:tcBorders>
          </w:tcPr>
          <w:p w:rsidR="007A7D17" w:rsidRPr="008908E4" w:rsidRDefault="007A7D17" w:rsidP="004375C4">
            <w:pPr>
              <w:pStyle w:val="affff8"/>
              <w:rPr>
                <w:rtl/>
              </w:rPr>
            </w:pPr>
            <w:r w:rsidRPr="008908E4">
              <w:rPr>
                <w:rtl/>
              </w:rPr>
              <w:t>מדינת ישראל</w:t>
            </w:r>
          </w:p>
          <w:p w:rsidR="007A7D17" w:rsidRDefault="007A7D17" w:rsidP="004375C4">
            <w:pPr>
              <w:pStyle w:val="3"/>
              <w:rPr>
                <w:rtl/>
              </w:rPr>
            </w:pPr>
            <w:r>
              <w:rPr>
                <w:rtl/>
              </w:rPr>
              <w:t>משרד המשפטים</w:t>
            </w:r>
          </w:p>
          <w:p w:rsidR="007A7D17" w:rsidRPr="008908E4" w:rsidRDefault="007A7D17" w:rsidP="004375C4">
            <w:pPr>
              <w:pStyle w:val="3"/>
            </w:pPr>
            <w:r w:rsidRPr="008908E4">
              <w:rPr>
                <w:rtl/>
              </w:rPr>
              <w:t>המחלקה למשפט עברי</w:t>
            </w:r>
          </w:p>
        </w:tc>
        <w:tc>
          <w:tcPr>
            <w:tcW w:w="2950" w:type="dxa"/>
            <w:tcBorders>
              <w:top w:val="nil"/>
              <w:left w:val="nil"/>
              <w:bottom w:val="nil"/>
              <w:right w:val="nil"/>
            </w:tcBorders>
          </w:tcPr>
          <w:p w:rsidR="007A7D17" w:rsidRDefault="007A7D17" w:rsidP="004375C4">
            <w:pPr>
              <w:pStyle w:val="3"/>
            </w:pPr>
          </w:p>
        </w:tc>
        <w:tc>
          <w:tcPr>
            <w:tcW w:w="3481" w:type="dxa"/>
            <w:tcBorders>
              <w:top w:val="nil"/>
              <w:left w:val="nil"/>
              <w:bottom w:val="nil"/>
              <w:right w:val="nil"/>
            </w:tcBorders>
          </w:tcPr>
          <w:p w:rsidR="007A7D17" w:rsidRDefault="007A7D17" w:rsidP="004375C4">
            <w:pPr>
              <w:pStyle w:val="3"/>
              <w:rPr>
                <w:rtl/>
              </w:rPr>
            </w:pPr>
            <w:r>
              <w:rPr>
                <w:rtl/>
              </w:rPr>
              <w:t>המרכז להוראת</w:t>
            </w:r>
          </w:p>
          <w:p w:rsidR="007A7D17" w:rsidRDefault="007A7D17" w:rsidP="004375C4">
            <w:pPr>
              <w:pStyle w:val="3"/>
              <w:rPr>
                <w:rtl/>
              </w:rPr>
            </w:pPr>
            <w:r>
              <w:rPr>
                <w:rtl/>
              </w:rPr>
              <w:t>המשפט העברי ולימודו</w:t>
            </w:r>
          </w:p>
          <w:p w:rsidR="007A7D17" w:rsidRPr="008908E4" w:rsidRDefault="004375C4" w:rsidP="004375C4">
            <w:r>
              <w:rPr>
                <w:rtl/>
              </w:rPr>
              <w:t xml:space="preserve">                </w:t>
            </w:r>
            <w:r w:rsidR="007A7D17" w:rsidRPr="008908E4">
              <w:rPr>
                <w:rtl/>
              </w:rPr>
              <w:t>מכללת "שערי משפט"</w:t>
            </w:r>
          </w:p>
        </w:tc>
      </w:tr>
    </w:tbl>
    <w:p w:rsidR="007A7D17" w:rsidRDefault="007A7D17" w:rsidP="004375C4">
      <w:pPr>
        <w:rPr>
          <w:rtl/>
        </w:rPr>
      </w:pPr>
    </w:p>
    <w:p w:rsidR="007A7D17" w:rsidRDefault="007A7D17" w:rsidP="004375C4">
      <w:pPr>
        <w:rPr>
          <w:rtl/>
        </w:rPr>
      </w:pPr>
    </w:p>
    <w:p w:rsidR="007A7D17" w:rsidRDefault="007A7D17" w:rsidP="004375C4">
      <w:pPr>
        <w:pStyle w:val="af9"/>
        <w:rPr>
          <w:rtl/>
        </w:rPr>
      </w:pPr>
      <w:r>
        <w:rPr>
          <w:rtl/>
        </w:rPr>
        <w:t>פרשת השבוע</w:t>
      </w:r>
    </w:p>
    <w:p w:rsidR="007A7D17" w:rsidRDefault="007A7D17" w:rsidP="004375C4">
      <w:pPr>
        <w:rPr>
          <w:rtl/>
        </w:rPr>
      </w:pPr>
    </w:p>
    <w:p w:rsidR="007A7D17" w:rsidRDefault="007A7D17" w:rsidP="004375C4">
      <w:pPr>
        <w:rPr>
          <w:rtl/>
        </w:rPr>
      </w:pPr>
    </w:p>
    <w:tbl>
      <w:tblPr>
        <w:bidiVisual/>
        <w:tblW w:w="0" w:type="auto"/>
        <w:tblInd w:w="50" w:type="dxa"/>
        <w:tblLayout w:type="fixed"/>
        <w:tblLook w:val="0000"/>
      </w:tblPr>
      <w:tblGrid>
        <w:gridCol w:w="4622"/>
        <w:gridCol w:w="5075"/>
      </w:tblGrid>
      <w:tr w:rsidR="007A7D17">
        <w:tblPrEx>
          <w:tblCellMar>
            <w:top w:w="0" w:type="dxa"/>
            <w:bottom w:w="0" w:type="dxa"/>
          </w:tblCellMar>
        </w:tblPrEx>
        <w:trPr>
          <w:trHeight w:val="412"/>
        </w:trPr>
        <w:tc>
          <w:tcPr>
            <w:tcW w:w="4622" w:type="dxa"/>
            <w:tcBorders>
              <w:top w:val="nil"/>
              <w:left w:val="nil"/>
              <w:bottom w:val="nil"/>
              <w:right w:val="nil"/>
            </w:tcBorders>
          </w:tcPr>
          <w:p w:rsidR="007A7D17" w:rsidRDefault="007A7D17" w:rsidP="0093473B">
            <w:r w:rsidRPr="00393EB8">
              <w:rPr>
                <w:rStyle w:val="affff7"/>
                <w:bCs/>
                <w:rtl/>
              </w:rPr>
              <w:t xml:space="preserve">פרשת </w:t>
            </w:r>
            <w:r w:rsidR="00E343D2">
              <w:rPr>
                <w:rStyle w:val="affff7"/>
                <w:bCs/>
                <w:rtl/>
              </w:rPr>
              <w:t>פנחס</w:t>
            </w:r>
            <w:r w:rsidRPr="00393EB8">
              <w:rPr>
                <w:rStyle w:val="affff7"/>
                <w:bCs/>
                <w:rtl/>
              </w:rPr>
              <w:t>, תש</w:t>
            </w:r>
            <w:r w:rsidR="002E2E4E">
              <w:rPr>
                <w:rStyle w:val="affff7"/>
                <w:bCs/>
                <w:rtl/>
              </w:rPr>
              <w:t>ע</w:t>
            </w:r>
            <w:r w:rsidR="009F4AAF">
              <w:rPr>
                <w:rStyle w:val="affff7"/>
                <w:bCs/>
                <w:rtl/>
              </w:rPr>
              <w:t>"</w:t>
            </w:r>
            <w:r w:rsidR="00955021">
              <w:rPr>
                <w:rStyle w:val="affff7"/>
                <w:bCs/>
                <w:rtl/>
              </w:rPr>
              <w:t>ג</w:t>
            </w:r>
            <w:r w:rsidRPr="00393EB8">
              <w:rPr>
                <w:rStyle w:val="affff7"/>
                <w:bCs/>
                <w:rtl/>
              </w:rPr>
              <w:t>,</w:t>
            </w:r>
            <w:r w:rsidRPr="00AB57B5">
              <w:rPr>
                <w:rtl/>
              </w:rPr>
              <w:t xml:space="preserve"> </w:t>
            </w:r>
            <w:r w:rsidRPr="00393EB8">
              <w:rPr>
                <w:rStyle w:val="affff7"/>
                <w:bCs/>
                <w:rtl/>
              </w:rPr>
              <w:t xml:space="preserve">גיליון מס' </w:t>
            </w:r>
            <w:r w:rsidR="0093473B">
              <w:rPr>
                <w:rStyle w:val="affff7"/>
                <w:bCs/>
                <w:rtl/>
              </w:rPr>
              <w:t>420</w:t>
            </w:r>
          </w:p>
        </w:tc>
        <w:tc>
          <w:tcPr>
            <w:tcW w:w="5075" w:type="dxa"/>
            <w:tcBorders>
              <w:top w:val="nil"/>
              <w:left w:val="nil"/>
              <w:bottom w:val="nil"/>
              <w:right w:val="nil"/>
            </w:tcBorders>
          </w:tcPr>
          <w:p w:rsidR="009116EC" w:rsidRDefault="009116EC" w:rsidP="004375C4">
            <w:pPr>
              <w:pStyle w:val="affff5"/>
              <w:rPr>
                <w:rtl/>
              </w:rPr>
            </w:pPr>
            <w:r>
              <w:rPr>
                <w:rtl/>
              </w:rPr>
              <w:t>עורכים: אביעד הכהן, מיכאל ויגודה</w:t>
            </w:r>
          </w:p>
          <w:p w:rsidR="007A7D17" w:rsidRPr="00393EB8" w:rsidRDefault="009116EC" w:rsidP="004375C4">
            <w:pPr>
              <w:pStyle w:val="affff6"/>
            </w:pPr>
            <w:r w:rsidRPr="00393EB8">
              <w:rPr>
                <w:rtl/>
              </w:rPr>
              <w:t xml:space="preserve">עריכה לשונית: יחיאל קארה </w:t>
            </w:r>
          </w:p>
        </w:tc>
      </w:tr>
    </w:tbl>
    <w:p w:rsidR="007A7D17" w:rsidRDefault="007A7D17" w:rsidP="004375C4">
      <w:pPr>
        <w:rPr>
          <w:rtl/>
        </w:rPr>
      </w:pPr>
    </w:p>
    <w:p w:rsidR="007A7D17" w:rsidRPr="00AB57B5" w:rsidRDefault="007A7D17" w:rsidP="00FB10AB">
      <w:pPr>
        <w:pStyle w:val="afa"/>
        <w:rPr>
          <w:rtl/>
        </w:rPr>
      </w:pPr>
      <w:r w:rsidRPr="00AB57B5">
        <w:rPr>
          <w:rtl/>
        </w:rPr>
        <w:t>"</w:t>
      </w:r>
      <w:r w:rsidR="00FB10AB" w:rsidRPr="008E2094">
        <w:rPr>
          <w:rtl/>
        </w:rPr>
        <w:t>ונתתם את נחלתו לשארו הקר</w:t>
      </w:r>
      <w:r w:rsidR="00FB10AB">
        <w:rPr>
          <w:rtl/>
        </w:rPr>
        <w:t>ׂ</w:t>
      </w:r>
      <w:r w:rsidR="00FB10AB" w:rsidRPr="008E2094">
        <w:rPr>
          <w:rtl/>
        </w:rPr>
        <w:t>ב אליו ממשפחתו וירש א</w:t>
      </w:r>
      <w:r w:rsidR="00C06717">
        <w:rPr>
          <w:rtl/>
        </w:rPr>
        <w:t>ׂ</w:t>
      </w:r>
      <w:r w:rsidR="00FB10AB" w:rsidRPr="008E2094">
        <w:rPr>
          <w:rtl/>
        </w:rPr>
        <w:t>תה</w:t>
      </w:r>
      <w:r w:rsidRPr="00AB57B5">
        <w:rPr>
          <w:rtl/>
        </w:rPr>
        <w:t>"</w:t>
      </w:r>
    </w:p>
    <w:p w:rsidR="007A7D17" w:rsidRPr="00D642EC" w:rsidRDefault="00FB10AB" w:rsidP="008E59FE">
      <w:pPr>
        <w:pStyle w:val="affe"/>
        <w:rPr>
          <w:rtl/>
        </w:rPr>
      </w:pPr>
      <w:r w:rsidRPr="00D642EC">
        <w:rPr>
          <w:rtl/>
        </w:rPr>
        <w:t>הרהורים על ירושת בן הזוג</w:t>
      </w:r>
    </w:p>
    <w:p w:rsidR="007A7D17" w:rsidRPr="00FB10AB" w:rsidRDefault="00FB10AB" w:rsidP="00FB10AB">
      <w:pPr>
        <w:pStyle w:val="affff4"/>
        <w:rPr>
          <w:rtl/>
        </w:rPr>
        <w:sectPr w:rsidR="007A7D17" w:rsidRPr="00FB10AB">
          <w:pgSz w:w="11907" w:h="16840"/>
          <w:pgMar w:top="737" w:right="1021" w:bottom="1077" w:left="1021" w:header="709" w:footer="709" w:gutter="0"/>
          <w:cols w:space="709"/>
          <w:titlePg/>
          <w:bidi/>
        </w:sectPr>
      </w:pPr>
      <w:r w:rsidRPr="00FB10AB">
        <w:rPr>
          <w:rtl/>
        </w:rPr>
        <w:t>שמואל שמעוני</w:t>
      </w:r>
      <w:r w:rsidRPr="00FB10AB">
        <w:rPr>
          <w:vertAlign w:val="superscript"/>
          <w:rtl/>
        </w:rPr>
        <w:t>*</w:t>
      </w:r>
    </w:p>
    <w:p w:rsidR="008E2094" w:rsidRPr="008E2094" w:rsidRDefault="008E2094" w:rsidP="00FB10AB">
      <w:pPr>
        <w:pStyle w:val="2"/>
        <w:rPr>
          <w:rtl/>
        </w:rPr>
      </w:pPr>
      <w:r w:rsidRPr="00AD71E7">
        <w:rPr>
          <w:rtl/>
        </w:rPr>
        <w:lastRenderedPageBreak/>
        <w:t>אהבה התלויה בדבר? –</w:t>
      </w:r>
      <w:r w:rsidRPr="008E2094">
        <w:rPr>
          <w:rtl/>
        </w:rPr>
        <w:t xml:space="preserve"> על תביעה שלא צלחה</w:t>
      </w:r>
    </w:p>
    <w:p w:rsidR="008E2094" w:rsidRPr="00146D1D" w:rsidRDefault="008E2094" w:rsidP="00C7077C">
      <w:pPr>
        <w:rPr>
          <w:spacing w:val="-2"/>
          <w:rtl/>
        </w:rPr>
      </w:pPr>
      <w:r w:rsidRPr="00146D1D">
        <w:rPr>
          <w:spacing w:val="-2"/>
          <w:rtl/>
        </w:rPr>
        <w:t>מעשה בראובן ורחל שבאו בברית הנישואין בישראל בשנת 1962. בשנת 1966 ערכו בני הזוג הסכם המסדיר את גירושיהם, אך בשנת 1968 עזב ראובן את הארץ מבלי לתת גט ל</w:t>
      </w:r>
      <w:r w:rsidR="00833BFD" w:rsidRPr="00146D1D">
        <w:rPr>
          <w:spacing w:val="-2"/>
          <w:rtl/>
        </w:rPr>
        <w:t>אשתו</w:t>
      </w:r>
      <w:r w:rsidRPr="00146D1D">
        <w:rPr>
          <w:spacing w:val="-2"/>
          <w:rtl/>
        </w:rPr>
        <w:t>. החל מתחילת שנות השבעים חי</w:t>
      </w:r>
      <w:r w:rsidR="00833BFD" w:rsidRPr="00146D1D">
        <w:rPr>
          <w:spacing w:val="-2"/>
          <w:rtl/>
        </w:rPr>
        <w:t>ית</w:t>
      </w:r>
      <w:r w:rsidRPr="00146D1D">
        <w:rPr>
          <w:spacing w:val="-2"/>
          <w:rtl/>
        </w:rPr>
        <w:t xml:space="preserve">ה רחל עשרות שנים כידועה בציבור של שמעון. בשנת 2007 הלך ראובן לבית עולמו בבלגיה מבלי להותיר אחריו צוואה, </w:t>
      </w:r>
      <w:r w:rsidR="00833BFD" w:rsidRPr="00146D1D">
        <w:rPr>
          <w:spacing w:val="-2"/>
          <w:rtl/>
        </w:rPr>
        <w:t>כשעדיין ה</w:t>
      </w:r>
      <w:r w:rsidRPr="00146D1D">
        <w:rPr>
          <w:spacing w:val="-2"/>
          <w:rtl/>
        </w:rPr>
        <w:t>ו</w:t>
      </w:r>
      <w:r w:rsidR="00833BFD" w:rsidRPr="00146D1D">
        <w:rPr>
          <w:spacing w:val="-2"/>
          <w:rtl/>
        </w:rPr>
        <w:t>א</w:t>
      </w:r>
      <w:r w:rsidRPr="00146D1D">
        <w:rPr>
          <w:spacing w:val="-2"/>
          <w:rtl/>
        </w:rPr>
        <w:t xml:space="preserve"> רשום כ</w:t>
      </w:r>
      <w:r w:rsidR="00833BFD" w:rsidRPr="00146D1D">
        <w:rPr>
          <w:spacing w:val="-2"/>
          <w:rtl/>
        </w:rPr>
        <w:t>בעלה של</w:t>
      </w:r>
      <w:r w:rsidRPr="00146D1D">
        <w:rPr>
          <w:spacing w:val="-2"/>
          <w:rtl/>
        </w:rPr>
        <w:t xml:space="preserve"> רחל</w:t>
      </w:r>
      <w:r w:rsidR="00833BFD" w:rsidRPr="00146D1D">
        <w:rPr>
          <w:spacing w:val="-2"/>
          <w:rtl/>
        </w:rPr>
        <w:t>, ו</w:t>
      </w:r>
      <w:r w:rsidRPr="00146D1D">
        <w:rPr>
          <w:spacing w:val="-2"/>
          <w:rtl/>
        </w:rPr>
        <w:t xml:space="preserve">לא הותיר אחריו </w:t>
      </w:r>
      <w:r w:rsidR="00833BFD" w:rsidRPr="00146D1D">
        <w:rPr>
          <w:spacing w:val="-2"/>
          <w:rtl/>
        </w:rPr>
        <w:t>בנ</w:t>
      </w:r>
      <w:r w:rsidRPr="00146D1D">
        <w:rPr>
          <w:spacing w:val="-2"/>
          <w:rtl/>
        </w:rPr>
        <w:t xml:space="preserve">ים אלא אח. רחל הגישה </w:t>
      </w:r>
      <w:r w:rsidR="00833BFD" w:rsidRPr="00146D1D">
        <w:rPr>
          <w:spacing w:val="-2"/>
          <w:rtl/>
        </w:rPr>
        <w:t>ל</w:t>
      </w:r>
      <w:r w:rsidRPr="00146D1D">
        <w:rPr>
          <w:spacing w:val="-2"/>
          <w:rtl/>
        </w:rPr>
        <w:t xml:space="preserve">בית המשפט לענייני משפחה תביעה </w:t>
      </w:r>
      <w:r w:rsidR="00833BFD" w:rsidRPr="00146D1D">
        <w:rPr>
          <w:spacing w:val="-2"/>
          <w:rtl/>
        </w:rPr>
        <w:t xml:space="preserve">וביקשה </w:t>
      </w:r>
      <w:r w:rsidRPr="00146D1D">
        <w:rPr>
          <w:spacing w:val="-2"/>
          <w:rtl/>
        </w:rPr>
        <w:t>לירש שני שליש</w:t>
      </w:r>
      <w:r w:rsidR="00833BFD" w:rsidRPr="00146D1D">
        <w:rPr>
          <w:spacing w:val="-2"/>
          <w:rtl/>
        </w:rPr>
        <w:t>ים</w:t>
      </w:r>
      <w:r w:rsidRPr="00146D1D">
        <w:rPr>
          <w:spacing w:val="-2"/>
          <w:rtl/>
        </w:rPr>
        <w:t xml:space="preserve"> מעזבונו של ראובן לפי סעיף 11(א)(2) לחוק הירושה, התשכ"ה-1965 (להלן: החוק). בית המשפט</w:t>
      </w:r>
      <w:r w:rsidR="00833BFD" w:rsidRPr="00146D1D">
        <w:rPr>
          <w:spacing w:val="-2"/>
          <w:rtl/>
        </w:rPr>
        <w:t>,</w:t>
      </w:r>
      <w:r w:rsidRPr="00146D1D">
        <w:rPr>
          <w:spacing w:val="-2"/>
          <w:rtl/>
        </w:rPr>
        <w:t xml:space="preserve"> בפסק דין חדשני</w:t>
      </w:r>
      <w:r w:rsidR="00833BFD" w:rsidRPr="00146D1D">
        <w:rPr>
          <w:spacing w:val="-2"/>
          <w:rtl/>
        </w:rPr>
        <w:t>,</w:t>
      </w:r>
      <w:r w:rsidRPr="00146D1D">
        <w:rPr>
          <w:spacing w:val="-2"/>
          <w:rtl/>
        </w:rPr>
        <w:t xml:space="preserve"> דחה את תביע</w:t>
      </w:r>
      <w:r w:rsidR="00833BFD" w:rsidRPr="00146D1D">
        <w:rPr>
          <w:spacing w:val="-2"/>
          <w:rtl/>
        </w:rPr>
        <w:t>ת</w:t>
      </w:r>
      <w:r w:rsidRPr="00146D1D">
        <w:rPr>
          <w:spacing w:val="-2"/>
          <w:rtl/>
        </w:rPr>
        <w:t xml:space="preserve">ה והעניק את </w:t>
      </w:r>
      <w:r w:rsidR="00833BFD" w:rsidRPr="00146D1D">
        <w:rPr>
          <w:spacing w:val="-2"/>
          <w:rtl/>
        </w:rPr>
        <w:t xml:space="preserve">כל </w:t>
      </w:r>
      <w:r w:rsidRPr="00146D1D">
        <w:rPr>
          <w:spacing w:val="-2"/>
          <w:rtl/>
        </w:rPr>
        <w:t>הירושה לאחיו של ראובן</w:t>
      </w:r>
      <w:r w:rsidR="0093473B" w:rsidRPr="00146D1D">
        <w:rPr>
          <w:spacing w:val="-2"/>
          <w:vertAlign w:val="superscript"/>
          <w:rtl/>
        </w:rPr>
        <w:footnoteReference w:id="1"/>
      </w:r>
      <w:r w:rsidRPr="00146D1D">
        <w:rPr>
          <w:spacing w:val="-2"/>
          <w:rtl/>
        </w:rPr>
        <w:t xml:space="preserve">. </w:t>
      </w:r>
    </w:p>
    <w:p w:rsidR="008E2094" w:rsidRPr="008E2094" w:rsidRDefault="008E2094" w:rsidP="00C7077C">
      <w:pPr>
        <w:rPr>
          <w:rtl/>
        </w:rPr>
      </w:pPr>
      <w:r w:rsidRPr="008E2094">
        <w:rPr>
          <w:rtl/>
        </w:rPr>
        <w:t>בית המשפט היה מודע היטב ל</w:t>
      </w:r>
      <w:r w:rsidR="00833BFD">
        <w:rPr>
          <w:rtl/>
        </w:rPr>
        <w:t>עובדה</w:t>
      </w:r>
      <w:r w:rsidRPr="008E2094">
        <w:rPr>
          <w:rtl/>
        </w:rPr>
        <w:t xml:space="preserve"> שהחוק מכיר בשני </w:t>
      </w:r>
      <w:r w:rsidR="00C7077C">
        <w:rPr>
          <w:rtl/>
        </w:rPr>
        <w:t>סוגי</w:t>
      </w:r>
      <w:r w:rsidRPr="008E2094">
        <w:rPr>
          <w:rtl/>
        </w:rPr>
        <w:t xml:space="preserve"> יחסים בין בני זוג המקנים זכות ירושה על פי דין: </w:t>
      </w:r>
      <w:r w:rsidR="00C7077C" w:rsidRPr="008E2094">
        <w:rPr>
          <w:rtl/>
        </w:rPr>
        <w:t>בני זוג הזכאים לרשת מכוח קשר נישואין ר</w:t>
      </w:r>
      <w:r w:rsidR="00C7077C">
        <w:rPr>
          <w:rtl/>
        </w:rPr>
        <w:t>ש</w:t>
      </w:r>
      <w:r w:rsidR="00C7077C" w:rsidRPr="008E2094">
        <w:rPr>
          <w:rtl/>
        </w:rPr>
        <w:t>מי ל</w:t>
      </w:r>
      <w:r w:rsidR="00C7077C">
        <w:rPr>
          <w:rtl/>
        </w:rPr>
        <w:t xml:space="preserve">פי </w:t>
      </w:r>
      <w:r w:rsidR="00C7077C" w:rsidRPr="008E2094">
        <w:rPr>
          <w:rtl/>
        </w:rPr>
        <w:t>סעיף 11 לחוק</w:t>
      </w:r>
      <w:r w:rsidR="00C7077C">
        <w:rPr>
          <w:rtl/>
        </w:rPr>
        <w:t xml:space="preserve"> (שב</w:t>
      </w:r>
      <w:r w:rsidR="00C7077C" w:rsidRPr="008E2094">
        <w:rPr>
          <w:rtl/>
        </w:rPr>
        <w:t xml:space="preserve">בני זוג יהודים </w:t>
      </w:r>
      <w:r w:rsidR="00C7077C">
        <w:rPr>
          <w:rtl/>
        </w:rPr>
        <w:t>מבחנו ב"ההזדקקות לגט"), ו</w:t>
      </w:r>
      <w:r w:rsidRPr="008E2094">
        <w:rPr>
          <w:rtl/>
        </w:rPr>
        <w:t>בני זוג הזכאים לרשת מכוח חיי משפחה במשק בית משותף</w:t>
      </w:r>
      <w:r w:rsidR="002C5068">
        <w:rPr>
          <w:rtl/>
        </w:rPr>
        <w:t xml:space="preserve"> (ידועים בציבור)</w:t>
      </w:r>
      <w:r w:rsidRPr="008E2094">
        <w:rPr>
          <w:rtl/>
        </w:rPr>
        <w:t xml:space="preserve"> </w:t>
      </w:r>
      <w:r w:rsidR="00833BFD">
        <w:rPr>
          <w:rtl/>
        </w:rPr>
        <w:t>ע</w:t>
      </w:r>
      <w:r w:rsidRPr="008E2094">
        <w:rPr>
          <w:rtl/>
        </w:rPr>
        <w:t>ל</w:t>
      </w:r>
      <w:r w:rsidR="00833BFD">
        <w:rPr>
          <w:rtl/>
        </w:rPr>
        <w:t xml:space="preserve"> פי </w:t>
      </w:r>
      <w:r w:rsidRPr="008E2094">
        <w:rPr>
          <w:rtl/>
        </w:rPr>
        <w:t>סעיף 55 לחוק</w:t>
      </w:r>
      <w:r w:rsidR="008135BE">
        <w:rPr>
          <w:rStyle w:val="a6"/>
          <w:rFonts w:cs="FrankRuehl"/>
          <w:szCs w:val="20"/>
          <w:rtl/>
        </w:rPr>
        <w:footnoteReference w:id="2"/>
      </w:r>
      <w:r w:rsidRPr="008E2094">
        <w:rPr>
          <w:rtl/>
        </w:rPr>
        <w:t xml:space="preserve">. </w:t>
      </w:r>
    </w:p>
    <w:p w:rsidR="00833BFD" w:rsidRDefault="008E2094" w:rsidP="00044DA7">
      <w:pPr>
        <w:rPr>
          <w:rtl/>
        </w:rPr>
      </w:pPr>
      <w:r w:rsidRPr="008E2094">
        <w:rPr>
          <w:rtl/>
        </w:rPr>
        <w:t>בית המשפט בחר להעניק פרשנות תכליתית לסעיף 11, ונעזר בתכליות הסעיף שפותחו בפסיקתו של הנשיא א' ברק</w:t>
      </w:r>
      <w:r w:rsidRPr="008E2094">
        <w:rPr>
          <w:vertAlign w:val="superscript"/>
          <w:rtl/>
        </w:rPr>
        <w:footnoteReference w:id="3"/>
      </w:r>
      <w:r w:rsidR="00833BFD">
        <w:rPr>
          <w:rtl/>
        </w:rPr>
        <w:t>,</w:t>
      </w:r>
      <w:r w:rsidRPr="008E2094">
        <w:rPr>
          <w:rtl/>
        </w:rPr>
        <w:t xml:space="preserve"> </w:t>
      </w:r>
      <w:r w:rsidRPr="008E2094">
        <w:rPr>
          <w:rtl/>
        </w:rPr>
        <w:lastRenderedPageBreak/>
        <w:t>ש</w:t>
      </w:r>
      <w:r w:rsidR="00833BFD">
        <w:rPr>
          <w:rtl/>
        </w:rPr>
        <w:t>ש</w:t>
      </w:r>
      <w:r w:rsidRPr="008E2094">
        <w:rPr>
          <w:rtl/>
        </w:rPr>
        <w:t>תי</w:t>
      </w:r>
      <w:r w:rsidR="00833BFD">
        <w:rPr>
          <w:rtl/>
        </w:rPr>
        <w:t xml:space="preserve"> העיקריות </w:t>
      </w:r>
      <w:r w:rsidR="00044DA7">
        <w:rPr>
          <w:rtl/>
        </w:rPr>
        <w:t>שב</w:t>
      </w:r>
      <w:r w:rsidR="008135BE">
        <w:rPr>
          <w:rtl/>
        </w:rPr>
        <w:t xml:space="preserve">הן: </w:t>
      </w:r>
      <w:r w:rsidRPr="008E2094">
        <w:rPr>
          <w:rtl/>
        </w:rPr>
        <w:t>"לשקף את רצונו המשוער של המוריש באשר לחלוקת רכושו. זהו דין דיספוזיטיבי שעוצב מתוך רצון להתחקות אחר רצונו המשוער של המוריש"</w:t>
      </w:r>
      <w:r w:rsidR="00FB253E" w:rsidRPr="00C7077C">
        <w:rPr>
          <w:rStyle w:val="a6"/>
          <w:rFonts w:cs="FrankRuehl"/>
          <w:szCs w:val="20"/>
          <w:rtl/>
        </w:rPr>
        <w:footnoteReference w:id="4"/>
      </w:r>
      <w:r w:rsidR="00833BFD">
        <w:rPr>
          <w:rtl/>
        </w:rPr>
        <w:t>;</w:t>
      </w:r>
      <w:r w:rsidRPr="008E2094">
        <w:rPr>
          <w:rtl/>
        </w:rPr>
        <w:t xml:space="preserve"> </w:t>
      </w:r>
      <w:r w:rsidR="00833BFD">
        <w:rPr>
          <w:rtl/>
        </w:rPr>
        <w:t>ו</w:t>
      </w:r>
      <w:r w:rsidRPr="008E2094">
        <w:rPr>
          <w:rtl/>
        </w:rPr>
        <w:t xml:space="preserve">"להעניק הגנה לאינטרס של בן הזוג הנותר בחיים. המשפחה הגרעינית, המורכבת מבני הזוג, ילדיהם וצאצאיהם, היא מושאו של הסדר הירושה על פי דין. ההסדר נועד להגן על התא המשפחתי המצומצם ולחזקו". </w:t>
      </w:r>
    </w:p>
    <w:p w:rsidR="008E2094" w:rsidRPr="008E2094" w:rsidRDefault="008E2094" w:rsidP="00044DA7">
      <w:pPr>
        <w:rPr>
          <w:rtl/>
        </w:rPr>
      </w:pPr>
      <w:r w:rsidRPr="008E2094">
        <w:rPr>
          <w:rtl/>
        </w:rPr>
        <w:t>בית המשפט לענייני משפחה קבע ש</w:t>
      </w:r>
      <w:r w:rsidR="00833BFD">
        <w:rPr>
          <w:rtl/>
        </w:rPr>
        <w:t>ה</w:t>
      </w:r>
      <w:r w:rsidRPr="008E2094">
        <w:rPr>
          <w:rtl/>
        </w:rPr>
        <w:t xml:space="preserve">תכליות </w:t>
      </w:r>
      <w:r w:rsidR="00833BFD">
        <w:rPr>
          <w:rtl/>
        </w:rPr>
        <w:t>הל</w:t>
      </w:r>
      <w:r w:rsidRPr="008E2094">
        <w:rPr>
          <w:rtl/>
        </w:rPr>
        <w:t>לו אינן מתקיימות במקרה דנ</w:t>
      </w:r>
      <w:r w:rsidR="00A420D0">
        <w:rPr>
          <w:rtl/>
        </w:rPr>
        <w:t>ן</w:t>
      </w:r>
      <w:r w:rsidRPr="008E2094">
        <w:rPr>
          <w:rtl/>
        </w:rPr>
        <w:t xml:space="preserve">. </w:t>
      </w:r>
      <w:r w:rsidR="00833BFD">
        <w:rPr>
          <w:rtl/>
        </w:rPr>
        <w:t xml:space="preserve">יש לשער </w:t>
      </w:r>
      <w:r w:rsidRPr="008E2094">
        <w:rPr>
          <w:rtl/>
        </w:rPr>
        <w:t xml:space="preserve">שראובן לא </w:t>
      </w:r>
      <w:r w:rsidR="00833BFD">
        <w:rPr>
          <w:rtl/>
        </w:rPr>
        <w:t xml:space="preserve">רצה להוריש </w:t>
      </w:r>
      <w:r w:rsidRPr="008E2094">
        <w:rPr>
          <w:rtl/>
        </w:rPr>
        <w:t>לרחל</w:t>
      </w:r>
      <w:r w:rsidR="00833BFD">
        <w:rPr>
          <w:rtl/>
        </w:rPr>
        <w:t xml:space="preserve"> ולא כלום</w:t>
      </w:r>
      <w:r w:rsidRPr="008E2094">
        <w:rPr>
          <w:rtl/>
        </w:rPr>
        <w:t xml:space="preserve">, </w:t>
      </w:r>
      <w:r w:rsidR="00833BFD">
        <w:rPr>
          <w:rtl/>
        </w:rPr>
        <w:t xml:space="preserve">אחר </w:t>
      </w:r>
      <w:r w:rsidRPr="008E2094">
        <w:rPr>
          <w:rtl/>
        </w:rPr>
        <w:t xml:space="preserve">שנפרד </w:t>
      </w:r>
      <w:r w:rsidR="00044DA7">
        <w:rPr>
          <w:rtl/>
        </w:rPr>
        <w:t xml:space="preserve">ממנה </w:t>
      </w:r>
      <w:r w:rsidRPr="008E2094">
        <w:rPr>
          <w:rtl/>
        </w:rPr>
        <w:t xml:space="preserve">לפני </w:t>
      </w:r>
      <w:r w:rsidR="00833BFD">
        <w:rPr>
          <w:rtl/>
        </w:rPr>
        <w:t xml:space="preserve">כמה </w:t>
      </w:r>
      <w:r w:rsidRPr="008E2094">
        <w:rPr>
          <w:rtl/>
        </w:rPr>
        <w:t>עשורים. כמו כן קבע ש</w:t>
      </w:r>
      <w:r w:rsidR="00833BFD">
        <w:rPr>
          <w:rtl/>
        </w:rPr>
        <w:t xml:space="preserve">כבר </w:t>
      </w:r>
      <w:r w:rsidRPr="008E2094">
        <w:rPr>
          <w:rtl/>
        </w:rPr>
        <w:t>אי</w:t>
      </w:r>
      <w:r w:rsidR="00833BFD">
        <w:rPr>
          <w:rtl/>
        </w:rPr>
        <w:t>ן</w:t>
      </w:r>
      <w:r w:rsidRPr="008E2094">
        <w:rPr>
          <w:rtl/>
        </w:rPr>
        <w:t xml:space="preserve"> רחל חלק מ</w:t>
      </w:r>
      <w:r w:rsidR="00833BFD">
        <w:rPr>
          <w:rtl/>
        </w:rPr>
        <w:t xml:space="preserve">ן </w:t>
      </w:r>
      <w:r w:rsidRPr="008E2094">
        <w:rPr>
          <w:rtl/>
        </w:rPr>
        <w:t xml:space="preserve">התא המשפחתי של ראובן, </w:t>
      </w:r>
      <w:r w:rsidR="00833BFD">
        <w:rPr>
          <w:rtl/>
        </w:rPr>
        <w:t xml:space="preserve">מפני </w:t>
      </w:r>
      <w:r w:rsidRPr="008E2094">
        <w:rPr>
          <w:rtl/>
        </w:rPr>
        <w:t xml:space="preserve">שלא היה </w:t>
      </w:r>
      <w:r w:rsidR="00833BFD">
        <w:rPr>
          <w:rtl/>
        </w:rPr>
        <w:t xml:space="preserve">לה </w:t>
      </w:r>
      <w:r w:rsidRPr="008E2094">
        <w:rPr>
          <w:rtl/>
        </w:rPr>
        <w:t xml:space="preserve">קשר </w:t>
      </w:r>
      <w:r w:rsidR="00833BFD">
        <w:rPr>
          <w:rtl/>
        </w:rPr>
        <w:t xml:space="preserve">לא </w:t>
      </w:r>
      <w:r w:rsidRPr="008E2094">
        <w:rPr>
          <w:rtl/>
        </w:rPr>
        <w:t>עמו ו</w:t>
      </w:r>
      <w:r w:rsidR="00833BFD">
        <w:rPr>
          <w:rtl/>
        </w:rPr>
        <w:t>לא</w:t>
      </w:r>
      <w:r w:rsidRPr="008E2094">
        <w:rPr>
          <w:rtl/>
        </w:rPr>
        <w:t xml:space="preserve"> עם משפחתו. על כן, קבע בית המשפט לענייני משפחה </w:t>
      </w:r>
      <w:r w:rsidR="00833BFD">
        <w:rPr>
          <w:rtl/>
        </w:rPr>
        <w:t>ש</w:t>
      </w:r>
      <w:r w:rsidRPr="008E2094">
        <w:rPr>
          <w:rtl/>
        </w:rPr>
        <w:t xml:space="preserve">אין ללכת שבי אחר מבחניו </w:t>
      </w:r>
      <w:r w:rsidR="00F74F44">
        <w:rPr>
          <w:rtl/>
        </w:rPr>
        <w:t>הפורמליים</w:t>
      </w:r>
      <w:r w:rsidRPr="008E2094">
        <w:rPr>
          <w:rtl/>
        </w:rPr>
        <w:t xml:space="preserve"> של סעיף 11, ואין לראות את רחל כבת זוגו של ראובן לעניין </w:t>
      </w:r>
      <w:r w:rsidR="008A5626">
        <w:rPr>
          <w:rtl/>
        </w:rPr>
        <w:t>"</w:t>
      </w:r>
      <w:r w:rsidRPr="008E2094">
        <w:rPr>
          <w:rtl/>
        </w:rPr>
        <w:t>חוק הירושה</w:t>
      </w:r>
      <w:r w:rsidR="008A5626">
        <w:rPr>
          <w:rtl/>
        </w:rPr>
        <w:t>"</w:t>
      </w:r>
      <w:r w:rsidRPr="008E2094">
        <w:rPr>
          <w:vertAlign w:val="superscript"/>
          <w:rtl/>
        </w:rPr>
        <w:footnoteReference w:id="5"/>
      </w:r>
      <w:r w:rsidRPr="008E2094">
        <w:rPr>
          <w:rtl/>
        </w:rPr>
        <w:t xml:space="preserve">. </w:t>
      </w:r>
    </w:p>
    <w:p w:rsidR="008E2094" w:rsidRPr="008E2094" w:rsidRDefault="008A5626" w:rsidP="008A5626">
      <w:pPr>
        <w:rPr>
          <w:rtl/>
        </w:rPr>
      </w:pPr>
      <w:r>
        <w:rPr>
          <w:rtl/>
        </w:rPr>
        <w:t>ה</w:t>
      </w:r>
      <w:r w:rsidR="008E2094" w:rsidRPr="00672D25">
        <w:rPr>
          <w:rtl/>
        </w:rPr>
        <w:t xml:space="preserve">חדשנות </w:t>
      </w:r>
      <w:r>
        <w:rPr>
          <w:rtl/>
        </w:rPr>
        <w:t>ב</w:t>
      </w:r>
      <w:r w:rsidR="008E2094" w:rsidRPr="00672D25">
        <w:rPr>
          <w:rtl/>
        </w:rPr>
        <w:t xml:space="preserve">הכרעה זו ניצבת </w:t>
      </w:r>
      <w:r>
        <w:rPr>
          <w:rtl/>
        </w:rPr>
        <w:t xml:space="preserve">על </w:t>
      </w:r>
      <w:r w:rsidR="008E2094" w:rsidRPr="00672D25">
        <w:rPr>
          <w:rtl/>
        </w:rPr>
        <w:t>שלושה צירים השז</w:t>
      </w:r>
      <w:r>
        <w:rPr>
          <w:rtl/>
        </w:rPr>
        <w:t>ו</w:t>
      </w:r>
      <w:r w:rsidR="008E2094" w:rsidRPr="00672D25">
        <w:rPr>
          <w:rtl/>
        </w:rPr>
        <w:t xml:space="preserve">רים זה בזה. האחד, בין פורמליזם </w:t>
      </w:r>
      <w:r>
        <w:rPr>
          <w:rtl/>
        </w:rPr>
        <w:t xml:space="preserve">לבין </w:t>
      </w:r>
      <w:r w:rsidR="008E2094" w:rsidRPr="00672D25">
        <w:rPr>
          <w:rtl/>
        </w:rPr>
        <w:t xml:space="preserve">מהות, </w:t>
      </w:r>
      <w:r w:rsidR="00E5578C" w:rsidRPr="00672D25">
        <w:rPr>
          <w:rtl/>
        </w:rPr>
        <w:t>וה</w:t>
      </w:r>
      <w:r w:rsidR="008E2094" w:rsidRPr="00672D25">
        <w:rPr>
          <w:rtl/>
        </w:rPr>
        <w:t>נכונות לפרשנות דינמית ותכליתית של לשון החוק</w:t>
      </w:r>
      <w:r w:rsidR="008E2094" w:rsidRPr="00672D25">
        <w:rPr>
          <w:vertAlign w:val="superscript"/>
          <w:rtl/>
        </w:rPr>
        <w:footnoteReference w:id="6"/>
      </w:r>
      <w:r w:rsidR="008E2094" w:rsidRPr="00672D25">
        <w:rPr>
          <w:rtl/>
        </w:rPr>
        <w:t>. השני, מהותם של כללי הירושה על פי דין וזיקתם לאומד</w:t>
      </w:r>
      <w:r>
        <w:rPr>
          <w:rtl/>
        </w:rPr>
        <w:t>ן</w:t>
      </w:r>
      <w:r w:rsidR="008E2094" w:rsidRPr="00672D25">
        <w:rPr>
          <w:rtl/>
        </w:rPr>
        <w:t xml:space="preserve"> דעתו של המוריש. והשלישי, היחס בין קשרי זוגיות מבוססי נישואין ר</w:t>
      </w:r>
      <w:r>
        <w:rPr>
          <w:rtl/>
        </w:rPr>
        <w:t>ש</w:t>
      </w:r>
      <w:r w:rsidR="008E2094" w:rsidRPr="00672D25">
        <w:rPr>
          <w:rtl/>
        </w:rPr>
        <w:t xml:space="preserve">מיים </w:t>
      </w:r>
      <w:r w:rsidR="008E2094" w:rsidRPr="00672D25">
        <w:rPr>
          <w:rtl/>
        </w:rPr>
        <w:lastRenderedPageBreak/>
        <w:t>ל</w:t>
      </w:r>
      <w:r>
        <w:rPr>
          <w:rtl/>
        </w:rPr>
        <w:t xml:space="preserve">בין </w:t>
      </w:r>
      <w:r w:rsidR="008E2094" w:rsidRPr="00672D25">
        <w:rPr>
          <w:rtl/>
        </w:rPr>
        <w:t>קשרי זוגיות מבוססי מציאות. דיון מקיף בצירי</w:t>
      </w:r>
      <w:r>
        <w:rPr>
          <w:rtl/>
        </w:rPr>
        <w:t>ם</w:t>
      </w:r>
      <w:r w:rsidR="008E2094" w:rsidRPr="00672D25">
        <w:rPr>
          <w:rtl/>
        </w:rPr>
        <w:t xml:space="preserve"> </w:t>
      </w:r>
      <w:r>
        <w:rPr>
          <w:rtl/>
        </w:rPr>
        <w:t>הללו</w:t>
      </w:r>
      <w:r w:rsidR="008E2094" w:rsidRPr="00672D25">
        <w:rPr>
          <w:rtl/>
        </w:rPr>
        <w:t xml:space="preserve"> חורג בהרבה מגבולות </w:t>
      </w:r>
      <w:r>
        <w:rPr>
          <w:rtl/>
        </w:rPr>
        <w:t>דיון זה</w:t>
      </w:r>
      <w:r w:rsidR="008E2094" w:rsidRPr="00672D25">
        <w:rPr>
          <w:rtl/>
        </w:rPr>
        <w:t xml:space="preserve">. מטרתי הצנועה לעמוד בקווים כלליים על </w:t>
      </w:r>
      <w:r w:rsidR="00087593" w:rsidRPr="00672D25">
        <w:rPr>
          <w:rtl/>
        </w:rPr>
        <w:t>עמדת המשפט העברי בירושת בני זוג פרודים</w:t>
      </w:r>
      <w:r w:rsidR="008E2094" w:rsidRPr="00672D25">
        <w:rPr>
          <w:rtl/>
        </w:rPr>
        <w:t>.</w:t>
      </w:r>
    </w:p>
    <w:p w:rsidR="008E2094" w:rsidRPr="008E2094" w:rsidRDefault="008E2094" w:rsidP="008E59FE">
      <w:pPr>
        <w:pStyle w:val="2"/>
        <w:rPr>
          <w:rtl/>
        </w:rPr>
      </w:pPr>
      <w:r w:rsidRPr="008E2094">
        <w:rPr>
          <w:rtl/>
        </w:rPr>
        <w:t>כללי הירושה על פי דין במשפט העברי</w:t>
      </w:r>
    </w:p>
    <w:p w:rsidR="008E2094" w:rsidRPr="008E2094" w:rsidRDefault="008E2094" w:rsidP="008A5626">
      <w:pPr>
        <w:rPr>
          <w:rtl/>
        </w:rPr>
      </w:pPr>
      <w:r w:rsidRPr="008E2094">
        <w:rPr>
          <w:rtl/>
        </w:rPr>
        <w:t>בפרשת בנות צלפחד</w:t>
      </w:r>
      <w:r w:rsidR="008A5626">
        <w:rPr>
          <w:rtl/>
        </w:rPr>
        <w:t>,</w:t>
      </w:r>
      <w:r w:rsidRPr="008E2094">
        <w:rPr>
          <w:rtl/>
        </w:rPr>
        <w:t xml:space="preserve"> </w:t>
      </w:r>
      <w:r w:rsidR="008A5626">
        <w:rPr>
          <w:rtl/>
        </w:rPr>
        <w:t xml:space="preserve">התורה </w:t>
      </w:r>
      <w:r w:rsidRPr="008E2094">
        <w:rPr>
          <w:rtl/>
        </w:rPr>
        <w:t xml:space="preserve">פורסת </w:t>
      </w:r>
      <w:r w:rsidR="008A5626">
        <w:rPr>
          <w:rtl/>
        </w:rPr>
        <w:t>ל</w:t>
      </w:r>
      <w:r w:rsidRPr="008E2094">
        <w:rPr>
          <w:rtl/>
        </w:rPr>
        <w:t>פנינו את כללי הירושה על פי דין. במסגרת כללים אלו</w:t>
      </w:r>
      <w:r w:rsidR="008A5626">
        <w:rPr>
          <w:rtl/>
        </w:rPr>
        <w:t>,</w:t>
      </w:r>
      <w:r w:rsidRPr="008E2094">
        <w:rPr>
          <w:rtl/>
        </w:rPr>
        <w:t xml:space="preserve"> מפורט בפשוטו של מקרא ובדרשות חז"ל סדר הנחלות של קרובי המשפחה. נקודת המוצא של הדין העברי היא </w:t>
      </w:r>
      <w:r w:rsidR="008A5626">
        <w:rPr>
          <w:rtl/>
        </w:rPr>
        <w:t>שה</w:t>
      </w:r>
      <w:r w:rsidRPr="008E2094">
        <w:rPr>
          <w:rtl/>
        </w:rPr>
        <w:t xml:space="preserve">כללים </w:t>
      </w:r>
      <w:r w:rsidR="008A5626">
        <w:rPr>
          <w:rtl/>
        </w:rPr>
        <w:t>הל</w:t>
      </w:r>
      <w:r w:rsidRPr="008E2094">
        <w:rPr>
          <w:rtl/>
        </w:rPr>
        <w:t xml:space="preserve">לו </w:t>
      </w:r>
      <w:r w:rsidR="008A5626">
        <w:rPr>
          <w:rtl/>
        </w:rPr>
        <w:t xml:space="preserve">הם </w:t>
      </w:r>
      <w:r w:rsidRPr="008E2094">
        <w:rPr>
          <w:rtl/>
        </w:rPr>
        <w:t>קוגנטיים</w:t>
      </w:r>
      <w:r w:rsidR="00966E5B">
        <w:rPr>
          <w:rtl/>
        </w:rPr>
        <w:t>, וניסיון לשנותם בטל כדין התנ</w:t>
      </w:r>
      <w:r w:rsidR="008A5626">
        <w:rPr>
          <w:rtl/>
        </w:rPr>
        <w:t>י</w:t>
      </w:r>
      <w:r w:rsidR="00966E5B">
        <w:rPr>
          <w:rtl/>
        </w:rPr>
        <w:t>ה על מה שכתוב בתורה</w:t>
      </w:r>
      <w:r w:rsidR="00966E5B" w:rsidRPr="00966E5B">
        <w:rPr>
          <w:vertAlign w:val="superscript"/>
          <w:rtl/>
        </w:rPr>
        <w:footnoteReference w:id="7"/>
      </w:r>
      <w:r w:rsidR="00966E5B">
        <w:rPr>
          <w:rtl/>
        </w:rPr>
        <w:t xml:space="preserve">. </w:t>
      </w:r>
      <w:r w:rsidRPr="008E2094">
        <w:rPr>
          <w:rtl/>
        </w:rPr>
        <w:t>יתר על כן</w:t>
      </w:r>
      <w:r w:rsidR="008A5626">
        <w:rPr>
          <w:rtl/>
        </w:rPr>
        <w:t>,</w:t>
      </w:r>
      <w:r w:rsidRPr="008E2094">
        <w:rPr>
          <w:rtl/>
        </w:rPr>
        <w:t xml:space="preserve"> הרשב"א (</w:t>
      </w:r>
      <w:r w:rsidR="008135BE">
        <w:rPr>
          <w:rtl/>
        </w:rPr>
        <w:t>ספרד</w:t>
      </w:r>
      <w:r w:rsidRPr="008E2094">
        <w:rPr>
          <w:rtl/>
        </w:rPr>
        <w:t xml:space="preserve">, </w:t>
      </w:r>
      <w:r w:rsidR="008135BE">
        <w:rPr>
          <w:rtl/>
        </w:rPr>
        <w:t>המאות הי"ג-הי"ד</w:t>
      </w:r>
      <w:r w:rsidRPr="008E2094">
        <w:rPr>
          <w:rtl/>
        </w:rPr>
        <w:t>)</w:t>
      </w:r>
      <w:r w:rsidR="008A5626">
        <w:rPr>
          <w:rtl/>
        </w:rPr>
        <w:t xml:space="preserve"> אומר</w:t>
      </w:r>
      <w:r w:rsidRPr="008E2094">
        <w:rPr>
          <w:rtl/>
        </w:rPr>
        <w:t xml:space="preserve"> ש</w:t>
      </w:r>
      <w:r w:rsidR="008A5626">
        <w:rPr>
          <w:rtl/>
        </w:rPr>
        <w:t xml:space="preserve">המת </w:t>
      </w:r>
      <w:r w:rsidRPr="008E2094">
        <w:rPr>
          <w:rtl/>
        </w:rPr>
        <w:t>אינו הגורם המעניק את הנכס ליורש</w:t>
      </w:r>
      <w:r w:rsidR="008A5626">
        <w:rPr>
          <w:rtl/>
        </w:rPr>
        <w:t>יו. וזה לשונו</w:t>
      </w:r>
      <w:r w:rsidRPr="008E2094">
        <w:rPr>
          <w:rtl/>
        </w:rPr>
        <w:t xml:space="preserve">: "ולא מן המוריש באה לו נחלה, </w:t>
      </w:r>
      <w:r w:rsidRPr="009607A1">
        <w:rPr>
          <w:rStyle w:val="aff"/>
          <w:rFonts w:cs="FrankRuehl"/>
          <w:bCs/>
          <w:rtl/>
        </w:rPr>
        <w:t>אלא שהתורה זכתה לו</w:t>
      </w:r>
      <w:r w:rsidRPr="008E2094">
        <w:rPr>
          <w:rtl/>
        </w:rPr>
        <w:t>"</w:t>
      </w:r>
      <w:r w:rsidRPr="008E2094">
        <w:rPr>
          <w:vertAlign w:val="superscript"/>
          <w:rtl/>
        </w:rPr>
        <w:footnoteReference w:id="8"/>
      </w:r>
      <w:r w:rsidRPr="008E2094">
        <w:rPr>
          <w:rtl/>
        </w:rPr>
        <w:t xml:space="preserve">. </w:t>
      </w:r>
    </w:p>
    <w:p w:rsidR="008E2094" w:rsidRPr="008E2094" w:rsidRDefault="008E2094" w:rsidP="008A5626">
      <w:pPr>
        <w:rPr>
          <w:rtl/>
        </w:rPr>
      </w:pPr>
      <w:r w:rsidRPr="008E2094">
        <w:rPr>
          <w:rtl/>
        </w:rPr>
        <w:t>זו נקודת מוצא בלבד, משום ש</w:t>
      </w:r>
      <w:r w:rsidR="00A420D0">
        <w:rPr>
          <w:rtl/>
        </w:rPr>
        <w:t>י</w:t>
      </w:r>
      <w:r w:rsidR="008A5626">
        <w:rPr>
          <w:rtl/>
        </w:rPr>
        <w:t>ש</w:t>
      </w:r>
      <w:r w:rsidRPr="008E2094">
        <w:rPr>
          <w:rtl/>
        </w:rPr>
        <w:t xml:space="preserve"> </w:t>
      </w:r>
      <w:r w:rsidR="008A5626">
        <w:rPr>
          <w:rtl/>
        </w:rPr>
        <w:t xml:space="preserve">כמה </w:t>
      </w:r>
      <w:r w:rsidRPr="008E2094">
        <w:rPr>
          <w:rtl/>
        </w:rPr>
        <w:t>דרכים ש</w:t>
      </w:r>
      <w:r w:rsidR="00A420D0">
        <w:rPr>
          <w:rtl/>
        </w:rPr>
        <w:t>ב</w:t>
      </w:r>
      <w:r w:rsidRPr="008E2094">
        <w:rPr>
          <w:rtl/>
        </w:rPr>
        <w:t>הן יכול אדם לנתב את נכסיו</w:t>
      </w:r>
      <w:r w:rsidR="00A420D0">
        <w:rPr>
          <w:rtl/>
        </w:rPr>
        <w:t xml:space="preserve"> לאחר מותו</w:t>
      </w:r>
      <w:r w:rsidRPr="008E2094">
        <w:rPr>
          <w:vertAlign w:val="superscript"/>
          <w:rtl/>
        </w:rPr>
        <w:footnoteReference w:id="9"/>
      </w:r>
      <w:r w:rsidRPr="008E2094">
        <w:rPr>
          <w:rtl/>
        </w:rPr>
        <w:t xml:space="preserve">. עם זאת, יש משמעות רבה לנקודת מוצא זו. תפיסתה הבסיסית של התורה אינה תפיסה של </w:t>
      </w:r>
      <w:r w:rsidRPr="008135BE">
        <w:rPr>
          <w:rStyle w:val="aff"/>
          <w:rFonts w:cs="FrankRuehl"/>
          <w:bCs/>
          <w:rtl/>
        </w:rPr>
        <w:t>חופש צוואה</w:t>
      </w:r>
      <w:r w:rsidRPr="008E2094">
        <w:rPr>
          <w:rtl/>
        </w:rPr>
        <w:t xml:space="preserve"> אלא של </w:t>
      </w:r>
      <w:r w:rsidRPr="008135BE">
        <w:rPr>
          <w:rStyle w:val="aff"/>
          <w:rFonts w:cs="FrankRuehl"/>
          <w:bCs/>
          <w:rtl/>
        </w:rPr>
        <w:t>ירושה על פי דין</w:t>
      </w:r>
      <w:r w:rsidRPr="008E2094">
        <w:rPr>
          <w:rtl/>
        </w:rPr>
        <w:t xml:space="preserve">. </w:t>
      </w:r>
      <w:r w:rsidR="008A5626">
        <w:rPr>
          <w:rtl/>
        </w:rPr>
        <w:t>נמצא ש</w:t>
      </w:r>
      <w:r w:rsidRPr="008E2094">
        <w:rPr>
          <w:rtl/>
        </w:rPr>
        <w:t>קשה עד מאוד לראות במשפט התורה מקום לתפיסה המבינה את כללי הירושה על פי דין כמנסים להתחקות אחר אומד</w:t>
      </w:r>
      <w:r w:rsidR="008A5626">
        <w:rPr>
          <w:rtl/>
        </w:rPr>
        <w:t>ן</w:t>
      </w:r>
      <w:r w:rsidRPr="008E2094">
        <w:rPr>
          <w:rtl/>
        </w:rPr>
        <w:t xml:space="preserve"> דעתו של המוריש</w:t>
      </w:r>
      <w:r w:rsidRPr="008E2094">
        <w:rPr>
          <w:vertAlign w:val="superscript"/>
          <w:rtl/>
        </w:rPr>
        <w:footnoteReference w:id="10"/>
      </w:r>
      <w:r w:rsidRPr="008E2094">
        <w:rPr>
          <w:rtl/>
        </w:rPr>
        <w:t xml:space="preserve">. כללים אלו אינם </w:t>
      </w:r>
      <w:r w:rsidRPr="002C1B0D">
        <w:rPr>
          <w:rStyle w:val="aff"/>
          <w:rFonts w:cs="FrankRuehl"/>
          <w:bCs/>
          <w:rtl/>
        </w:rPr>
        <w:t>כללים מחקים</w:t>
      </w:r>
      <w:r w:rsidRPr="008E2094">
        <w:rPr>
          <w:rtl/>
        </w:rPr>
        <w:t xml:space="preserve"> אלא </w:t>
      </w:r>
      <w:r w:rsidRPr="002C1B0D">
        <w:rPr>
          <w:rStyle w:val="aff"/>
          <w:rFonts w:cs="FrankRuehl"/>
          <w:bCs/>
          <w:rtl/>
        </w:rPr>
        <w:t>כללים מעצבים</w:t>
      </w:r>
      <w:r w:rsidRPr="008E2094">
        <w:rPr>
          <w:rtl/>
        </w:rPr>
        <w:t>, המבטאים מערכת ערכים ש</w:t>
      </w:r>
      <w:r w:rsidR="008A5626">
        <w:rPr>
          <w:rtl/>
        </w:rPr>
        <w:t>התורה</w:t>
      </w:r>
      <w:r w:rsidRPr="008E2094">
        <w:rPr>
          <w:rtl/>
        </w:rPr>
        <w:t xml:space="preserve"> מעמידה ביסוד דיני הנחלות, </w:t>
      </w:r>
      <w:r w:rsidR="008A5626">
        <w:rPr>
          <w:rtl/>
        </w:rPr>
        <w:t>ה</w:t>
      </w:r>
      <w:r w:rsidRPr="008E2094">
        <w:rPr>
          <w:rtl/>
        </w:rPr>
        <w:t>נוגעים בין היתר להמשכיות המוריש ומורשתו לאחר מותו ולתפיסת היסוד ב</w:t>
      </w:r>
      <w:r w:rsidR="008A5626">
        <w:rPr>
          <w:rtl/>
        </w:rPr>
        <w:t>עניין</w:t>
      </w:r>
      <w:r w:rsidRPr="008E2094">
        <w:rPr>
          <w:rtl/>
        </w:rPr>
        <w:t xml:space="preserve"> </w:t>
      </w:r>
      <w:r w:rsidR="008A5626">
        <w:rPr>
          <w:rtl/>
        </w:rPr>
        <w:t>ה</w:t>
      </w:r>
      <w:r w:rsidRPr="008E2094">
        <w:rPr>
          <w:rtl/>
        </w:rPr>
        <w:t xml:space="preserve">גרעין המשפחתי. </w:t>
      </w:r>
    </w:p>
    <w:p w:rsidR="008E2094" w:rsidRPr="008E2094" w:rsidRDefault="008E2094" w:rsidP="00C7077C">
      <w:pPr>
        <w:rPr>
          <w:rtl/>
        </w:rPr>
      </w:pPr>
      <w:r w:rsidRPr="008E2094">
        <w:rPr>
          <w:rtl/>
        </w:rPr>
        <w:t>אין זה מפתיע שכללי הירושה על פי דין נושאים אופי ר</w:t>
      </w:r>
      <w:r w:rsidR="008A5626">
        <w:rPr>
          <w:rtl/>
        </w:rPr>
        <w:t>ש</w:t>
      </w:r>
      <w:r w:rsidRPr="008E2094">
        <w:rPr>
          <w:rtl/>
        </w:rPr>
        <w:t>מי. לא זו בלבד שאין הם בוחנים את אומד</w:t>
      </w:r>
      <w:r w:rsidR="008A5626">
        <w:rPr>
          <w:rtl/>
        </w:rPr>
        <w:t>ן</w:t>
      </w:r>
      <w:r w:rsidRPr="008E2094">
        <w:rPr>
          <w:rtl/>
        </w:rPr>
        <w:t xml:space="preserve"> דעתו המשוער של המוריש, </w:t>
      </w:r>
      <w:r w:rsidR="00C7077C">
        <w:rPr>
          <w:rtl/>
        </w:rPr>
        <w:t>גם אין הם</w:t>
      </w:r>
      <w:r w:rsidRPr="008E2094">
        <w:rPr>
          <w:rtl/>
        </w:rPr>
        <w:t xml:space="preserve"> בוחנים את זיקתו הרגשית או הפונקציונלית של היורש אל המוריש. אין כל הבדל בתחולת דיני הירושה בי</w:t>
      </w:r>
      <w:r w:rsidR="00A420D0">
        <w:rPr>
          <w:rtl/>
        </w:rPr>
        <w:t>ן</w:t>
      </w:r>
      <w:r w:rsidR="00F17D75">
        <w:rPr>
          <w:rtl/>
        </w:rPr>
        <w:t xml:space="preserve"> </w:t>
      </w:r>
      <w:r w:rsidR="00A420D0">
        <w:rPr>
          <w:rtl/>
        </w:rPr>
        <w:t>מוריש</w:t>
      </w:r>
      <w:r w:rsidRPr="008E2094">
        <w:rPr>
          <w:rtl/>
        </w:rPr>
        <w:t xml:space="preserve"> שחי עם ילדיו חיים ארוכים של קשר חם ותמיכה הדדית </w:t>
      </w:r>
      <w:r w:rsidR="008A5626">
        <w:rPr>
          <w:rtl/>
        </w:rPr>
        <w:t>ל</w:t>
      </w:r>
      <w:r w:rsidRPr="008E2094">
        <w:rPr>
          <w:rtl/>
        </w:rPr>
        <w:t>בי</w:t>
      </w:r>
      <w:r w:rsidR="00A420D0">
        <w:rPr>
          <w:rtl/>
        </w:rPr>
        <w:t>ן</w:t>
      </w:r>
      <w:r w:rsidR="00F17D75">
        <w:rPr>
          <w:rtl/>
        </w:rPr>
        <w:t xml:space="preserve"> </w:t>
      </w:r>
      <w:r w:rsidR="00A420D0">
        <w:rPr>
          <w:rtl/>
        </w:rPr>
        <w:t>מוריש</w:t>
      </w:r>
      <w:r w:rsidRPr="008E2094">
        <w:rPr>
          <w:rtl/>
        </w:rPr>
        <w:t xml:space="preserve"> שחל נתק רב שנים בינו לבין ילדיו. </w:t>
      </w:r>
    </w:p>
    <w:p w:rsidR="008E2094" w:rsidRPr="008E2094" w:rsidRDefault="008E2094" w:rsidP="00C7077C">
      <w:pPr>
        <w:rPr>
          <w:rtl/>
        </w:rPr>
      </w:pPr>
      <w:r w:rsidRPr="008E2094">
        <w:rPr>
          <w:rtl/>
        </w:rPr>
        <w:t xml:space="preserve">בראייה זו, דומה לכאורה שקיים פער רעיוני עמוק בין התפיסה </w:t>
      </w:r>
      <w:r w:rsidR="008A5626">
        <w:rPr>
          <w:rtl/>
        </w:rPr>
        <w:t>ה</w:t>
      </w:r>
      <w:r w:rsidRPr="008E2094">
        <w:rPr>
          <w:rtl/>
        </w:rPr>
        <w:t xml:space="preserve">מנחה את פסק הדין </w:t>
      </w:r>
      <w:r w:rsidR="00F17D75">
        <w:rPr>
          <w:rtl/>
        </w:rPr>
        <w:t>שהזכר</w:t>
      </w:r>
      <w:r w:rsidR="008A5626">
        <w:rPr>
          <w:rtl/>
        </w:rPr>
        <w:t>נו</w:t>
      </w:r>
      <w:r w:rsidR="00F17D75">
        <w:rPr>
          <w:rtl/>
        </w:rPr>
        <w:t xml:space="preserve"> בפתח דברי</w:t>
      </w:r>
      <w:r w:rsidR="008A5626">
        <w:rPr>
          <w:rtl/>
        </w:rPr>
        <w:t>נו</w:t>
      </w:r>
      <w:r w:rsidR="00F17D75">
        <w:rPr>
          <w:rtl/>
        </w:rPr>
        <w:t xml:space="preserve"> </w:t>
      </w:r>
      <w:r w:rsidRPr="008E2094">
        <w:rPr>
          <w:rtl/>
        </w:rPr>
        <w:t>לבין תפיסת היסוד של התורה ביחס לירושה. את בית המשפט לענייני משפחה הנחו תכליות הנוגעות לאומד</w:t>
      </w:r>
      <w:r w:rsidR="008A5626">
        <w:rPr>
          <w:rtl/>
        </w:rPr>
        <w:t>ן</w:t>
      </w:r>
      <w:r w:rsidRPr="008E2094">
        <w:rPr>
          <w:rtl/>
        </w:rPr>
        <w:t xml:space="preserve"> דעת המוריש ולטיב יחסיו בפועל עם התא המשפחתי שלו, בעוד שתכליות דיני הירושה של התורה נוגעות לתא המשפחתי באשר הוא.</w:t>
      </w:r>
    </w:p>
    <w:p w:rsidR="008E2094" w:rsidRPr="008E2094" w:rsidRDefault="008E2094" w:rsidP="00E11CEC">
      <w:pPr>
        <w:rPr>
          <w:rtl/>
        </w:rPr>
      </w:pPr>
      <w:r w:rsidRPr="008E2094">
        <w:rPr>
          <w:rtl/>
        </w:rPr>
        <w:t>ואולם כש</w:t>
      </w:r>
      <w:r w:rsidR="00E11CEC">
        <w:rPr>
          <w:rtl/>
        </w:rPr>
        <w:t>אנו</w:t>
      </w:r>
      <w:r w:rsidRPr="008E2094">
        <w:rPr>
          <w:rtl/>
        </w:rPr>
        <w:t xml:space="preserve"> מ</w:t>
      </w:r>
      <w:r w:rsidR="00E11CEC">
        <w:rPr>
          <w:rtl/>
        </w:rPr>
        <w:t>ת</w:t>
      </w:r>
      <w:r w:rsidRPr="008E2094">
        <w:rPr>
          <w:rtl/>
        </w:rPr>
        <w:t>מקדים בירושה המדוברת, ירושת בני זוג, משתנים פני הדברים ו</w:t>
      </w:r>
      <w:r w:rsidR="00E11CEC">
        <w:rPr>
          <w:rtl/>
        </w:rPr>
        <w:t>נעש</w:t>
      </w:r>
      <w:r w:rsidRPr="008E2094">
        <w:rPr>
          <w:rtl/>
        </w:rPr>
        <w:t>ים מורכבים יותר.</w:t>
      </w:r>
    </w:p>
    <w:p w:rsidR="008E2094" w:rsidRPr="008E2094" w:rsidRDefault="008E2094" w:rsidP="008E59FE">
      <w:pPr>
        <w:pStyle w:val="2"/>
        <w:rPr>
          <w:rtl/>
        </w:rPr>
      </w:pPr>
      <w:r w:rsidRPr="008E2094">
        <w:rPr>
          <w:rtl/>
        </w:rPr>
        <w:lastRenderedPageBreak/>
        <w:t>ירושת בן הזוג</w:t>
      </w:r>
    </w:p>
    <w:p w:rsidR="008E2094" w:rsidRPr="008E2094" w:rsidRDefault="008E2094" w:rsidP="00E11CEC">
      <w:pPr>
        <w:rPr>
          <w:rtl/>
        </w:rPr>
      </w:pPr>
      <w:r w:rsidRPr="008E2094">
        <w:rPr>
          <w:rtl/>
        </w:rPr>
        <w:t>בכללי הירושה במשפט העברי, הבעל יורש את כל נכסיה של אשתו, והוא קודם לכל קרוביה. ירושה זו אינה סימטרית. האישה זכאית למזונות מע</w:t>
      </w:r>
      <w:r w:rsidR="00E11CEC">
        <w:rPr>
          <w:rtl/>
        </w:rPr>
        <w:t>י</w:t>
      </w:r>
      <w:r w:rsidRPr="008E2094">
        <w:rPr>
          <w:rtl/>
        </w:rPr>
        <w:t xml:space="preserve">זבון </w:t>
      </w:r>
      <w:r w:rsidR="00E11CEC">
        <w:rPr>
          <w:rtl/>
        </w:rPr>
        <w:t xml:space="preserve">בעלה </w:t>
      </w:r>
      <w:r w:rsidRPr="008E2094">
        <w:rPr>
          <w:rtl/>
        </w:rPr>
        <w:t>ול</w:t>
      </w:r>
      <w:r w:rsidR="00E11CEC">
        <w:rPr>
          <w:rtl/>
        </w:rPr>
        <w:t>דמי</w:t>
      </w:r>
      <w:r w:rsidRPr="008E2094">
        <w:rPr>
          <w:rtl/>
        </w:rPr>
        <w:t xml:space="preserve"> כתובתה</w:t>
      </w:r>
      <w:bookmarkStart w:id="0" w:name="_Ref358819956"/>
      <w:r w:rsidRPr="008E2094">
        <w:rPr>
          <w:vertAlign w:val="superscript"/>
          <w:rtl/>
        </w:rPr>
        <w:footnoteReference w:id="11"/>
      </w:r>
      <w:bookmarkEnd w:id="0"/>
      <w:r w:rsidRPr="008E2094">
        <w:rPr>
          <w:rtl/>
        </w:rPr>
        <w:t>, אך אינה יורשת א</w:t>
      </w:r>
      <w:r w:rsidR="00E11CEC">
        <w:rPr>
          <w:rtl/>
        </w:rPr>
        <w:t>ו</w:t>
      </w:r>
      <w:r w:rsidRPr="008E2094">
        <w:rPr>
          <w:rtl/>
        </w:rPr>
        <w:t>ת</w:t>
      </w:r>
      <w:r w:rsidR="00E11CEC">
        <w:rPr>
          <w:rtl/>
        </w:rPr>
        <w:t>ו</w:t>
      </w:r>
      <w:r w:rsidRPr="008E2094">
        <w:rPr>
          <w:vertAlign w:val="superscript"/>
          <w:rtl/>
        </w:rPr>
        <w:footnoteReference w:id="12"/>
      </w:r>
      <w:r w:rsidRPr="008E2094">
        <w:rPr>
          <w:rtl/>
        </w:rPr>
        <w:t>. חוסר סימטריה ז</w:t>
      </w:r>
      <w:r w:rsidR="00E11CEC">
        <w:rPr>
          <w:rtl/>
        </w:rPr>
        <w:t>ה</w:t>
      </w:r>
      <w:r w:rsidRPr="008E2094">
        <w:rPr>
          <w:rtl/>
        </w:rPr>
        <w:t>, כמו גם מידת ה</w:t>
      </w:r>
      <w:r w:rsidR="00E11CEC">
        <w:rPr>
          <w:rtl/>
        </w:rPr>
        <w:t>שייכו</w:t>
      </w:r>
      <w:r w:rsidRPr="008E2094">
        <w:rPr>
          <w:rtl/>
        </w:rPr>
        <w:t>ת שלו למציאות העכשווית, מעלים שאלות כבדות משקל שאינן מעניינ</w:t>
      </w:r>
      <w:r w:rsidR="00F17D75">
        <w:rPr>
          <w:rtl/>
        </w:rPr>
        <w:t>נו כאן</w:t>
      </w:r>
      <w:r w:rsidRPr="008E2094">
        <w:rPr>
          <w:rtl/>
        </w:rPr>
        <w:t>. לענייננו, נ</w:t>
      </w:r>
      <w:r w:rsidR="00F17D75">
        <w:rPr>
          <w:rtl/>
        </w:rPr>
        <w:t xml:space="preserve">בחן </w:t>
      </w:r>
      <w:r w:rsidRPr="008E2094">
        <w:rPr>
          <w:rtl/>
        </w:rPr>
        <w:t>את ירושת הבעל כמייצגת את מודל ירושת בן הזוג במשפט העברי.</w:t>
      </w:r>
    </w:p>
    <w:p w:rsidR="008E2094" w:rsidRPr="008E2094" w:rsidRDefault="008E2094" w:rsidP="00C7077C">
      <w:pPr>
        <w:rPr>
          <w:rtl/>
        </w:rPr>
      </w:pPr>
      <w:r w:rsidRPr="008E2094">
        <w:rPr>
          <w:rtl/>
        </w:rPr>
        <w:t>עיון במקורות מ</w:t>
      </w:r>
      <w:r w:rsidR="00E11CEC">
        <w:rPr>
          <w:rtl/>
        </w:rPr>
        <w:t>ע</w:t>
      </w:r>
      <w:r w:rsidRPr="008E2094">
        <w:rPr>
          <w:rtl/>
        </w:rPr>
        <w:t xml:space="preserve">לה </w:t>
      </w:r>
      <w:r w:rsidR="00A420D0">
        <w:rPr>
          <w:rtl/>
        </w:rPr>
        <w:t>ש</w:t>
      </w:r>
      <w:r w:rsidR="00E11CEC">
        <w:rPr>
          <w:rtl/>
        </w:rPr>
        <w:t>דין</w:t>
      </w:r>
      <w:r w:rsidR="00A420D0" w:rsidRPr="008E2094">
        <w:rPr>
          <w:rtl/>
        </w:rPr>
        <w:t xml:space="preserve"> </w:t>
      </w:r>
      <w:r w:rsidRPr="008E2094">
        <w:rPr>
          <w:rtl/>
        </w:rPr>
        <w:t xml:space="preserve">ירושה זו </w:t>
      </w:r>
      <w:r w:rsidR="00E11CEC">
        <w:rPr>
          <w:rtl/>
        </w:rPr>
        <w:t xml:space="preserve">אינו כדין </w:t>
      </w:r>
      <w:r w:rsidRPr="008E2094">
        <w:rPr>
          <w:rtl/>
        </w:rPr>
        <w:t xml:space="preserve">שאר </w:t>
      </w:r>
      <w:r w:rsidR="00E11CEC">
        <w:rPr>
          <w:rtl/>
        </w:rPr>
        <w:t>ה</w:t>
      </w:r>
      <w:r w:rsidRPr="008E2094">
        <w:rPr>
          <w:rtl/>
        </w:rPr>
        <w:t xml:space="preserve">ירושות </w:t>
      </w:r>
      <w:r w:rsidR="00E11CEC">
        <w:rPr>
          <w:rtl/>
        </w:rPr>
        <w:t xml:space="preserve">על פי </w:t>
      </w:r>
      <w:r w:rsidRPr="008E2094">
        <w:rPr>
          <w:rtl/>
        </w:rPr>
        <w:t xml:space="preserve">התורה. </w:t>
      </w:r>
      <w:r w:rsidR="00F17D75">
        <w:rPr>
          <w:rtl/>
        </w:rPr>
        <w:t xml:space="preserve">על פי אחת הגישות </w:t>
      </w:r>
      <w:r w:rsidR="00A420D0">
        <w:rPr>
          <w:rtl/>
        </w:rPr>
        <w:t>בתלמוד</w:t>
      </w:r>
      <w:r w:rsidR="00E11CEC">
        <w:rPr>
          <w:rtl/>
        </w:rPr>
        <w:t>,</w:t>
      </w:r>
      <w:r w:rsidR="00A420D0">
        <w:rPr>
          <w:rtl/>
        </w:rPr>
        <w:t xml:space="preserve"> </w:t>
      </w:r>
      <w:r w:rsidRPr="008E2094">
        <w:rPr>
          <w:rtl/>
        </w:rPr>
        <w:t>מדובר בירושה מדרבנן</w:t>
      </w:r>
      <w:r w:rsidR="00E11CEC">
        <w:rPr>
          <w:rtl/>
        </w:rPr>
        <w:t>.</w:t>
      </w:r>
      <w:r w:rsidRPr="008E2094">
        <w:rPr>
          <w:rtl/>
        </w:rPr>
        <w:t xml:space="preserve"> </w:t>
      </w:r>
      <w:r w:rsidR="00E11CEC">
        <w:rPr>
          <w:rtl/>
        </w:rPr>
        <w:t xml:space="preserve">אף </w:t>
      </w:r>
      <w:r w:rsidRPr="008E2094">
        <w:rPr>
          <w:rtl/>
        </w:rPr>
        <w:t>עולה מ</w:t>
      </w:r>
      <w:r w:rsidR="00E11CEC">
        <w:rPr>
          <w:rtl/>
        </w:rPr>
        <w:t>מנ</w:t>
      </w:r>
      <w:r w:rsidRPr="008E2094">
        <w:rPr>
          <w:rtl/>
        </w:rPr>
        <w:t>ה שאין</w:t>
      </w:r>
      <w:r w:rsidR="00F17D75">
        <w:rPr>
          <w:rtl/>
        </w:rPr>
        <w:t xml:space="preserve"> </w:t>
      </w:r>
      <w:r w:rsidR="00EC35ED">
        <w:rPr>
          <w:rtl/>
        </w:rPr>
        <w:t>ירושת הבעל</w:t>
      </w:r>
      <w:r w:rsidR="00EC35ED" w:rsidRPr="008E2094">
        <w:rPr>
          <w:rtl/>
        </w:rPr>
        <w:t xml:space="preserve"> </w:t>
      </w:r>
      <w:r w:rsidR="00E11CEC">
        <w:rPr>
          <w:rtl/>
        </w:rPr>
        <w:t>כ</w:t>
      </w:r>
      <w:r w:rsidRPr="008E2094">
        <w:rPr>
          <w:rtl/>
        </w:rPr>
        <w:t>דין ירושה רגיל</w:t>
      </w:r>
      <w:r w:rsidR="00E11CEC">
        <w:rPr>
          <w:rtl/>
        </w:rPr>
        <w:t>ה</w:t>
      </w:r>
      <w:r w:rsidRPr="008E2094">
        <w:rPr>
          <w:rtl/>
        </w:rPr>
        <w:t xml:space="preserve"> אלא נדבך ביחסי הממון שבין בני הזוג</w:t>
      </w:r>
      <w:r w:rsidRPr="008E2094">
        <w:rPr>
          <w:vertAlign w:val="superscript"/>
          <w:rtl/>
        </w:rPr>
        <w:footnoteReference w:id="13"/>
      </w:r>
      <w:r w:rsidRPr="008E2094">
        <w:rPr>
          <w:rtl/>
        </w:rPr>
        <w:t>. ל</w:t>
      </w:r>
      <w:r w:rsidR="00E11CEC">
        <w:rPr>
          <w:rtl/>
        </w:rPr>
        <w:t xml:space="preserve">פי </w:t>
      </w:r>
      <w:r w:rsidRPr="008E2094">
        <w:rPr>
          <w:rtl/>
        </w:rPr>
        <w:t>גישה אחרת</w:t>
      </w:r>
      <w:r w:rsidR="00E11CEC">
        <w:rPr>
          <w:rtl/>
        </w:rPr>
        <w:t>,</w:t>
      </w:r>
      <w:r w:rsidRPr="008E2094">
        <w:rPr>
          <w:rtl/>
        </w:rPr>
        <w:t xml:space="preserve"> מדובר בירושה </w:t>
      </w:r>
      <w:r w:rsidR="00EC35ED">
        <w:rPr>
          <w:rtl/>
        </w:rPr>
        <w:t>מ</w:t>
      </w:r>
      <w:r w:rsidR="00E11CEC">
        <w:rPr>
          <w:rtl/>
        </w:rPr>
        <w:t>ן התורה</w:t>
      </w:r>
      <w:r w:rsidRPr="008E2094">
        <w:rPr>
          <w:rtl/>
        </w:rPr>
        <w:t xml:space="preserve"> </w:t>
      </w:r>
      <w:r w:rsidR="00E11CEC">
        <w:rPr>
          <w:rtl/>
        </w:rPr>
        <w:t>ה</w:t>
      </w:r>
      <w:r w:rsidRPr="008E2094">
        <w:rPr>
          <w:rtl/>
        </w:rPr>
        <w:t>נלמד</w:t>
      </w:r>
      <w:r w:rsidR="00EC35ED">
        <w:rPr>
          <w:rtl/>
        </w:rPr>
        <w:t>ת</w:t>
      </w:r>
      <w:r w:rsidRPr="008E2094">
        <w:rPr>
          <w:rtl/>
        </w:rPr>
        <w:t xml:space="preserve"> מ</w:t>
      </w:r>
      <w:r w:rsidR="00EC35ED">
        <w:rPr>
          <w:rtl/>
        </w:rPr>
        <w:t xml:space="preserve">ן </w:t>
      </w:r>
      <w:r w:rsidRPr="008E2094">
        <w:rPr>
          <w:rtl/>
        </w:rPr>
        <w:t xml:space="preserve">הפסוק: "ונתתם את נחלתו לשארו" (במדבר כז, יא), </w:t>
      </w:r>
      <w:r w:rsidR="00E11CEC">
        <w:rPr>
          <w:rtl/>
        </w:rPr>
        <w:t>שפירשוהו חז"ל ואמרו:</w:t>
      </w:r>
      <w:r w:rsidRPr="008E2094">
        <w:rPr>
          <w:rtl/>
        </w:rPr>
        <w:t xml:space="preserve"> "</w:t>
      </w:r>
      <w:r w:rsidR="00E11CEC">
        <w:rPr>
          <w:rtl/>
        </w:rPr>
        <w:t>'</w:t>
      </w:r>
      <w:r w:rsidRPr="008E2094">
        <w:rPr>
          <w:rtl/>
        </w:rPr>
        <w:t>שארו</w:t>
      </w:r>
      <w:r w:rsidR="00E11CEC">
        <w:rPr>
          <w:rtl/>
        </w:rPr>
        <w:t>'</w:t>
      </w:r>
      <w:r w:rsidRPr="008E2094">
        <w:rPr>
          <w:rtl/>
        </w:rPr>
        <w:t xml:space="preserve"> – זו אשתו</w:t>
      </w:r>
      <w:r w:rsidR="002A3F49">
        <w:rPr>
          <w:rtl/>
        </w:rPr>
        <w:t>"</w:t>
      </w:r>
      <w:r w:rsidR="002A3F49">
        <w:rPr>
          <w:rStyle w:val="a6"/>
          <w:rFonts w:cs="FrankRuehl"/>
          <w:szCs w:val="20"/>
          <w:rtl/>
        </w:rPr>
        <w:footnoteReference w:id="14"/>
      </w:r>
      <w:r w:rsidRPr="008E2094">
        <w:rPr>
          <w:rtl/>
        </w:rPr>
        <w:t xml:space="preserve">. </w:t>
      </w:r>
      <w:r w:rsidR="00E11CEC">
        <w:rPr>
          <w:rtl/>
        </w:rPr>
        <w:t xml:space="preserve">לדעת הראשונים, </w:t>
      </w:r>
      <w:r w:rsidRPr="008E2094">
        <w:rPr>
          <w:rtl/>
        </w:rPr>
        <w:t>גם ל</w:t>
      </w:r>
      <w:r w:rsidR="00E11CEC">
        <w:rPr>
          <w:rtl/>
        </w:rPr>
        <w:t xml:space="preserve">פי </w:t>
      </w:r>
      <w:r w:rsidRPr="008E2094">
        <w:rPr>
          <w:rtl/>
        </w:rPr>
        <w:t xml:space="preserve">גישה זו, ירושת הבעל אינה מבוססת על </w:t>
      </w:r>
      <w:r w:rsidRPr="008E2094">
        <w:rPr>
          <w:b/>
          <w:bCs/>
          <w:rtl/>
        </w:rPr>
        <w:t>קרבת משפחה</w:t>
      </w:r>
      <w:r w:rsidRPr="008E2094">
        <w:rPr>
          <w:rtl/>
        </w:rPr>
        <w:t xml:space="preserve"> לאשתו אלא על </w:t>
      </w:r>
      <w:r w:rsidRPr="008E2094">
        <w:rPr>
          <w:b/>
          <w:bCs/>
          <w:rtl/>
        </w:rPr>
        <w:t>הזיקה הקיומית ביניהם</w:t>
      </w:r>
      <w:r w:rsidR="00E11CEC">
        <w:rPr>
          <w:rtl/>
        </w:rPr>
        <w:t>. ובלשונם</w:t>
      </w:r>
      <w:r w:rsidRPr="008E2094">
        <w:rPr>
          <w:rtl/>
        </w:rPr>
        <w:t>: "שהבעל אינו יורש מחמת קורבה אלא מחמת שאירות, שהן חשובין כבשר אחד"</w:t>
      </w:r>
      <w:r w:rsidRPr="008E2094">
        <w:rPr>
          <w:vertAlign w:val="superscript"/>
          <w:rtl/>
        </w:rPr>
        <w:footnoteReference w:id="15"/>
      </w:r>
      <w:r w:rsidR="002A3F49">
        <w:rPr>
          <w:rtl/>
        </w:rPr>
        <w:t>.</w:t>
      </w:r>
    </w:p>
    <w:p w:rsidR="008E2094" w:rsidRPr="008E2094" w:rsidRDefault="00E11CEC" w:rsidP="009607A1">
      <w:pPr>
        <w:rPr>
          <w:rtl/>
        </w:rPr>
      </w:pPr>
      <w:r>
        <w:rPr>
          <w:rtl/>
        </w:rPr>
        <w:t>ו</w:t>
      </w:r>
      <w:r w:rsidR="008E2094" w:rsidRPr="008E2094">
        <w:rPr>
          <w:rtl/>
        </w:rPr>
        <w:t>כאן המקום לציין, של</w:t>
      </w:r>
      <w:r>
        <w:rPr>
          <w:rtl/>
        </w:rPr>
        <w:t xml:space="preserve">פי התלמוד, </w:t>
      </w:r>
      <w:r w:rsidR="008E2094" w:rsidRPr="008E2094">
        <w:rPr>
          <w:rtl/>
        </w:rPr>
        <w:t>תחולת ירושת הבעל אי</w:t>
      </w:r>
      <w:r>
        <w:rPr>
          <w:rtl/>
        </w:rPr>
        <w:t>נה</w:t>
      </w:r>
      <w:r w:rsidR="008E2094" w:rsidRPr="008E2094">
        <w:rPr>
          <w:rtl/>
        </w:rPr>
        <w:t xml:space="preserve"> </w:t>
      </w:r>
      <w:r>
        <w:rPr>
          <w:rtl/>
        </w:rPr>
        <w:t>תלויה</w:t>
      </w:r>
      <w:r w:rsidR="008E2094" w:rsidRPr="008E2094">
        <w:rPr>
          <w:rtl/>
        </w:rPr>
        <w:t xml:space="preserve"> בקידושין בלבד, </w:t>
      </w:r>
      <w:r w:rsidR="009607A1">
        <w:rPr>
          <w:rtl/>
        </w:rPr>
        <w:t xml:space="preserve">אלא </w:t>
      </w:r>
      <w:r w:rsidR="008E2094" w:rsidRPr="008E2094">
        <w:rPr>
          <w:rtl/>
        </w:rPr>
        <w:t>יש צורך גם בנישואין</w:t>
      </w:r>
      <w:r w:rsidR="008E2094" w:rsidRPr="008E2094">
        <w:rPr>
          <w:vertAlign w:val="superscript"/>
          <w:rtl/>
        </w:rPr>
        <w:footnoteReference w:id="16"/>
      </w:r>
      <w:r w:rsidR="008E2094" w:rsidRPr="008E2094">
        <w:rPr>
          <w:rtl/>
        </w:rPr>
        <w:t>:</w:t>
      </w:r>
    </w:p>
    <w:p w:rsidR="008E2094" w:rsidRPr="008E2094" w:rsidRDefault="008E2094" w:rsidP="00E11CEC">
      <w:pPr>
        <w:pStyle w:val="ae"/>
        <w:rPr>
          <w:rtl/>
        </w:rPr>
      </w:pPr>
      <w:r w:rsidRPr="008E2094">
        <w:rPr>
          <w:rtl/>
        </w:rPr>
        <w:t>אשתו ארוסה, לא אונן ולא מטמא לה, וכן היא לא אוננת ולא מטמאה לו</w:t>
      </w:r>
      <w:r w:rsidR="00E11CEC">
        <w:rPr>
          <w:rtl/>
        </w:rPr>
        <w:t>.</w:t>
      </w:r>
      <w:r w:rsidRPr="008E2094">
        <w:rPr>
          <w:rtl/>
        </w:rPr>
        <w:t xml:space="preserve"> </w:t>
      </w:r>
      <w:r w:rsidRPr="009607A1">
        <w:rPr>
          <w:rStyle w:val="aff"/>
          <w:rFonts w:cs="FrankRuehl"/>
          <w:bCs/>
          <w:rtl/>
        </w:rPr>
        <w:t>מתה – אינו יורשה</w:t>
      </w:r>
      <w:r w:rsidRPr="008E2094">
        <w:rPr>
          <w:rtl/>
        </w:rPr>
        <w:t>.</w:t>
      </w:r>
    </w:p>
    <w:p w:rsidR="008E2094" w:rsidRPr="008E2094" w:rsidRDefault="008E2094" w:rsidP="009607A1">
      <w:pPr>
        <w:rPr>
          <w:rtl/>
        </w:rPr>
      </w:pPr>
      <w:r w:rsidRPr="008E2094">
        <w:rPr>
          <w:rtl/>
        </w:rPr>
        <w:t>ה</w:t>
      </w:r>
      <w:r w:rsidR="00E11CEC">
        <w:rPr>
          <w:rtl/>
        </w:rPr>
        <w:t>תלמוד</w:t>
      </w:r>
      <w:r w:rsidR="00922B67">
        <w:rPr>
          <w:rtl/>
        </w:rPr>
        <w:t xml:space="preserve"> </w:t>
      </w:r>
      <w:r w:rsidR="00E11CEC">
        <w:rPr>
          <w:rtl/>
        </w:rPr>
        <w:t>מוצא</w:t>
      </w:r>
      <w:r w:rsidR="00922B67">
        <w:rPr>
          <w:rtl/>
        </w:rPr>
        <w:t xml:space="preserve"> זיקה בין </w:t>
      </w:r>
      <w:r w:rsidRPr="008E2094">
        <w:rPr>
          <w:rtl/>
        </w:rPr>
        <w:t>דיני ירושה</w:t>
      </w:r>
      <w:r w:rsidR="009607A1">
        <w:rPr>
          <w:rtl/>
        </w:rPr>
        <w:t xml:space="preserve">, </w:t>
      </w:r>
      <w:r w:rsidRPr="008E2094">
        <w:rPr>
          <w:rtl/>
        </w:rPr>
        <w:t xml:space="preserve">דיני אבלות </w:t>
      </w:r>
      <w:r w:rsidR="00E11CEC">
        <w:rPr>
          <w:rtl/>
        </w:rPr>
        <w:t>ו</w:t>
      </w:r>
      <w:r w:rsidRPr="008E2094">
        <w:rPr>
          <w:rtl/>
        </w:rPr>
        <w:t>אנינות ו</w:t>
      </w:r>
      <w:r w:rsidR="00E11CEC">
        <w:rPr>
          <w:rtl/>
        </w:rPr>
        <w:t>ה</w:t>
      </w:r>
      <w:r w:rsidRPr="008E2094">
        <w:rPr>
          <w:rtl/>
        </w:rPr>
        <w:t xml:space="preserve">היתר </w:t>
      </w:r>
      <w:r w:rsidR="009607A1">
        <w:rPr>
          <w:rtl/>
        </w:rPr>
        <w:t xml:space="preserve">של </w:t>
      </w:r>
      <w:r w:rsidRPr="008E2094">
        <w:rPr>
          <w:rtl/>
        </w:rPr>
        <w:t>כהן להיטמא לקרוביו, וקובע ש</w:t>
      </w:r>
      <w:r w:rsidR="009607A1">
        <w:rPr>
          <w:rtl/>
        </w:rPr>
        <w:t xml:space="preserve">כל אלה </w:t>
      </w:r>
      <w:r w:rsidRPr="008E2094">
        <w:rPr>
          <w:rtl/>
        </w:rPr>
        <w:t xml:space="preserve">חלים רק </w:t>
      </w:r>
      <w:r w:rsidR="00E11CEC">
        <w:rPr>
          <w:rtl/>
        </w:rPr>
        <w:t>על</w:t>
      </w:r>
      <w:r w:rsidRPr="008E2094">
        <w:rPr>
          <w:rtl/>
        </w:rPr>
        <w:t xml:space="preserve"> אישה </w:t>
      </w:r>
      <w:r w:rsidRPr="002C1B0D">
        <w:rPr>
          <w:rStyle w:val="aff"/>
          <w:rFonts w:cs="FrankRuehl"/>
          <w:bCs/>
          <w:rtl/>
        </w:rPr>
        <w:t>נשואה</w:t>
      </w:r>
      <w:r w:rsidRPr="008E2094">
        <w:rPr>
          <w:rtl/>
        </w:rPr>
        <w:t>. ופ</w:t>
      </w:r>
      <w:r w:rsidR="00E11CEC">
        <w:rPr>
          <w:rtl/>
        </w:rPr>
        <w:t>י</w:t>
      </w:r>
      <w:r w:rsidRPr="008E2094">
        <w:rPr>
          <w:rtl/>
        </w:rPr>
        <w:t>רש רש"י</w:t>
      </w:r>
      <w:r w:rsidRPr="008E2094">
        <w:rPr>
          <w:vertAlign w:val="superscript"/>
          <w:rtl/>
        </w:rPr>
        <w:footnoteReference w:id="17"/>
      </w:r>
      <w:r w:rsidRPr="008E2094">
        <w:rPr>
          <w:rtl/>
        </w:rPr>
        <w:t xml:space="preserve"> ש</w:t>
      </w:r>
      <w:r w:rsidR="00E11CEC">
        <w:rPr>
          <w:rtl/>
        </w:rPr>
        <w:t>ה</w:t>
      </w:r>
      <w:r w:rsidRPr="008E2094">
        <w:rPr>
          <w:rtl/>
        </w:rPr>
        <w:t xml:space="preserve">דינים </w:t>
      </w:r>
      <w:r w:rsidR="00E11CEC">
        <w:rPr>
          <w:rtl/>
        </w:rPr>
        <w:t>הל</w:t>
      </w:r>
      <w:r w:rsidRPr="008E2094">
        <w:rPr>
          <w:rtl/>
        </w:rPr>
        <w:t>לו נלמדים מ</w:t>
      </w:r>
      <w:r w:rsidR="00E11CEC">
        <w:rPr>
          <w:rtl/>
        </w:rPr>
        <w:t xml:space="preserve">ן </w:t>
      </w:r>
      <w:r w:rsidRPr="008E2094">
        <w:rPr>
          <w:rtl/>
        </w:rPr>
        <w:t>המילה "שארו"</w:t>
      </w:r>
      <w:r w:rsidRPr="008E2094">
        <w:rPr>
          <w:vertAlign w:val="superscript"/>
          <w:rtl/>
        </w:rPr>
        <w:footnoteReference w:id="18"/>
      </w:r>
      <w:r w:rsidRPr="008E2094">
        <w:rPr>
          <w:rtl/>
        </w:rPr>
        <w:t>, "והאי</w:t>
      </w:r>
      <w:r w:rsidR="00FB56FB">
        <w:rPr>
          <w:rtl/>
        </w:rPr>
        <w:t xml:space="preserve"> [=וזו]</w:t>
      </w:r>
      <w:r w:rsidRPr="008E2094">
        <w:rPr>
          <w:rtl/>
        </w:rPr>
        <w:t xml:space="preserve"> לאו 'שארו' הוא, דלא באו עדיין לידי קירוב בשר". ביחס לתחומים אלו, שהיישום הרגיל שלהם נוגע ל</w:t>
      </w:r>
      <w:r w:rsidRPr="008E2094">
        <w:rPr>
          <w:b/>
          <w:bCs/>
          <w:rtl/>
        </w:rPr>
        <w:t>קרובי משפחה</w:t>
      </w:r>
      <w:r w:rsidRPr="008E2094">
        <w:rPr>
          <w:rtl/>
        </w:rPr>
        <w:t xml:space="preserve">, </w:t>
      </w:r>
      <w:r w:rsidR="00E11CEC">
        <w:rPr>
          <w:rtl/>
        </w:rPr>
        <w:t>ה</w:t>
      </w:r>
      <w:r w:rsidRPr="008E2094">
        <w:rPr>
          <w:rtl/>
        </w:rPr>
        <w:t>בעל ו</w:t>
      </w:r>
      <w:r w:rsidR="00E11CEC">
        <w:rPr>
          <w:rtl/>
        </w:rPr>
        <w:t>ה</w:t>
      </w:r>
      <w:r w:rsidRPr="008E2094">
        <w:rPr>
          <w:rtl/>
        </w:rPr>
        <w:t>אישה אינם ב</w:t>
      </w:r>
      <w:r w:rsidR="00E11CEC">
        <w:rPr>
          <w:rtl/>
        </w:rPr>
        <w:t>גדר</w:t>
      </w:r>
      <w:r w:rsidRPr="008E2094">
        <w:rPr>
          <w:rtl/>
        </w:rPr>
        <w:t xml:space="preserve"> קרובי משפחה, אלא קטגוריה אחרת המבוססת על הזיקה הקיומית-פיזית שביניהם</w:t>
      </w:r>
      <w:r w:rsidRPr="008E2094">
        <w:rPr>
          <w:vertAlign w:val="superscript"/>
          <w:rtl/>
        </w:rPr>
        <w:footnoteReference w:id="19"/>
      </w:r>
      <w:r w:rsidRPr="008E2094">
        <w:rPr>
          <w:rtl/>
        </w:rPr>
        <w:t>.</w:t>
      </w:r>
    </w:p>
    <w:p w:rsidR="008E2094" w:rsidRPr="00146D1D" w:rsidRDefault="008E2094" w:rsidP="001474C4">
      <w:pPr>
        <w:rPr>
          <w:spacing w:val="-2"/>
          <w:rtl/>
        </w:rPr>
      </w:pPr>
      <w:r w:rsidRPr="00146D1D">
        <w:rPr>
          <w:spacing w:val="-2"/>
          <w:rtl/>
        </w:rPr>
        <w:t>ל</w:t>
      </w:r>
      <w:r w:rsidR="00E11CEC" w:rsidRPr="00146D1D">
        <w:rPr>
          <w:spacing w:val="-2"/>
          <w:rtl/>
        </w:rPr>
        <w:t>כן</w:t>
      </w:r>
      <w:r w:rsidRPr="00146D1D">
        <w:rPr>
          <w:spacing w:val="-2"/>
          <w:rtl/>
        </w:rPr>
        <w:t>, אי</w:t>
      </w:r>
      <w:r w:rsidR="00E11CEC" w:rsidRPr="00146D1D">
        <w:rPr>
          <w:spacing w:val="-2"/>
          <w:rtl/>
        </w:rPr>
        <w:t>ן</w:t>
      </w:r>
      <w:r w:rsidRPr="00146D1D">
        <w:rPr>
          <w:spacing w:val="-2"/>
          <w:rtl/>
        </w:rPr>
        <w:t xml:space="preserve"> </w:t>
      </w:r>
      <w:r w:rsidR="00E11CEC" w:rsidRPr="00146D1D">
        <w:rPr>
          <w:spacing w:val="-2"/>
          <w:rtl/>
        </w:rPr>
        <w:t>לה</w:t>
      </w:r>
      <w:r w:rsidRPr="00146D1D">
        <w:rPr>
          <w:spacing w:val="-2"/>
          <w:rtl/>
        </w:rPr>
        <w:t xml:space="preserve">תפלא </w:t>
      </w:r>
      <w:r w:rsidR="00E11CEC" w:rsidRPr="00146D1D">
        <w:rPr>
          <w:spacing w:val="-2"/>
          <w:rtl/>
        </w:rPr>
        <w:t xml:space="preserve">על </w:t>
      </w:r>
      <w:r w:rsidRPr="00146D1D">
        <w:rPr>
          <w:spacing w:val="-2"/>
          <w:rtl/>
        </w:rPr>
        <w:t>חידוש</w:t>
      </w:r>
      <w:r w:rsidR="00E11CEC" w:rsidRPr="00146D1D">
        <w:rPr>
          <w:spacing w:val="-2"/>
          <w:rtl/>
        </w:rPr>
        <w:t>ו</w:t>
      </w:r>
      <w:r w:rsidRPr="00146D1D">
        <w:rPr>
          <w:spacing w:val="-2"/>
          <w:rtl/>
        </w:rPr>
        <w:t xml:space="preserve"> </w:t>
      </w:r>
      <w:r w:rsidR="00E11CEC" w:rsidRPr="00146D1D">
        <w:rPr>
          <w:spacing w:val="-2"/>
          <w:rtl/>
        </w:rPr>
        <w:t>ה</w:t>
      </w:r>
      <w:r w:rsidRPr="00146D1D">
        <w:rPr>
          <w:spacing w:val="-2"/>
          <w:rtl/>
        </w:rPr>
        <w:t>גדול ש</w:t>
      </w:r>
      <w:r w:rsidR="00E11CEC" w:rsidRPr="00146D1D">
        <w:rPr>
          <w:spacing w:val="-2"/>
          <w:rtl/>
        </w:rPr>
        <w:t>ל</w:t>
      </w:r>
      <w:r w:rsidRPr="00146D1D">
        <w:rPr>
          <w:spacing w:val="-2"/>
          <w:rtl/>
        </w:rPr>
        <w:t xml:space="preserve"> </w:t>
      </w:r>
      <w:r w:rsidR="00E11CEC" w:rsidRPr="00146D1D">
        <w:rPr>
          <w:spacing w:val="-2"/>
          <w:rtl/>
        </w:rPr>
        <w:t>ה</w:t>
      </w:r>
      <w:r w:rsidRPr="00146D1D">
        <w:rPr>
          <w:spacing w:val="-2"/>
          <w:rtl/>
        </w:rPr>
        <w:t xml:space="preserve">רשב"ם (צרפת, </w:t>
      </w:r>
      <w:r w:rsidR="00686F11" w:rsidRPr="00146D1D">
        <w:rPr>
          <w:spacing w:val="-2"/>
          <w:rtl/>
        </w:rPr>
        <w:t>המאות הי"א-הי"ב</w:t>
      </w:r>
      <w:r w:rsidRPr="00146D1D">
        <w:rPr>
          <w:spacing w:val="-2"/>
          <w:rtl/>
        </w:rPr>
        <w:t xml:space="preserve">) הנוגע </w:t>
      </w:r>
      <w:r w:rsidR="00922B67" w:rsidRPr="00146D1D">
        <w:rPr>
          <w:spacing w:val="-2"/>
          <w:rtl/>
        </w:rPr>
        <w:t>מאוד לענייננו</w:t>
      </w:r>
      <w:r w:rsidR="001474C4" w:rsidRPr="00146D1D">
        <w:rPr>
          <w:spacing w:val="-2"/>
          <w:rtl/>
        </w:rPr>
        <w:t>,</w:t>
      </w:r>
      <w:r w:rsidRPr="00146D1D">
        <w:rPr>
          <w:spacing w:val="-2"/>
          <w:rtl/>
        </w:rPr>
        <w:t xml:space="preserve"> "שמי שמתה אשתו </w:t>
      </w:r>
      <w:r w:rsidRPr="00146D1D">
        <w:rPr>
          <w:spacing w:val="-2"/>
          <w:rtl/>
        </w:rPr>
        <w:lastRenderedPageBreak/>
        <w:t>מתוך קטטה, שיש בדעתו לגרשה, שוב אינו יורשה"</w:t>
      </w:r>
      <w:r w:rsidRPr="00146D1D">
        <w:rPr>
          <w:spacing w:val="-2"/>
          <w:vertAlign w:val="superscript"/>
          <w:rtl/>
        </w:rPr>
        <w:footnoteReference w:id="20"/>
      </w:r>
      <w:r w:rsidRPr="00146D1D">
        <w:rPr>
          <w:spacing w:val="-2"/>
          <w:rtl/>
        </w:rPr>
        <w:t xml:space="preserve">. הרא"ש (אשכנז-ספרד, </w:t>
      </w:r>
      <w:r w:rsidR="00FB56FB" w:rsidRPr="00146D1D">
        <w:rPr>
          <w:spacing w:val="-2"/>
          <w:rtl/>
        </w:rPr>
        <w:t>המאות הי"ג-הי"ד</w:t>
      </w:r>
      <w:r w:rsidRPr="00146D1D">
        <w:rPr>
          <w:spacing w:val="-2"/>
          <w:rtl/>
        </w:rPr>
        <w:t>) תמה על חידוש</w:t>
      </w:r>
      <w:r w:rsidR="001474C4" w:rsidRPr="00146D1D">
        <w:rPr>
          <w:spacing w:val="-2"/>
          <w:rtl/>
        </w:rPr>
        <w:t>ו</w:t>
      </w:r>
      <w:r w:rsidRPr="00146D1D">
        <w:rPr>
          <w:spacing w:val="-2"/>
          <w:rtl/>
        </w:rPr>
        <w:t xml:space="preserve"> </w:t>
      </w:r>
      <w:r w:rsidR="001474C4" w:rsidRPr="00146D1D">
        <w:rPr>
          <w:spacing w:val="-2"/>
          <w:rtl/>
        </w:rPr>
        <w:t>ושואל</w:t>
      </w:r>
      <w:r w:rsidRPr="00146D1D">
        <w:rPr>
          <w:spacing w:val="-2"/>
          <w:vertAlign w:val="superscript"/>
          <w:rtl/>
        </w:rPr>
        <w:footnoteReference w:id="21"/>
      </w:r>
      <w:r w:rsidRPr="00146D1D">
        <w:rPr>
          <w:spacing w:val="-2"/>
          <w:rtl/>
        </w:rPr>
        <w:t>: "מי הפקיע ירושתו</w:t>
      </w:r>
      <w:r w:rsidR="001474C4" w:rsidRPr="00146D1D">
        <w:rPr>
          <w:spacing w:val="-2"/>
          <w:rtl/>
        </w:rPr>
        <w:t>,</w:t>
      </w:r>
      <w:r w:rsidRPr="00146D1D">
        <w:rPr>
          <w:spacing w:val="-2"/>
          <w:rtl/>
        </w:rPr>
        <w:t xml:space="preserve"> אם הוא שונאה? אטו</w:t>
      </w:r>
      <w:r w:rsidR="00C7077C" w:rsidRPr="00146D1D">
        <w:rPr>
          <w:spacing w:val="-2"/>
          <w:rtl/>
        </w:rPr>
        <w:t xml:space="preserve"> [=האם]</w:t>
      </w:r>
      <w:r w:rsidRPr="00146D1D">
        <w:rPr>
          <w:spacing w:val="-2"/>
          <w:rtl/>
        </w:rPr>
        <w:t xml:space="preserve"> אב שבנו שונאו לא יירשנו?". הרא"ש מעלה טענה משמעותית</w:t>
      </w:r>
      <w:r w:rsidR="001474C4" w:rsidRPr="00146D1D">
        <w:rPr>
          <w:spacing w:val="-2"/>
          <w:rtl/>
        </w:rPr>
        <w:t>.</w:t>
      </w:r>
      <w:r w:rsidRPr="00146D1D">
        <w:rPr>
          <w:spacing w:val="-2"/>
          <w:rtl/>
        </w:rPr>
        <w:t xml:space="preserve"> יחסי קורבה, על ההלכות הנובעות מהם, ובהן הלכות ירושה, אינם </w:t>
      </w:r>
      <w:r w:rsidR="001474C4" w:rsidRPr="00146D1D">
        <w:rPr>
          <w:spacing w:val="-2"/>
          <w:rtl/>
        </w:rPr>
        <w:t>תלוי</w:t>
      </w:r>
      <w:r w:rsidRPr="00146D1D">
        <w:rPr>
          <w:spacing w:val="-2"/>
          <w:rtl/>
        </w:rPr>
        <w:t xml:space="preserve">ים </w:t>
      </w:r>
      <w:r w:rsidR="001474C4" w:rsidRPr="00146D1D">
        <w:rPr>
          <w:spacing w:val="-2"/>
          <w:rtl/>
        </w:rPr>
        <w:t>ב</w:t>
      </w:r>
      <w:r w:rsidRPr="00146D1D">
        <w:rPr>
          <w:spacing w:val="-2"/>
          <w:rtl/>
        </w:rPr>
        <w:t>טיב היחסים בין ה</w:t>
      </w:r>
      <w:r w:rsidR="001474C4" w:rsidRPr="00146D1D">
        <w:rPr>
          <w:spacing w:val="-2"/>
          <w:rtl/>
        </w:rPr>
        <w:t>מוריש ליורש</w:t>
      </w:r>
      <w:r w:rsidRPr="00146D1D">
        <w:rPr>
          <w:spacing w:val="-2"/>
          <w:rtl/>
        </w:rPr>
        <w:t>. הקשר המשפחתי מבוסס על נתונים מוצקים ואיתנים, ואינו נתון למדדי איכות</w:t>
      </w:r>
      <w:r w:rsidR="001474C4" w:rsidRPr="00146D1D">
        <w:rPr>
          <w:spacing w:val="-2"/>
          <w:rtl/>
        </w:rPr>
        <w:t>,</w:t>
      </w:r>
      <w:r w:rsidRPr="00146D1D">
        <w:rPr>
          <w:spacing w:val="-2"/>
          <w:rtl/>
        </w:rPr>
        <w:t xml:space="preserve"> </w:t>
      </w:r>
      <w:r w:rsidR="001474C4" w:rsidRPr="00146D1D">
        <w:rPr>
          <w:spacing w:val="-2"/>
          <w:rtl/>
        </w:rPr>
        <w:t>ו</w:t>
      </w:r>
      <w:r w:rsidRPr="00146D1D">
        <w:rPr>
          <w:spacing w:val="-2"/>
          <w:rtl/>
        </w:rPr>
        <w:t xml:space="preserve">גם בן שונא </w:t>
      </w:r>
      <w:r w:rsidR="001474C4" w:rsidRPr="00146D1D">
        <w:rPr>
          <w:spacing w:val="-2"/>
          <w:rtl/>
        </w:rPr>
        <w:t xml:space="preserve">או שנוא </w:t>
      </w:r>
      <w:r w:rsidRPr="00146D1D">
        <w:rPr>
          <w:spacing w:val="-2"/>
          <w:rtl/>
        </w:rPr>
        <w:t>הוא בגדר בן. הרא"ש מודע ל</w:t>
      </w:r>
      <w:r w:rsidR="001474C4" w:rsidRPr="00146D1D">
        <w:rPr>
          <w:spacing w:val="-2"/>
          <w:rtl/>
        </w:rPr>
        <w:t>עובדה</w:t>
      </w:r>
      <w:r w:rsidRPr="00146D1D">
        <w:rPr>
          <w:spacing w:val="-2"/>
          <w:rtl/>
        </w:rPr>
        <w:t xml:space="preserve"> שבניגוד ליחסי הורים וילדים, יחסי</w:t>
      </w:r>
      <w:r w:rsidR="001474C4" w:rsidRPr="00146D1D">
        <w:rPr>
          <w:spacing w:val="-2"/>
          <w:rtl/>
        </w:rPr>
        <w:t>ם</w:t>
      </w:r>
      <w:r w:rsidRPr="00146D1D">
        <w:rPr>
          <w:spacing w:val="-2"/>
          <w:rtl/>
        </w:rPr>
        <w:t xml:space="preserve"> </w:t>
      </w:r>
      <w:r w:rsidR="001474C4" w:rsidRPr="00146D1D">
        <w:rPr>
          <w:spacing w:val="-2"/>
          <w:rtl/>
        </w:rPr>
        <w:t xml:space="preserve">בין </w:t>
      </w:r>
      <w:r w:rsidRPr="00146D1D">
        <w:rPr>
          <w:spacing w:val="-2"/>
          <w:rtl/>
        </w:rPr>
        <w:t>בני זוג ניתנים לניתוק באמצעות גירושין. ברם, לדידו</w:t>
      </w:r>
      <w:r w:rsidR="001474C4" w:rsidRPr="00146D1D">
        <w:rPr>
          <w:spacing w:val="-2"/>
          <w:rtl/>
        </w:rPr>
        <w:t>,</w:t>
      </w:r>
      <w:r w:rsidRPr="00146D1D">
        <w:rPr>
          <w:spacing w:val="-2"/>
          <w:rtl/>
        </w:rPr>
        <w:t xml:space="preserve"> כל </w:t>
      </w:r>
      <w:r w:rsidR="001474C4" w:rsidRPr="00146D1D">
        <w:rPr>
          <w:spacing w:val="-2"/>
          <w:rtl/>
        </w:rPr>
        <w:t>זמן ש</w:t>
      </w:r>
      <w:r w:rsidRPr="00146D1D">
        <w:rPr>
          <w:spacing w:val="-2"/>
          <w:rtl/>
        </w:rPr>
        <w:t xml:space="preserve">לא חל ניתוק </w:t>
      </w:r>
      <w:r w:rsidR="001474C4" w:rsidRPr="00146D1D">
        <w:rPr>
          <w:spacing w:val="-2"/>
          <w:rtl/>
        </w:rPr>
        <w:t xml:space="preserve">מעין </w:t>
      </w:r>
      <w:r w:rsidRPr="00146D1D">
        <w:rPr>
          <w:spacing w:val="-2"/>
          <w:rtl/>
        </w:rPr>
        <w:t xml:space="preserve">זה, </w:t>
      </w:r>
      <w:r w:rsidR="00922B67" w:rsidRPr="00146D1D">
        <w:rPr>
          <w:spacing w:val="-2"/>
          <w:rtl/>
        </w:rPr>
        <w:t xml:space="preserve">טיב </w:t>
      </w:r>
      <w:r w:rsidRPr="00146D1D">
        <w:rPr>
          <w:spacing w:val="-2"/>
          <w:rtl/>
        </w:rPr>
        <w:t>היחסים אינ</w:t>
      </w:r>
      <w:r w:rsidR="001474C4" w:rsidRPr="00146D1D">
        <w:rPr>
          <w:spacing w:val="-2"/>
          <w:rtl/>
        </w:rPr>
        <w:t>ו</w:t>
      </w:r>
      <w:r w:rsidRPr="00146D1D">
        <w:rPr>
          <w:spacing w:val="-2"/>
          <w:rtl/>
        </w:rPr>
        <w:t xml:space="preserve"> מעלה ואינ</w:t>
      </w:r>
      <w:r w:rsidR="001474C4" w:rsidRPr="00146D1D">
        <w:rPr>
          <w:spacing w:val="-2"/>
          <w:rtl/>
        </w:rPr>
        <w:t>ו</w:t>
      </w:r>
      <w:r w:rsidRPr="00146D1D">
        <w:rPr>
          <w:spacing w:val="-2"/>
          <w:rtl/>
        </w:rPr>
        <w:t xml:space="preserve"> מוריד.</w:t>
      </w:r>
    </w:p>
    <w:p w:rsidR="008E2094" w:rsidRPr="008E2094" w:rsidRDefault="008E2094" w:rsidP="008F3DBE">
      <w:pPr>
        <w:rPr>
          <w:rtl/>
        </w:rPr>
      </w:pPr>
      <w:r w:rsidRPr="008E2094">
        <w:rPr>
          <w:rtl/>
        </w:rPr>
        <w:t xml:space="preserve">ואולם </w:t>
      </w:r>
      <w:r w:rsidR="001474C4">
        <w:rPr>
          <w:rtl/>
        </w:rPr>
        <w:t>לד</w:t>
      </w:r>
      <w:r w:rsidRPr="008E2094">
        <w:rPr>
          <w:rtl/>
        </w:rPr>
        <w:t>עת הרשב"ם</w:t>
      </w:r>
      <w:r w:rsidR="001474C4">
        <w:rPr>
          <w:rtl/>
        </w:rPr>
        <w:t>,</w:t>
      </w:r>
      <w:r w:rsidRPr="008E2094">
        <w:rPr>
          <w:rtl/>
        </w:rPr>
        <w:t xml:space="preserve"> יש הבדל יסודי בין ירושת הבעל לירושת הקרובים. הבעל אינו יורש </w:t>
      </w:r>
      <w:r w:rsidR="001474C4">
        <w:rPr>
          <w:rtl/>
        </w:rPr>
        <w:t xml:space="preserve">את אשתו </w:t>
      </w:r>
      <w:r w:rsidRPr="008E2094">
        <w:rPr>
          <w:rtl/>
        </w:rPr>
        <w:t xml:space="preserve">מחמת </w:t>
      </w:r>
      <w:r w:rsidR="001474C4">
        <w:rPr>
          <w:rtl/>
        </w:rPr>
        <w:t>קורבה אלא</w:t>
      </w:r>
      <w:r w:rsidRPr="008E2094">
        <w:rPr>
          <w:rtl/>
        </w:rPr>
        <w:t xml:space="preserve"> מחמת הזיקה הקיומית בינו לבין אשתו</w:t>
      </w:r>
      <w:r w:rsidR="008F3DBE">
        <w:rPr>
          <w:rtl/>
        </w:rPr>
        <w:t>, וזו</w:t>
      </w:r>
      <w:r w:rsidRPr="008E2094">
        <w:rPr>
          <w:rtl/>
        </w:rPr>
        <w:t xml:space="preserve"> </w:t>
      </w:r>
      <w:r w:rsidR="001474C4">
        <w:rPr>
          <w:rtl/>
        </w:rPr>
        <w:t>עשויה לה</w:t>
      </w:r>
      <w:r w:rsidR="00922B67">
        <w:rPr>
          <w:rtl/>
        </w:rPr>
        <w:t>תנתק גם בלא גט</w:t>
      </w:r>
      <w:r w:rsidRPr="008E2094">
        <w:rPr>
          <w:rtl/>
        </w:rPr>
        <w:t xml:space="preserve">. </w:t>
      </w:r>
      <w:r w:rsidR="001474C4">
        <w:rPr>
          <w:rtl/>
        </w:rPr>
        <w:t xml:space="preserve">אמנם </w:t>
      </w:r>
      <w:r w:rsidRPr="008E2094">
        <w:rPr>
          <w:rtl/>
        </w:rPr>
        <w:t xml:space="preserve">האישה היא עדיין בגדר אשת איש, אך </w:t>
      </w:r>
      <w:r w:rsidR="001474C4">
        <w:rPr>
          <w:rtl/>
        </w:rPr>
        <w:t>כבר אינה בגדר</w:t>
      </w:r>
      <w:r w:rsidRPr="008E2094">
        <w:rPr>
          <w:rtl/>
        </w:rPr>
        <w:t xml:space="preserve"> "שארו", כשם ש</w:t>
      </w:r>
      <w:r w:rsidR="001474C4">
        <w:rPr>
          <w:rtl/>
        </w:rPr>
        <w:t>ה</w:t>
      </w:r>
      <w:r w:rsidRPr="008E2094">
        <w:rPr>
          <w:rtl/>
        </w:rPr>
        <w:t>ארוסה</w:t>
      </w:r>
      <w:r w:rsidR="001474C4">
        <w:rPr>
          <w:rtl/>
        </w:rPr>
        <w:t>,</w:t>
      </w:r>
      <w:r w:rsidRPr="008E2094">
        <w:rPr>
          <w:rtl/>
        </w:rPr>
        <w:t xml:space="preserve"> שהיא אשת איש במלוא מובן המילה</w:t>
      </w:r>
      <w:r w:rsidR="001474C4">
        <w:rPr>
          <w:rtl/>
        </w:rPr>
        <w:t>,</w:t>
      </w:r>
      <w:r w:rsidRPr="008E2094">
        <w:rPr>
          <w:rtl/>
        </w:rPr>
        <w:t xml:space="preserve"> אינה בגדר "שארו". על כן, מש</w:t>
      </w:r>
      <w:r w:rsidR="001474C4">
        <w:rPr>
          <w:rtl/>
        </w:rPr>
        <w:t>עה ש</w:t>
      </w:r>
      <w:r w:rsidRPr="008E2094">
        <w:rPr>
          <w:rtl/>
        </w:rPr>
        <w:t xml:space="preserve">חל נתק משמעותי </w:t>
      </w:r>
      <w:r w:rsidR="001474C4">
        <w:rPr>
          <w:rtl/>
        </w:rPr>
        <w:t xml:space="preserve">בין בני הזוג </w:t>
      </w:r>
      <w:r w:rsidR="00101AFF">
        <w:rPr>
          <w:rtl/>
        </w:rPr>
        <w:t>ה</w:t>
      </w:r>
      <w:r w:rsidRPr="008E2094">
        <w:rPr>
          <w:rtl/>
        </w:rPr>
        <w:t xml:space="preserve">מלווה בכוונה לפירוד, </w:t>
      </w:r>
      <w:r w:rsidR="00101AFF">
        <w:rPr>
          <w:rtl/>
        </w:rPr>
        <w:t xml:space="preserve">הם </w:t>
      </w:r>
      <w:r w:rsidR="001474C4">
        <w:rPr>
          <w:rtl/>
        </w:rPr>
        <w:t xml:space="preserve">כבר </w:t>
      </w:r>
      <w:r w:rsidRPr="008E2094">
        <w:rPr>
          <w:rtl/>
        </w:rPr>
        <w:t xml:space="preserve">אינם "בשר אחד", ואין </w:t>
      </w:r>
      <w:r w:rsidR="001474C4">
        <w:rPr>
          <w:rtl/>
        </w:rPr>
        <w:t>מקום</w:t>
      </w:r>
      <w:r w:rsidRPr="008E2094">
        <w:rPr>
          <w:rtl/>
        </w:rPr>
        <w:t xml:space="preserve"> לדין ירושת הבעל.</w:t>
      </w:r>
    </w:p>
    <w:p w:rsidR="006C7FB6" w:rsidRDefault="008E2094" w:rsidP="000802B4">
      <w:pPr>
        <w:rPr>
          <w:rtl/>
        </w:rPr>
      </w:pPr>
      <w:r w:rsidRPr="008E2094">
        <w:rPr>
          <w:rtl/>
        </w:rPr>
        <w:t>דברים מעניינים עד מאוד בהקשר זה העלה מהרש"ל (רבי שלמה לוריא, פולין</w:t>
      </w:r>
      <w:r w:rsidR="00686F11">
        <w:rPr>
          <w:rtl/>
        </w:rPr>
        <w:t>, המאה הט"ז</w:t>
      </w:r>
      <w:r w:rsidRPr="008E2094">
        <w:rPr>
          <w:rtl/>
        </w:rPr>
        <w:t>)</w:t>
      </w:r>
      <w:r w:rsidRPr="008E2094">
        <w:rPr>
          <w:vertAlign w:val="superscript"/>
          <w:rtl/>
        </w:rPr>
        <w:footnoteReference w:id="22"/>
      </w:r>
      <w:r w:rsidRPr="008E2094">
        <w:rPr>
          <w:rtl/>
        </w:rPr>
        <w:t>. מהרש"ל נדרש למקרה מצער</w:t>
      </w:r>
      <w:r w:rsidR="00922B67">
        <w:rPr>
          <w:rtl/>
        </w:rPr>
        <w:t xml:space="preserve"> </w:t>
      </w:r>
      <w:r w:rsidRPr="008E2094">
        <w:rPr>
          <w:rtl/>
        </w:rPr>
        <w:t>של אישה שהלכה לעולמה בתקופה של סכסוך קשה</w:t>
      </w:r>
      <w:r w:rsidR="001474C4">
        <w:rPr>
          <w:rtl/>
        </w:rPr>
        <w:t xml:space="preserve"> בינה לבין בעלה</w:t>
      </w:r>
      <w:r w:rsidRPr="008E2094">
        <w:rPr>
          <w:rtl/>
        </w:rPr>
        <w:t>, והורה לבעל</w:t>
      </w:r>
      <w:r w:rsidR="001474C4">
        <w:rPr>
          <w:rtl/>
        </w:rPr>
        <w:t>ה</w:t>
      </w:r>
      <w:r w:rsidRPr="008E2094">
        <w:rPr>
          <w:rtl/>
        </w:rPr>
        <w:t xml:space="preserve"> שלא לשבת עליה שבעה. מהרש"ל </w:t>
      </w:r>
      <w:r w:rsidR="001474C4">
        <w:rPr>
          <w:rtl/>
        </w:rPr>
        <w:t xml:space="preserve">מסתמך בדבריו </w:t>
      </w:r>
      <w:r w:rsidRPr="008E2094">
        <w:rPr>
          <w:rtl/>
        </w:rPr>
        <w:t xml:space="preserve">על הוראת </w:t>
      </w:r>
      <w:r w:rsidR="001474C4">
        <w:rPr>
          <w:rtl/>
        </w:rPr>
        <w:t>ה</w:t>
      </w:r>
      <w:r w:rsidRPr="008E2094">
        <w:rPr>
          <w:rtl/>
        </w:rPr>
        <w:t xml:space="preserve">רשב"ם לעניין </w:t>
      </w:r>
      <w:r w:rsidR="001474C4">
        <w:rPr>
          <w:rtl/>
        </w:rPr>
        <w:t>ה</w:t>
      </w:r>
      <w:r w:rsidRPr="008E2094">
        <w:rPr>
          <w:rtl/>
        </w:rPr>
        <w:t xml:space="preserve">ירושה </w:t>
      </w:r>
      <w:r w:rsidR="001474C4">
        <w:rPr>
          <w:rtl/>
        </w:rPr>
        <w:t>על פי</w:t>
      </w:r>
      <w:r w:rsidR="000802B4">
        <w:rPr>
          <w:rtl/>
        </w:rPr>
        <w:t xml:space="preserve"> </w:t>
      </w:r>
      <w:r w:rsidR="001474C4">
        <w:rPr>
          <w:rtl/>
        </w:rPr>
        <w:t>ה</w:t>
      </w:r>
      <w:r w:rsidRPr="008E2094">
        <w:rPr>
          <w:rtl/>
        </w:rPr>
        <w:t xml:space="preserve">זיקה שכבר עמדנו עליה שבין דיני אבלות </w:t>
      </w:r>
      <w:r w:rsidR="00686F11">
        <w:rPr>
          <w:rtl/>
        </w:rPr>
        <w:t xml:space="preserve">לבין דיני </w:t>
      </w:r>
      <w:r w:rsidRPr="008E2094">
        <w:rPr>
          <w:rtl/>
        </w:rPr>
        <w:t>ירוש</w:t>
      </w:r>
      <w:r w:rsidR="00686F11">
        <w:rPr>
          <w:rtl/>
        </w:rPr>
        <w:t>ת</w:t>
      </w:r>
      <w:r w:rsidR="00922B67">
        <w:rPr>
          <w:rtl/>
        </w:rPr>
        <w:t xml:space="preserve"> </w:t>
      </w:r>
      <w:r w:rsidRPr="008E2094">
        <w:rPr>
          <w:rtl/>
        </w:rPr>
        <w:t xml:space="preserve">בני זוג. אמנם </w:t>
      </w:r>
      <w:r w:rsidR="006C7FB6">
        <w:rPr>
          <w:rtl/>
        </w:rPr>
        <w:t>ה</w:t>
      </w:r>
      <w:r w:rsidRPr="008E2094">
        <w:rPr>
          <w:rtl/>
        </w:rPr>
        <w:t>מהרש"ל סבור שאין הלכה כדברי הרשב"ם ביחס לירושה, אך באבלות יש להקל</w:t>
      </w:r>
      <w:r w:rsidR="006C7FB6">
        <w:rPr>
          <w:rtl/>
        </w:rPr>
        <w:t xml:space="preserve"> גם בגלל ה</w:t>
      </w:r>
      <w:r w:rsidRPr="008E2094">
        <w:rPr>
          <w:rtl/>
        </w:rPr>
        <w:t xml:space="preserve">שיקול </w:t>
      </w:r>
      <w:r w:rsidR="006C7FB6">
        <w:rPr>
          <w:rtl/>
        </w:rPr>
        <w:t>ה</w:t>
      </w:r>
      <w:r w:rsidRPr="008E2094">
        <w:rPr>
          <w:rtl/>
        </w:rPr>
        <w:t>רגשי: "איך יעלה על דעת האדם להאבילו מה שאין לבו אבל, ואין יום מר לפניו</w:t>
      </w:r>
      <w:r w:rsidR="006C7FB6">
        <w:rPr>
          <w:rtl/>
        </w:rPr>
        <w:t>.</w:t>
      </w:r>
      <w:r w:rsidRPr="008E2094">
        <w:rPr>
          <w:rtl/>
        </w:rPr>
        <w:t xml:space="preserve"> ונהי </w:t>
      </w:r>
      <w:r w:rsidR="00322D21">
        <w:rPr>
          <w:rtl/>
        </w:rPr>
        <w:t xml:space="preserve">[=ואמנם] </w:t>
      </w:r>
      <w:r w:rsidRPr="008E2094">
        <w:rPr>
          <w:rtl/>
        </w:rPr>
        <w:t xml:space="preserve">דבאבל ממש לא חלקו רבותינו בין אוהב לשונא, הכא יש ויש לחלק". </w:t>
      </w:r>
    </w:p>
    <w:p w:rsidR="008E2094" w:rsidRPr="008E2094" w:rsidRDefault="008E2094" w:rsidP="006C7FB6">
      <w:pPr>
        <w:rPr>
          <w:rtl/>
        </w:rPr>
      </w:pPr>
      <w:r w:rsidRPr="008E2094">
        <w:rPr>
          <w:rtl/>
        </w:rPr>
        <w:t xml:space="preserve">נראה מדברי מהרש"ל שהשפעת השיקול הרגשי משמעותית יותר ביחס לאבלות </w:t>
      </w:r>
      <w:r w:rsidR="006C7FB6">
        <w:rPr>
          <w:rtl/>
        </w:rPr>
        <w:t>על</w:t>
      </w:r>
      <w:r w:rsidRPr="008E2094">
        <w:rPr>
          <w:rtl/>
        </w:rPr>
        <w:t xml:space="preserve"> ב</w:t>
      </w:r>
      <w:r w:rsidR="006C7FB6">
        <w:rPr>
          <w:rtl/>
        </w:rPr>
        <w:t>ן</w:t>
      </w:r>
      <w:r w:rsidRPr="008E2094">
        <w:rPr>
          <w:rtl/>
        </w:rPr>
        <w:t xml:space="preserve"> </w:t>
      </w:r>
      <w:r w:rsidR="006C7FB6">
        <w:rPr>
          <w:rtl/>
        </w:rPr>
        <w:t>ה</w:t>
      </w:r>
      <w:r w:rsidRPr="008E2094">
        <w:rPr>
          <w:rtl/>
        </w:rPr>
        <w:t>זוג מאשר ביחס לאבלות על קרוב משפחה. בהמשך דבריו מהרש"ל מתייחס להבדל רגשי בין המצבים: ביחס לקרבת דם</w:t>
      </w:r>
      <w:r w:rsidR="006C7FB6">
        <w:rPr>
          <w:rtl/>
        </w:rPr>
        <w:t>,</w:t>
      </w:r>
      <w:r w:rsidRPr="008E2094">
        <w:rPr>
          <w:rtl/>
        </w:rPr>
        <w:t xml:space="preserve"> </w:t>
      </w:r>
      <w:r w:rsidR="006C7FB6">
        <w:rPr>
          <w:rtl/>
        </w:rPr>
        <w:t>הוא אומר ש</w:t>
      </w:r>
      <w:r w:rsidRPr="008E2094">
        <w:rPr>
          <w:rtl/>
        </w:rPr>
        <w:t>"אפילו הוא שונאו, מכל מקום בשרו הוא</w:t>
      </w:r>
      <w:r w:rsidR="006C7FB6">
        <w:rPr>
          <w:rtl/>
        </w:rPr>
        <w:t>,</w:t>
      </w:r>
      <w:r w:rsidRPr="008E2094">
        <w:rPr>
          <w:rtl/>
        </w:rPr>
        <w:t xml:space="preserve"> ונכמרו רחמיו, ושייך ביה אבילות ומרירות הלב"</w:t>
      </w:r>
      <w:r w:rsidR="006C7FB6">
        <w:rPr>
          <w:rtl/>
        </w:rPr>
        <w:t xml:space="preserve">, אבל </w:t>
      </w:r>
      <w:r w:rsidRPr="008E2094">
        <w:rPr>
          <w:rtl/>
        </w:rPr>
        <w:t xml:space="preserve">בקשר זוגי, "דחשיב ליה בלביה כאלו אזלה מיניה </w:t>
      </w:r>
      <w:r w:rsidR="00322D21">
        <w:rPr>
          <w:rtl/>
        </w:rPr>
        <w:t>[</w:t>
      </w:r>
      <w:r w:rsidRPr="008E2094">
        <w:rPr>
          <w:rtl/>
        </w:rPr>
        <w:t>=שחושב בלבו כאילו הלכה ממנו</w:t>
      </w:r>
      <w:r w:rsidR="00322D21">
        <w:rPr>
          <w:rtl/>
        </w:rPr>
        <w:t>]</w:t>
      </w:r>
      <w:r w:rsidRPr="008E2094">
        <w:rPr>
          <w:rtl/>
        </w:rPr>
        <w:t>, ואין כאן אבילות ומרירות הלב".</w:t>
      </w:r>
    </w:p>
    <w:p w:rsidR="008E2094" w:rsidRPr="008E2094" w:rsidRDefault="008E2094" w:rsidP="008F3DBE">
      <w:pPr>
        <w:rPr>
          <w:rtl/>
        </w:rPr>
      </w:pPr>
      <w:r w:rsidRPr="008E2094">
        <w:rPr>
          <w:rtl/>
        </w:rPr>
        <w:t xml:space="preserve">ואכן, </w:t>
      </w:r>
      <w:r w:rsidR="000802B4">
        <w:rPr>
          <w:rtl/>
        </w:rPr>
        <w:t xml:space="preserve">יש </w:t>
      </w:r>
      <w:r w:rsidRPr="008E2094">
        <w:rPr>
          <w:rtl/>
        </w:rPr>
        <w:t>הבדל</w:t>
      </w:r>
      <w:r w:rsidR="000802B4">
        <w:rPr>
          <w:rtl/>
        </w:rPr>
        <w:t xml:space="preserve"> </w:t>
      </w:r>
      <w:r w:rsidRPr="008E2094">
        <w:rPr>
          <w:rtl/>
        </w:rPr>
        <w:t>יסודי בין קשר</w:t>
      </w:r>
      <w:r w:rsidR="00B229BB">
        <w:rPr>
          <w:rtl/>
        </w:rPr>
        <w:t>י</w:t>
      </w:r>
      <w:r w:rsidRPr="008E2094">
        <w:rPr>
          <w:rtl/>
        </w:rPr>
        <w:t xml:space="preserve"> דם, </w:t>
      </w:r>
      <w:r w:rsidR="00B229BB" w:rsidRPr="008E2094">
        <w:rPr>
          <w:rtl/>
        </w:rPr>
        <w:t>שה</w:t>
      </w:r>
      <w:r w:rsidR="00B229BB">
        <w:rPr>
          <w:rtl/>
        </w:rPr>
        <w:t>ם</w:t>
      </w:r>
      <w:r w:rsidR="00B229BB" w:rsidRPr="008E2094">
        <w:rPr>
          <w:rtl/>
        </w:rPr>
        <w:t xml:space="preserve"> </w:t>
      </w:r>
      <w:r w:rsidRPr="008E2094">
        <w:rPr>
          <w:rtl/>
        </w:rPr>
        <w:t xml:space="preserve">בגדר עובדה מוגמרת, לבין קשרי נישואין. </w:t>
      </w:r>
      <w:r w:rsidR="006C7FB6">
        <w:rPr>
          <w:rtl/>
        </w:rPr>
        <w:t>ו</w:t>
      </w:r>
      <w:r w:rsidRPr="008E2094">
        <w:rPr>
          <w:rtl/>
        </w:rPr>
        <w:t>לא זו בלבד שהראשונים אינם ניתנים לניתוק</w:t>
      </w:r>
      <w:r w:rsidRPr="008E2094">
        <w:rPr>
          <w:vertAlign w:val="superscript"/>
          <w:rtl/>
        </w:rPr>
        <w:footnoteReference w:id="23"/>
      </w:r>
      <w:r w:rsidRPr="008E2094">
        <w:rPr>
          <w:rtl/>
        </w:rPr>
        <w:t xml:space="preserve"> </w:t>
      </w:r>
      <w:r w:rsidR="0006299B">
        <w:rPr>
          <w:rtl/>
        </w:rPr>
        <w:t xml:space="preserve">מה שאין כן </w:t>
      </w:r>
      <w:r w:rsidRPr="008E2094">
        <w:rPr>
          <w:rtl/>
        </w:rPr>
        <w:t>האחרונים</w:t>
      </w:r>
      <w:r w:rsidR="0006299B">
        <w:rPr>
          <w:rtl/>
        </w:rPr>
        <w:t>,</w:t>
      </w:r>
      <w:r w:rsidRPr="008E2094">
        <w:rPr>
          <w:rtl/>
        </w:rPr>
        <w:t xml:space="preserve"> אלא אף תשתיתו של </w:t>
      </w:r>
      <w:r w:rsidRPr="008E2094">
        <w:rPr>
          <w:rtl/>
        </w:rPr>
        <w:lastRenderedPageBreak/>
        <w:t xml:space="preserve">הקשר </w:t>
      </w:r>
      <w:r w:rsidR="008F3DBE">
        <w:rPr>
          <w:rtl/>
        </w:rPr>
        <w:t>שונה</w:t>
      </w:r>
      <w:r w:rsidRPr="008E2094">
        <w:rPr>
          <w:rtl/>
        </w:rPr>
        <w:t>. יסו</w:t>
      </w:r>
      <w:r w:rsidR="006C7FB6">
        <w:rPr>
          <w:rtl/>
        </w:rPr>
        <w:t>ד</w:t>
      </w:r>
      <w:r w:rsidRPr="008E2094">
        <w:rPr>
          <w:rtl/>
        </w:rPr>
        <w:t xml:space="preserve"> </w:t>
      </w:r>
      <w:r w:rsidR="006C7FB6">
        <w:rPr>
          <w:rtl/>
        </w:rPr>
        <w:t>ה</w:t>
      </w:r>
      <w:r w:rsidRPr="008E2094">
        <w:rPr>
          <w:rtl/>
        </w:rPr>
        <w:t>קשר המשפחתי</w:t>
      </w:r>
      <w:r w:rsidR="008F3DBE">
        <w:rPr>
          <w:rtl/>
        </w:rPr>
        <w:t xml:space="preserve"> טמון</w:t>
      </w:r>
      <w:r w:rsidRPr="008E2094">
        <w:rPr>
          <w:rtl/>
        </w:rPr>
        <w:t xml:space="preserve"> בהבאת ילד לעולם ושייכות למסגרת משותפת של שושלת משפחתית. החיים המשותפים אינם עומדים ביס</w:t>
      </w:r>
      <w:r w:rsidR="006C7FB6">
        <w:rPr>
          <w:rtl/>
        </w:rPr>
        <w:t>וד</w:t>
      </w:r>
      <w:r w:rsidR="008F3DBE">
        <w:rPr>
          <w:rtl/>
        </w:rPr>
        <w:t>ו</w:t>
      </w:r>
      <w:r w:rsidRPr="008E2094">
        <w:rPr>
          <w:rtl/>
        </w:rPr>
        <w:t xml:space="preserve"> </w:t>
      </w:r>
      <w:r w:rsidR="008F3DBE">
        <w:rPr>
          <w:rtl/>
        </w:rPr>
        <w:t xml:space="preserve">של </w:t>
      </w:r>
      <w:r w:rsidRPr="008E2094">
        <w:rPr>
          <w:rtl/>
        </w:rPr>
        <w:t>קשר</w:t>
      </w:r>
      <w:r w:rsidR="008F3DBE">
        <w:rPr>
          <w:rtl/>
        </w:rPr>
        <w:t xml:space="preserve"> זה</w:t>
      </w:r>
      <w:r w:rsidRPr="008E2094">
        <w:rPr>
          <w:rtl/>
        </w:rPr>
        <w:t xml:space="preserve">, ואף האהבה אינה תנאי הכרחי עבורו. </w:t>
      </w:r>
      <w:r w:rsidR="006C7FB6">
        <w:rPr>
          <w:rtl/>
        </w:rPr>
        <w:t xml:space="preserve">לעומת זאת, </w:t>
      </w:r>
      <w:r w:rsidRPr="008E2094">
        <w:rPr>
          <w:rtl/>
        </w:rPr>
        <w:t>יסו</w:t>
      </w:r>
      <w:r w:rsidR="006C7FB6">
        <w:rPr>
          <w:rtl/>
        </w:rPr>
        <w:t>ד</w:t>
      </w:r>
      <w:r w:rsidRPr="008E2094">
        <w:rPr>
          <w:rtl/>
        </w:rPr>
        <w:t xml:space="preserve"> הקשר הזוגי</w:t>
      </w:r>
      <w:r w:rsidR="006C7FB6">
        <w:rPr>
          <w:rtl/>
        </w:rPr>
        <w:t xml:space="preserve"> </w:t>
      </w:r>
      <w:r w:rsidR="008F3DBE">
        <w:rPr>
          <w:rtl/>
        </w:rPr>
        <w:t xml:space="preserve">טמון </w:t>
      </w:r>
      <w:r w:rsidR="006C7FB6">
        <w:rPr>
          <w:rtl/>
        </w:rPr>
        <w:t>ב</w:t>
      </w:r>
      <w:r w:rsidRPr="008E2094">
        <w:rPr>
          <w:rtl/>
        </w:rPr>
        <w:t>כריתת ברית ושאיפה לחיי שיתוף. זו עצמתו של הקשר הזוגי וחולשתו</w:t>
      </w:r>
      <w:r w:rsidR="006C7FB6">
        <w:rPr>
          <w:rtl/>
        </w:rPr>
        <w:t>.</w:t>
      </w:r>
      <w:r w:rsidRPr="008E2094">
        <w:rPr>
          <w:rtl/>
        </w:rPr>
        <w:t xml:space="preserve"> הוא ניתן לניתוק</w:t>
      </w:r>
      <w:r w:rsidR="006C7FB6">
        <w:rPr>
          <w:rtl/>
        </w:rPr>
        <w:t>.</w:t>
      </w:r>
      <w:r w:rsidRPr="008E2094">
        <w:rPr>
          <w:rtl/>
        </w:rPr>
        <w:t xml:space="preserve"> ואף </w:t>
      </w:r>
      <w:r w:rsidR="006C7FB6">
        <w:rPr>
          <w:rtl/>
        </w:rPr>
        <w:t>כשה</w:t>
      </w:r>
      <w:r w:rsidRPr="008E2094">
        <w:rPr>
          <w:rtl/>
        </w:rPr>
        <w:t xml:space="preserve">נתק </w:t>
      </w:r>
      <w:r w:rsidR="006C7FB6">
        <w:rPr>
          <w:rtl/>
        </w:rPr>
        <w:t>אינו רשמי,</w:t>
      </w:r>
      <w:r w:rsidRPr="008E2094">
        <w:rPr>
          <w:rtl/>
        </w:rPr>
        <w:t xml:space="preserve"> </w:t>
      </w:r>
      <w:r w:rsidR="006C7FB6">
        <w:rPr>
          <w:rtl/>
        </w:rPr>
        <w:t>הדין מכיר ג</w:t>
      </w:r>
      <w:r w:rsidRPr="008E2094">
        <w:rPr>
          <w:rtl/>
        </w:rPr>
        <w:t xml:space="preserve">ם </w:t>
      </w:r>
      <w:r w:rsidR="006C7FB6">
        <w:rPr>
          <w:rtl/>
        </w:rPr>
        <w:t>ב</w:t>
      </w:r>
      <w:r w:rsidRPr="008E2094">
        <w:rPr>
          <w:rtl/>
        </w:rPr>
        <w:t>נתק בפועל כ</w:t>
      </w:r>
      <w:r w:rsidR="006C7FB6">
        <w:rPr>
          <w:rtl/>
        </w:rPr>
        <w:t>גורם</w:t>
      </w:r>
      <w:r w:rsidRPr="008E2094">
        <w:rPr>
          <w:rtl/>
        </w:rPr>
        <w:t xml:space="preserve"> </w:t>
      </w:r>
      <w:r w:rsidR="006C7FB6">
        <w:rPr>
          <w:rtl/>
        </w:rPr>
        <w:t>ל</w:t>
      </w:r>
      <w:r w:rsidRPr="008E2094">
        <w:rPr>
          <w:rtl/>
        </w:rPr>
        <w:t xml:space="preserve">אבדן </w:t>
      </w:r>
      <w:r w:rsidR="000802B4" w:rsidRPr="008E2094">
        <w:rPr>
          <w:rtl/>
        </w:rPr>
        <w:t>הרלוונטיות של רבות מנפקויותיו</w:t>
      </w:r>
      <w:r w:rsidRPr="008E2094">
        <w:rPr>
          <w:rtl/>
        </w:rPr>
        <w:t>.</w:t>
      </w:r>
    </w:p>
    <w:p w:rsidR="008E2094" w:rsidRPr="008E2094" w:rsidRDefault="008E2094" w:rsidP="006C7FB6">
      <w:pPr>
        <w:rPr>
          <w:rtl/>
        </w:rPr>
      </w:pPr>
      <w:r w:rsidRPr="008E2094">
        <w:rPr>
          <w:rtl/>
        </w:rPr>
        <w:t xml:space="preserve">אכן, אף </w:t>
      </w:r>
      <w:r w:rsidR="006C7FB6">
        <w:rPr>
          <w:rtl/>
        </w:rPr>
        <w:t xml:space="preserve">על פי </w:t>
      </w:r>
      <w:r w:rsidRPr="008E2094">
        <w:rPr>
          <w:rtl/>
        </w:rPr>
        <w:t>שהתפיסה המובעת כאן מייצגת זרם משמעותי בקרב פוסקי הדורות, קשה לו</w:t>
      </w:r>
      <w:r w:rsidR="006C7FB6">
        <w:rPr>
          <w:rtl/>
        </w:rPr>
        <w:t>מר</w:t>
      </w:r>
      <w:r w:rsidRPr="008E2094">
        <w:rPr>
          <w:rtl/>
        </w:rPr>
        <w:t xml:space="preserve"> שהיא </w:t>
      </w:r>
      <w:r w:rsidR="006C7FB6">
        <w:rPr>
          <w:rtl/>
        </w:rPr>
        <w:t>ד</w:t>
      </w:r>
      <w:r w:rsidRPr="008E2094">
        <w:rPr>
          <w:rtl/>
        </w:rPr>
        <w:t xml:space="preserve">עת המשפט העברי. מהרש"ל עצמו לא קיבל את </w:t>
      </w:r>
      <w:r w:rsidR="006C7FB6">
        <w:rPr>
          <w:rtl/>
        </w:rPr>
        <w:t>ד</w:t>
      </w:r>
      <w:r w:rsidRPr="008E2094">
        <w:rPr>
          <w:rtl/>
        </w:rPr>
        <w:t>עת הרשב"ם ב</w:t>
      </w:r>
      <w:r w:rsidR="006C7FB6">
        <w:rPr>
          <w:rtl/>
        </w:rPr>
        <w:t>ענ</w:t>
      </w:r>
      <w:r w:rsidRPr="008E2094">
        <w:rPr>
          <w:rtl/>
        </w:rPr>
        <w:t>י</w:t>
      </w:r>
      <w:r w:rsidR="006C7FB6">
        <w:rPr>
          <w:rtl/>
        </w:rPr>
        <w:t>ין</w:t>
      </w:r>
      <w:r w:rsidRPr="008E2094">
        <w:rPr>
          <w:rtl/>
        </w:rPr>
        <w:t xml:space="preserve"> </w:t>
      </w:r>
      <w:r w:rsidR="006C7FB6">
        <w:rPr>
          <w:rtl/>
        </w:rPr>
        <w:t>ה</w:t>
      </w:r>
      <w:r w:rsidRPr="008E2094">
        <w:rPr>
          <w:rtl/>
        </w:rPr>
        <w:t>ירושה, ואף פסיקת מהרש"ל ב</w:t>
      </w:r>
      <w:r w:rsidR="006C7FB6">
        <w:rPr>
          <w:rtl/>
        </w:rPr>
        <w:t>עניין ה</w:t>
      </w:r>
      <w:r w:rsidRPr="008E2094">
        <w:rPr>
          <w:rtl/>
        </w:rPr>
        <w:t>אבלות רחוקה מלהיות מוסכמת</w:t>
      </w:r>
      <w:r w:rsidR="006C7FB6">
        <w:rPr>
          <w:rtl/>
        </w:rPr>
        <w:t xml:space="preserve"> על דעת הכל</w:t>
      </w:r>
      <w:r w:rsidRPr="008E2094">
        <w:rPr>
          <w:vertAlign w:val="superscript"/>
          <w:rtl/>
        </w:rPr>
        <w:footnoteReference w:id="24"/>
      </w:r>
      <w:r w:rsidRPr="008E2094">
        <w:rPr>
          <w:rtl/>
        </w:rPr>
        <w:t xml:space="preserve">. </w:t>
      </w:r>
    </w:p>
    <w:p w:rsidR="00295558" w:rsidRPr="00AD71E7" w:rsidRDefault="008E2094" w:rsidP="00295558">
      <w:pPr>
        <w:rPr>
          <w:spacing w:val="-2"/>
          <w:rtl/>
        </w:rPr>
      </w:pPr>
      <w:r w:rsidRPr="00AD71E7">
        <w:rPr>
          <w:spacing w:val="-2"/>
          <w:rtl/>
        </w:rPr>
        <w:t xml:space="preserve">עם זאת, יש מקום לטענה </w:t>
      </w:r>
      <w:r w:rsidR="006C7FB6" w:rsidRPr="00AD71E7">
        <w:rPr>
          <w:spacing w:val="-2"/>
          <w:rtl/>
        </w:rPr>
        <w:t>ש</w:t>
      </w:r>
      <w:r w:rsidRPr="00AD71E7">
        <w:rPr>
          <w:spacing w:val="-2"/>
          <w:rtl/>
        </w:rPr>
        <w:t>א</w:t>
      </w:r>
      <w:r w:rsidR="006C7FB6" w:rsidRPr="00AD71E7">
        <w:rPr>
          <w:spacing w:val="-2"/>
          <w:rtl/>
        </w:rPr>
        <w:t>ם</w:t>
      </w:r>
      <w:r w:rsidRPr="00AD71E7">
        <w:rPr>
          <w:spacing w:val="-2"/>
          <w:rtl/>
        </w:rPr>
        <w:t xml:space="preserve"> </w:t>
      </w:r>
      <w:r w:rsidR="006C7FB6" w:rsidRPr="00AD71E7">
        <w:rPr>
          <w:spacing w:val="-2"/>
          <w:rtl/>
        </w:rPr>
        <w:t>ה</w:t>
      </w:r>
      <w:r w:rsidRPr="00AD71E7">
        <w:rPr>
          <w:spacing w:val="-2"/>
          <w:rtl/>
        </w:rPr>
        <w:t xml:space="preserve">נתק קיצוני </w:t>
      </w:r>
      <w:r w:rsidR="006C7FB6" w:rsidRPr="00AD71E7">
        <w:rPr>
          <w:spacing w:val="-2"/>
          <w:rtl/>
        </w:rPr>
        <w:t>ו</w:t>
      </w:r>
      <w:r w:rsidRPr="00AD71E7">
        <w:rPr>
          <w:spacing w:val="-2"/>
          <w:rtl/>
        </w:rPr>
        <w:t>סופי וחד-משמעי באופי</w:t>
      </w:r>
      <w:r w:rsidR="006C7FB6" w:rsidRPr="00AD71E7">
        <w:rPr>
          <w:spacing w:val="-2"/>
          <w:rtl/>
        </w:rPr>
        <w:t>ו</w:t>
      </w:r>
      <w:r w:rsidRPr="00AD71E7">
        <w:rPr>
          <w:spacing w:val="-2"/>
          <w:rtl/>
        </w:rPr>
        <w:t>, המטוטלת ההלכתית נ</w:t>
      </w:r>
      <w:r w:rsidR="006C7FB6" w:rsidRPr="00AD71E7">
        <w:rPr>
          <w:spacing w:val="-2"/>
          <w:rtl/>
        </w:rPr>
        <w:t>וט</w:t>
      </w:r>
      <w:r w:rsidRPr="00AD71E7">
        <w:rPr>
          <w:spacing w:val="-2"/>
          <w:rtl/>
        </w:rPr>
        <w:t>ה במידת מה ל</w:t>
      </w:r>
      <w:r w:rsidR="006C7FB6" w:rsidRPr="00AD71E7">
        <w:rPr>
          <w:spacing w:val="-2"/>
          <w:rtl/>
        </w:rPr>
        <w:t>ד</w:t>
      </w:r>
      <w:r w:rsidRPr="00AD71E7">
        <w:rPr>
          <w:spacing w:val="-2"/>
          <w:rtl/>
        </w:rPr>
        <w:t>ע</w:t>
      </w:r>
      <w:r w:rsidR="006C7FB6" w:rsidRPr="00AD71E7">
        <w:rPr>
          <w:spacing w:val="-2"/>
          <w:rtl/>
        </w:rPr>
        <w:t>ת</w:t>
      </w:r>
      <w:r w:rsidRPr="00AD71E7">
        <w:rPr>
          <w:spacing w:val="-2"/>
          <w:rtl/>
        </w:rPr>
        <w:t xml:space="preserve"> </w:t>
      </w:r>
      <w:r w:rsidR="006C7FB6" w:rsidRPr="00AD71E7">
        <w:rPr>
          <w:spacing w:val="-2"/>
          <w:rtl/>
        </w:rPr>
        <w:t>ה</w:t>
      </w:r>
      <w:r w:rsidRPr="00AD71E7">
        <w:rPr>
          <w:spacing w:val="-2"/>
          <w:rtl/>
        </w:rPr>
        <w:t>רשב"ם. הרמ"א</w:t>
      </w:r>
      <w:r w:rsidR="0006299B" w:rsidRPr="00AD71E7">
        <w:rPr>
          <w:spacing w:val="-2"/>
          <w:rtl/>
        </w:rPr>
        <w:t xml:space="preserve"> </w:t>
      </w:r>
      <w:r w:rsidR="002D1085" w:rsidRPr="00AD71E7">
        <w:rPr>
          <w:spacing w:val="-2"/>
          <w:rtl/>
        </w:rPr>
        <w:t>פוסק</w:t>
      </w:r>
      <w:r w:rsidR="006C7FB6" w:rsidRPr="00AD71E7">
        <w:rPr>
          <w:spacing w:val="-2"/>
          <w:rtl/>
        </w:rPr>
        <w:t>:</w:t>
      </w:r>
      <w:r w:rsidRPr="00AD71E7">
        <w:rPr>
          <w:spacing w:val="-2"/>
          <w:rtl/>
        </w:rPr>
        <w:t xml:space="preserve"> "המורד על אשתו או מדירה</w:t>
      </w:r>
      <w:r w:rsidR="002D1085" w:rsidRPr="00AD71E7">
        <w:rPr>
          <w:spacing w:val="-2"/>
          <w:rtl/>
        </w:rPr>
        <w:t>ּ</w:t>
      </w:r>
      <w:r w:rsidRPr="00AD71E7">
        <w:rPr>
          <w:spacing w:val="-2"/>
          <w:rtl/>
        </w:rPr>
        <w:t xml:space="preserve"> ואינו נוהג עמה מנהג אישות, יש אומרים דאם מתה אינו יורשה"</w:t>
      </w:r>
      <w:r w:rsidRPr="00AD71E7">
        <w:rPr>
          <w:spacing w:val="-2"/>
          <w:vertAlign w:val="superscript"/>
          <w:rtl/>
        </w:rPr>
        <w:footnoteReference w:id="25"/>
      </w:r>
      <w:r w:rsidRPr="00AD71E7">
        <w:rPr>
          <w:spacing w:val="-2"/>
          <w:rtl/>
        </w:rPr>
        <w:t xml:space="preserve">. </w:t>
      </w:r>
      <w:r w:rsidR="006C7FB6" w:rsidRPr="00AD71E7">
        <w:rPr>
          <w:spacing w:val="-2"/>
          <w:rtl/>
        </w:rPr>
        <w:t>ו</w:t>
      </w:r>
      <w:r w:rsidRPr="00AD71E7">
        <w:rPr>
          <w:spacing w:val="-2"/>
          <w:rtl/>
        </w:rPr>
        <w:t>הב"ח</w:t>
      </w:r>
      <w:r w:rsidRPr="00AD71E7">
        <w:rPr>
          <w:spacing w:val="-2"/>
          <w:vertAlign w:val="superscript"/>
          <w:rtl/>
        </w:rPr>
        <w:footnoteReference w:id="26"/>
      </w:r>
      <w:r w:rsidRPr="00AD71E7">
        <w:rPr>
          <w:spacing w:val="-2"/>
          <w:rtl/>
        </w:rPr>
        <w:t xml:space="preserve"> דן ב</w:t>
      </w:r>
      <w:r w:rsidR="006C7FB6" w:rsidRPr="00AD71E7">
        <w:rPr>
          <w:spacing w:val="-2"/>
          <w:rtl/>
        </w:rPr>
        <w:t xml:space="preserve">עניין מי </w:t>
      </w:r>
      <w:r w:rsidRPr="00AD71E7">
        <w:rPr>
          <w:spacing w:val="-2"/>
          <w:rtl/>
        </w:rPr>
        <w:t xml:space="preserve">שפתח בהליכי גירושין </w:t>
      </w:r>
      <w:r w:rsidR="006C7FB6" w:rsidRPr="00AD71E7">
        <w:rPr>
          <w:spacing w:val="-2"/>
          <w:rtl/>
        </w:rPr>
        <w:t>מ</w:t>
      </w:r>
      <w:r w:rsidRPr="00AD71E7">
        <w:rPr>
          <w:spacing w:val="-2"/>
          <w:rtl/>
        </w:rPr>
        <w:t>אשתו ו</w:t>
      </w:r>
      <w:r w:rsidR="006C7FB6" w:rsidRPr="00AD71E7">
        <w:rPr>
          <w:spacing w:val="-2"/>
          <w:rtl/>
        </w:rPr>
        <w:t>נ</w:t>
      </w:r>
      <w:r w:rsidRPr="00AD71E7">
        <w:rPr>
          <w:spacing w:val="-2"/>
          <w:rtl/>
        </w:rPr>
        <w:t>קבע זמן לגט והשל</w:t>
      </w:r>
      <w:r w:rsidR="006C7FB6" w:rsidRPr="00AD71E7">
        <w:rPr>
          <w:spacing w:val="-2"/>
          <w:rtl/>
        </w:rPr>
        <w:t>י</w:t>
      </w:r>
      <w:r w:rsidRPr="00AD71E7">
        <w:rPr>
          <w:spacing w:val="-2"/>
          <w:rtl/>
        </w:rPr>
        <w:t>ש</w:t>
      </w:r>
      <w:r w:rsidR="006C7FB6" w:rsidRPr="00AD71E7">
        <w:rPr>
          <w:spacing w:val="-2"/>
          <w:rtl/>
        </w:rPr>
        <w:t xml:space="preserve"> א</w:t>
      </w:r>
      <w:r w:rsidRPr="00AD71E7">
        <w:rPr>
          <w:spacing w:val="-2"/>
          <w:rtl/>
        </w:rPr>
        <w:t xml:space="preserve">ת </w:t>
      </w:r>
      <w:r w:rsidR="006C7FB6" w:rsidRPr="00AD71E7">
        <w:rPr>
          <w:spacing w:val="-2"/>
          <w:rtl/>
        </w:rPr>
        <w:t>דמי</w:t>
      </w:r>
      <w:r w:rsidRPr="00AD71E7">
        <w:rPr>
          <w:spacing w:val="-2"/>
          <w:rtl/>
        </w:rPr>
        <w:t xml:space="preserve"> כתובתה ביד נאמן, ו</w:t>
      </w:r>
      <w:r w:rsidR="00295558" w:rsidRPr="00AD71E7">
        <w:rPr>
          <w:spacing w:val="-2"/>
          <w:rtl/>
        </w:rPr>
        <w:t>פס</w:t>
      </w:r>
      <w:r w:rsidRPr="00AD71E7">
        <w:rPr>
          <w:spacing w:val="-2"/>
          <w:rtl/>
        </w:rPr>
        <w:t>ק שאין ה</w:t>
      </w:r>
      <w:r w:rsidR="00295558" w:rsidRPr="00AD71E7">
        <w:rPr>
          <w:spacing w:val="-2"/>
          <w:rtl/>
        </w:rPr>
        <w:t>בעל</w:t>
      </w:r>
      <w:r w:rsidRPr="00AD71E7">
        <w:rPr>
          <w:spacing w:val="-2"/>
          <w:rtl/>
        </w:rPr>
        <w:t xml:space="preserve"> יורש אותה, </w:t>
      </w:r>
      <w:r w:rsidR="00295558" w:rsidRPr="00AD71E7">
        <w:rPr>
          <w:spacing w:val="-2"/>
          <w:rtl/>
        </w:rPr>
        <w:t xml:space="preserve">מפני </w:t>
      </w:r>
      <w:r w:rsidRPr="00AD71E7">
        <w:rPr>
          <w:spacing w:val="-2"/>
          <w:rtl/>
        </w:rPr>
        <w:t>ש</w:t>
      </w:r>
      <w:r w:rsidR="00295558" w:rsidRPr="00AD71E7">
        <w:rPr>
          <w:spacing w:val="-2"/>
          <w:rtl/>
        </w:rPr>
        <w:t>גם</w:t>
      </w:r>
      <w:r w:rsidRPr="00AD71E7">
        <w:rPr>
          <w:spacing w:val="-2"/>
          <w:rtl/>
        </w:rPr>
        <w:t xml:space="preserve"> ל</w:t>
      </w:r>
      <w:r w:rsidR="00295558" w:rsidRPr="00AD71E7">
        <w:rPr>
          <w:spacing w:val="-2"/>
          <w:rtl/>
        </w:rPr>
        <w:t>דעת מי ש</w:t>
      </w:r>
      <w:r w:rsidRPr="00AD71E7">
        <w:rPr>
          <w:spacing w:val="-2"/>
          <w:rtl/>
        </w:rPr>
        <w:t>חולק על שיטת הרשב"ם</w:t>
      </w:r>
      <w:r w:rsidR="00295558" w:rsidRPr="00AD71E7">
        <w:rPr>
          <w:spacing w:val="-2"/>
          <w:rtl/>
        </w:rPr>
        <w:t>,</w:t>
      </w:r>
      <w:r w:rsidRPr="00AD71E7">
        <w:rPr>
          <w:spacing w:val="-2"/>
          <w:rtl/>
        </w:rPr>
        <w:t xml:space="preserve"> "אין זה אלא היכא דליכא</w:t>
      </w:r>
      <w:r w:rsidR="002D1085" w:rsidRPr="00AD71E7">
        <w:rPr>
          <w:spacing w:val="-2"/>
          <w:rtl/>
        </w:rPr>
        <w:t xml:space="preserve"> [=היכן שאין]</w:t>
      </w:r>
      <w:r w:rsidRPr="00AD71E7">
        <w:rPr>
          <w:spacing w:val="-2"/>
          <w:rtl/>
        </w:rPr>
        <w:t xml:space="preserve"> אלא גילוי דעת בלחוד, מה שאין כן דאיכא נמי </w:t>
      </w:r>
      <w:r w:rsidR="002D1085" w:rsidRPr="00AD71E7">
        <w:rPr>
          <w:spacing w:val="-2"/>
          <w:rtl/>
        </w:rPr>
        <w:t xml:space="preserve">[=שיש גם] </w:t>
      </w:r>
      <w:r w:rsidRPr="00AD71E7">
        <w:rPr>
          <w:spacing w:val="-2"/>
          <w:rtl/>
        </w:rPr>
        <w:t>מעשה". לאמור, פתיח</w:t>
      </w:r>
      <w:r w:rsidR="00295558" w:rsidRPr="00AD71E7">
        <w:rPr>
          <w:spacing w:val="-2"/>
          <w:rtl/>
        </w:rPr>
        <w:t>ת</w:t>
      </w:r>
      <w:r w:rsidRPr="00AD71E7">
        <w:rPr>
          <w:spacing w:val="-2"/>
          <w:rtl/>
        </w:rPr>
        <w:t xml:space="preserve"> הליכי גירושין, הגם שאין לה תוקף הלכתי של התרת איסור אשת איש, בכוחה להצביע על ניתוק </w:t>
      </w:r>
      <w:r w:rsidR="00295558" w:rsidRPr="00AD71E7">
        <w:rPr>
          <w:spacing w:val="-2"/>
          <w:rtl/>
        </w:rPr>
        <w:t>הזי</w:t>
      </w:r>
      <w:r w:rsidRPr="00AD71E7">
        <w:rPr>
          <w:spacing w:val="-2"/>
          <w:rtl/>
        </w:rPr>
        <w:t>ק</w:t>
      </w:r>
      <w:r w:rsidR="00295558" w:rsidRPr="00AD71E7">
        <w:rPr>
          <w:spacing w:val="-2"/>
          <w:rtl/>
        </w:rPr>
        <w:t>ה</w:t>
      </w:r>
      <w:r w:rsidRPr="00AD71E7">
        <w:rPr>
          <w:spacing w:val="-2"/>
          <w:rtl/>
        </w:rPr>
        <w:t xml:space="preserve"> </w:t>
      </w:r>
      <w:r w:rsidR="00295558" w:rsidRPr="00AD71E7">
        <w:rPr>
          <w:spacing w:val="-2"/>
          <w:rtl/>
        </w:rPr>
        <w:t xml:space="preserve">ביניהם </w:t>
      </w:r>
      <w:r w:rsidRPr="00AD71E7">
        <w:rPr>
          <w:spacing w:val="-2"/>
          <w:rtl/>
        </w:rPr>
        <w:t>לעניין הירושה</w:t>
      </w:r>
      <w:r w:rsidRPr="00AD71E7">
        <w:rPr>
          <w:spacing w:val="-2"/>
          <w:vertAlign w:val="superscript"/>
          <w:rtl/>
        </w:rPr>
        <w:footnoteReference w:id="27"/>
      </w:r>
      <w:r w:rsidRPr="00AD71E7">
        <w:rPr>
          <w:spacing w:val="-2"/>
          <w:rtl/>
        </w:rPr>
        <w:t xml:space="preserve">. ומעין </w:t>
      </w:r>
      <w:r w:rsidR="00295558" w:rsidRPr="00AD71E7">
        <w:rPr>
          <w:spacing w:val="-2"/>
          <w:rtl/>
        </w:rPr>
        <w:t>זה</w:t>
      </w:r>
      <w:r w:rsidRPr="00AD71E7">
        <w:rPr>
          <w:spacing w:val="-2"/>
          <w:rtl/>
        </w:rPr>
        <w:t xml:space="preserve"> </w:t>
      </w:r>
      <w:r w:rsidR="00295558" w:rsidRPr="00AD71E7">
        <w:rPr>
          <w:spacing w:val="-2"/>
          <w:rtl/>
        </w:rPr>
        <w:t>מ</w:t>
      </w:r>
      <w:r w:rsidRPr="00AD71E7">
        <w:rPr>
          <w:spacing w:val="-2"/>
          <w:rtl/>
        </w:rPr>
        <w:t xml:space="preserve">עלה הנצי"ב </w:t>
      </w:r>
      <w:r w:rsidR="008F3DBE" w:rsidRPr="00AD71E7">
        <w:rPr>
          <w:spacing w:val="-2"/>
          <w:rtl/>
        </w:rPr>
        <w:t xml:space="preserve">(ר' נפתלי צבי יהודה ברלין, ראש ישיבת וולוז'ין, המאה הי"ט) </w:t>
      </w:r>
      <w:r w:rsidRPr="00AD71E7">
        <w:rPr>
          <w:spacing w:val="-2"/>
          <w:rtl/>
        </w:rPr>
        <w:t>ב</w:t>
      </w:r>
      <w:r w:rsidR="00295558" w:rsidRPr="00AD71E7">
        <w:rPr>
          <w:spacing w:val="-2"/>
          <w:rtl/>
        </w:rPr>
        <w:t>ענ</w:t>
      </w:r>
      <w:r w:rsidRPr="00AD71E7">
        <w:rPr>
          <w:spacing w:val="-2"/>
          <w:rtl/>
        </w:rPr>
        <w:t>י</w:t>
      </w:r>
      <w:r w:rsidR="00295558" w:rsidRPr="00AD71E7">
        <w:rPr>
          <w:spacing w:val="-2"/>
          <w:rtl/>
        </w:rPr>
        <w:t>ין</w:t>
      </w:r>
      <w:r w:rsidRPr="00AD71E7">
        <w:rPr>
          <w:spacing w:val="-2"/>
          <w:rtl/>
        </w:rPr>
        <w:t xml:space="preserve"> </w:t>
      </w:r>
      <w:r w:rsidR="00295558" w:rsidRPr="00AD71E7">
        <w:rPr>
          <w:spacing w:val="-2"/>
          <w:rtl/>
        </w:rPr>
        <w:t>ה</w:t>
      </w:r>
      <w:r w:rsidRPr="00AD71E7">
        <w:rPr>
          <w:spacing w:val="-2"/>
          <w:rtl/>
        </w:rPr>
        <w:t>תקנ</w:t>
      </w:r>
      <w:r w:rsidR="00295558" w:rsidRPr="00AD71E7">
        <w:rPr>
          <w:spacing w:val="-2"/>
          <w:rtl/>
        </w:rPr>
        <w:t>ה</w:t>
      </w:r>
      <w:r w:rsidRPr="00AD71E7">
        <w:rPr>
          <w:spacing w:val="-2"/>
          <w:rtl/>
        </w:rPr>
        <w:t xml:space="preserve"> </w:t>
      </w:r>
      <w:r w:rsidR="00295558" w:rsidRPr="00AD71E7">
        <w:rPr>
          <w:spacing w:val="-2"/>
          <w:rtl/>
        </w:rPr>
        <w:t>לה</w:t>
      </w:r>
      <w:r w:rsidR="008F3DBE" w:rsidRPr="00AD71E7">
        <w:rPr>
          <w:spacing w:val="-2"/>
          <w:rtl/>
        </w:rPr>
        <w:t>ַ</w:t>
      </w:r>
      <w:r w:rsidR="00295558" w:rsidRPr="00AD71E7">
        <w:rPr>
          <w:spacing w:val="-2"/>
          <w:rtl/>
        </w:rPr>
        <w:t xml:space="preserve">תלות </w:t>
      </w:r>
      <w:r w:rsidRPr="00AD71E7">
        <w:rPr>
          <w:spacing w:val="-2"/>
          <w:rtl/>
        </w:rPr>
        <w:t xml:space="preserve">היתר </w:t>
      </w:r>
      <w:r w:rsidR="00295558" w:rsidRPr="00AD71E7">
        <w:rPr>
          <w:spacing w:val="-2"/>
          <w:rtl/>
        </w:rPr>
        <w:t>ל</w:t>
      </w:r>
      <w:r w:rsidRPr="00AD71E7">
        <w:rPr>
          <w:spacing w:val="-2"/>
          <w:rtl/>
        </w:rPr>
        <w:t>שא</w:t>
      </w:r>
      <w:r w:rsidR="00295558" w:rsidRPr="00AD71E7">
        <w:rPr>
          <w:spacing w:val="-2"/>
          <w:rtl/>
        </w:rPr>
        <w:t>ת</w:t>
      </w:r>
      <w:r w:rsidRPr="00AD71E7">
        <w:rPr>
          <w:spacing w:val="-2"/>
          <w:rtl/>
        </w:rPr>
        <w:t xml:space="preserve"> אישה שנייה</w:t>
      </w:r>
      <w:r w:rsidR="00295558" w:rsidRPr="00AD71E7">
        <w:rPr>
          <w:spacing w:val="-2"/>
          <w:rtl/>
        </w:rPr>
        <w:t xml:space="preserve"> בהשלשת גט</w:t>
      </w:r>
      <w:r w:rsidRPr="00AD71E7">
        <w:rPr>
          <w:spacing w:val="-2"/>
          <w:rtl/>
        </w:rPr>
        <w:t>, שיש בה כדי למנוע מ</w:t>
      </w:r>
      <w:r w:rsidR="00295558" w:rsidRPr="00AD71E7">
        <w:rPr>
          <w:spacing w:val="-2"/>
          <w:rtl/>
        </w:rPr>
        <w:t xml:space="preserve">ן </w:t>
      </w:r>
      <w:r w:rsidRPr="00AD71E7">
        <w:rPr>
          <w:spacing w:val="-2"/>
          <w:rtl/>
        </w:rPr>
        <w:t>הבעל לרשת את אשתו הראשונה, משום</w:t>
      </w:r>
      <w:r w:rsidR="0006299B" w:rsidRPr="00AD71E7">
        <w:rPr>
          <w:spacing w:val="-2"/>
          <w:rtl/>
        </w:rPr>
        <w:t xml:space="preserve"> </w:t>
      </w:r>
      <w:r w:rsidR="002D1085" w:rsidRPr="00AD71E7">
        <w:rPr>
          <w:spacing w:val="-2"/>
          <w:rtl/>
        </w:rPr>
        <w:t>ש</w:t>
      </w:r>
      <w:r w:rsidRPr="00AD71E7">
        <w:rPr>
          <w:spacing w:val="-2"/>
          <w:rtl/>
        </w:rPr>
        <w:t>יורשי האישה</w:t>
      </w:r>
      <w:r w:rsidR="00295558" w:rsidRPr="00AD71E7">
        <w:rPr>
          <w:spacing w:val="-2"/>
          <w:rtl/>
        </w:rPr>
        <w:t>,</w:t>
      </w:r>
      <w:r w:rsidR="002D1085" w:rsidRPr="00AD71E7">
        <w:rPr>
          <w:spacing w:val="-2"/>
          <w:rtl/>
        </w:rPr>
        <w:t xml:space="preserve"> אם הם מוחזקים בנכסיה</w:t>
      </w:r>
      <w:r w:rsidR="00295558" w:rsidRPr="00AD71E7">
        <w:rPr>
          <w:spacing w:val="-2"/>
          <w:rtl/>
        </w:rPr>
        <w:t>,</w:t>
      </w:r>
      <w:r w:rsidRPr="00AD71E7">
        <w:rPr>
          <w:spacing w:val="-2"/>
          <w:rtl/>
        </w:rPr>
        <w:t xml:space="preserve"> </w:t>
      </w:r>
      <w:r w:rsidR="002D1085" w:rsidRPr="00AD71E7">
        <w:rPr>
          <w:spacing w:val="-2"/>
          <w:rtl/>
        </w:rPr>
        <w:t xml:space="preserve">יכולים </w:t>
      </w:r>
      <w:r w:rsidRPr="00AD71E7">
        <w:rPr>
          <w:spacing w:val="-2"/>
          <w:rtl/>
        </w:rPr>
        <w:t>לטעון "קים לי</w:t>
      </w:r>
      <w:r w:rsidR="002D1085" w:rsidRPr="00AD71E7">
        <w:rPr>
          <w:spacing w:val="-2"/>
          <w:rtl/>
        </w:rPr>
        <w:t xml:space="preserve"> כרשב"ם</w:t>
      </w:r>
      <w:r w:rsidRPr="00AD71E7">
        <w:rPr>
          <w:spacing w:val="-2"/>
          <w:rtl/>
        </w:rPr>
        <w:t>"</w:t>
      </w:r>
      <w:r w:rsidRPr="00AD71E7">
        <w:rPr>
          <w:spacing w:val="-2"/>
          <w:vertAlign w:val="superscript"/>
          <w:rtl/>
        </w:rPr>
        <w:footnoteReference w:id="28"/>
      </w:r>
      <w:r w:rsidRPr="00AD71E7">
        <w:rPr>
          <w:spacing w:val="-2"/>
          <w:rtl/>
        </w:rPr>
        <w:t>.</w:t>
      </w:r>
      <w:r w:rsidR="00B229BB" w:rsidRPr="00AD71E7">
        <w:rPr>
          <w:spacing w:val="-2"/>
          <w:rtl/>
        </w:rPr>
        <w:t xml:space="preserve"> </w:t>
      </w:r>
    </w:p>
    <w:p w:rsidR="008E2094" w:rsidRPr="008E2094" w:rsidRDefault="00B229BB" w:rsidP="00295558">
      <w:pPr>
        <w:rPr>
          <w:rtl/>
        </w:rPr>
      </w:pPr>
      <w:r w:rsidRPr="00B229BB">
        <w:rPr>
          <w:rtl/>
        </w:rPr>
        <w:t>בשנת תש"א</w:t>
      </w:r>
      <w:r w:rsidR="00295558">
        <w:rPr>
          <w:rtl/>
        </w:rPr>
        <w:t>,</w:t>
      </w:r>
      <w:r w:rsidRPr="00B229BB">
        <w:rPr>
          <w:rtl/>
        </w:rPr>
        <w:t xml:space="preserve"> הכריע</w:t>
      </w:r>
      <w:r w:rsidR="008F3DBE">
        <w:rPr>
          <w:rtl/>
        </w:rPr>
        <w:t xml:space="preserve"> הראשון לציון</w:t>
      </w:r>
      <w:r w:rsidRPr="00B229BB">
        <w:rPr>
          <w:rtl/>
        </w:rPr>
        <w:t xml:space="preserve"> הרב ב"צ מאיר חי עוזיאל </w:t>
      </w:r>
      <w:r w:rsidR="00295558">
        <w:rPr>
          <w:rtl/>
        </w:rPr>
        <w:t>ב</w:t>
      </w:r>
      <w:r w:rsidRPr="00B229BB">
        <w:rPr>
          <w:rtl/>
        </w:rPr>
        <w:t xml:space="preserve">מפורש </w:t>
      </w:r>
      <w:r w:rsidR="00F758AF" w:rsidRPr="00672D25">
        <w:rPr>
          <w:rtl/>
        </w:rPr>
        <w:t>שאין לדחות את שיטת הרשב"</w:t>
      </w:r>
      <w:r w:rsidR="00D53631" w:rsidRPr="00672D25">
        <w:rPr>
          <w:rtl/>
        </w:rPr>
        <w:t xml:space="preserve">ם אלא </w:t>
      </w:r>
      <w:r w:rsidR="00295558">
        <w:rPr>
          <w:rtl/>
        </w:rPr>
        <w:t xml:space="preserve">אם </w:t>
      </w:r>
      <w:r w:rsidR="00D53631" w:rsidRPr="00672D25">
        <w:rPr>
          <w:rtl/>
        </w:rPr>
        <w:t xml:space="preserve">האישה מסרבת להתגרש, </w:t>
      </w:r>
      <w:r w:rsidRPr="00B229BB">
        <w:rPr>
          <w:rtl/>
        </w:rPr>
        <w:t>"אבל אם נתרצו שניהם בכך</w:t>
      </w:r>
      <w:r w:rsidR="00295558">
        <w:rPr>
          <w:rtl/>
        </w:rPr>
        <w:t>,</w:t>
      </w:r>
      <w:r w:rsidRPr="00B229BB">
        <w:rPr>
          <w:rtl/>
        </w:rPr>
        <w:t xml:space="preserve"> וקבעו זמן הגירושין</w:t>
      </w:r>
      <w:r w:rsidR="00D53631">
        <w:rPr>
          <w:rtl/>
        </w:rPr>
        <w:t xml:space="preserve"> [כמו במקרה דנן]</w:t>
      </w:r>
      <w:r w:rsidRPr="00B229BB">
        <w:rPr>
          <w:rtl/>
        </w:rPr>
        <w:t>, לדברי הכל פקעה ממנו זכות ירושה... הרי בטלה האישות שביניהם, וממילא אין כאן זכות ירושת הבעל"</w:t>
      </w:r>
      <w:r w:rsidRPr="00B229BB">
        <w:rPr>
          <w:vertAlign w:val="superscript"/>
          <w:rtl/>
        </w:rPr>
        <w:footnoteReference w:id="29"/>
      </w:r>
      <w:r w:rsidRPr="00B229BB">
        <w:rPr>
          <w:rtl/>
        </w:rPr>
        <w:t>.</w:t>
      </w:r>
      <w:r>
        <w:rPr>
          <w:rtl/>
        </w:rPr>
        <w:t xml:space="preserve"> </w:t>
      </w:r>
    </w:p>
    <w:p w:rsidR="008E2094" w:rsidRPr="008E2094" w:rsidRDefault="00295558" w:rsidP="008F3DBE">
      <w:pPr>
        <w:rPr>
          <w:rtl/>
        </w:rPr>
      </w:pPr>
      <w:r>
        <w:rPr>
          <w:rtl/>
        </w:rPr>
        <w:t>ו</w:t>
      </w:r>
      <w:r w:rsidR="008E2094" w:rsidRPr="008E2094">
        <w:rPr>
          <w:rtl/>
        </w:rPr>
        <w:t>א</w:t>
      </w:r>
      <w:r>
        <w:rPr>
          <w:rtl/>
        </w:rPr>
        <w:t>ול</w:t>
      </w:r>
      <w:r w:rsidR="008E2094" w:rsidRPr="008E2094">
        <w:rPr>
          <w:rtl/>
        </w:rPr>
        <w:t>ם גם דברי</w:t>
      </w:r>
      <w:r w:rsidR="008F3DBE">
        <w:rPr>
          <w:rtl/>
        </w:rPr>
        <w:t>ם אלו</w:t>
      </w:r>
      <w:r w:rsidR="008E2094" w:rsidRPr="008E2094">
        <w:rPr>
          <w:rtl/>
        </w:rPr>
        <w:t xml:space="preserve"> אינם מוסכמים </w:t>
      </w:r>
      <w:r w:rsidR="002D1085">
        <w:rPr>
          <w:rtl/>
        </w:rPr>
        <w:t>על</w:t>
      </w:r>
      <w:r w:rsidR="008E2094" w:rsidRPr="008E2094">
        <w:rPr>
          <w:rtl/>
        </w:rPr>
        <w:t xml:space="preserve"> </w:t>
      </w:r>
      <w:r>
        <w:rPr>
          <w:rtl/>
        </w:rPr>
        <w:t xml:space="preserve">דעת </w:t>
      </w:r>
      <w:r w:rsidR="002D1085">
        <w:rPr>
          <w:rtl/>
        </w:rPr>
        <w:t>ה</w:t>
      </w:r>
      <w:r w:rsidR="008E2094" w:rsidRPr="008E2094">
        <w:rPr>
          <w:rtl/>
        </w:rPr>
        <w:t xml:space="preserve">כל. כך למשל פסק </w:t>
      </w:r>
      <w:r w:rsidR="00617E8D">
        <w:rPr>
          <w:rtl/>
        </w:rPr>
        <w:t>הרב אליעזר וולדינברג</w:t>
      </w:r>
      <w:r w:rsidR="008E2094" w:rsidRPr="008E2094">
        <w:rPr>
          <w:vertAlign w:val="superscript"/>
          <w:rtl/>
        </w:rPr>
        <w:footnoteReference w:id="30"/>
      </w:r>
      <w:r w:rsidR="008F3DBE">
        <w:rPr>
          <w:rtl/>
        </w:rPr>
        <w:t>, חבר בית הדין הרבני הגדול,</w:t>
      </w:r>
      <w:r w:rsidR="008E2094" w:rsidRPr="008E2094">
        <w:rPr>
          <w:rtl/>
        </w:rPr>
        <w:t xml:space="preserve"> ב</w:t>
      </w:r>
      <w:r>
        <w:rPr>
          <w:rtl/>
        </w:rPr>
        <w:t>ענ</w:t>
      </w:r>
      <w:r w:rsidR="008E2094" w:rsidRPr="008E2094">
        <w:rPr>
          <w:rtl/>
        </w:rPr>
        <w:t>י</w:t>
      </w:r>
      <w:r>
        <w:rPr>
          <w:rtl/>
        </w:rPr>
        <w:t>ין</w:t>
      </w:r>
      <w:r w:rsidR="008E2094" w:rsidRPr="008E2094">
        <w:rPr>
          <w:rtl/>
        </w:rPr>
        <w:t xml:space="preserve"> </w:t>
      </w:r>
      <w:r>
        <w:rPr>
          <w:rtl/>
        </w:rPr>
        <w:t xml:space="preserve">בני </w:t>
      </w:r>
      <w:r w:rsidR="008E2094" w:rsidRPr="008E2094">
        <w:rPr>
          <w:rtl/>
        </w:rPr>
        <w:t>זוג שנישא</w:t>
      </w:r>
      <w:r>
        <w:rPr>
          <w:rtl/>
        </w:rPr>
        <w:t>ו</w:t>
      </w:r>
      <w:r w:rsidR="008E2094" w:rsidRPr="008E2094">
        <w:rPr>
          <w:rtl/>
        </w:rPr>
        <w:t xml:space="preserve"> כדת משה וישראל והתגרש</w:t>
      </w:r>
      <w:r>
        <w:rPr>
          <w:rtl/>
        </w:rPr>
        <w:t>ו</w:t>
      </w:r>
      <w:r w:rsidR="008E2094" w:rsidRPr="008E2094">
        <w:rPr>
          <w:rtl/>
        </w:rPr>
        <w:t xml:space="preserve"> בגירושין אזרחיים</w:t>
      </w:r>
      <w:r w:rsidR="002D1085">
        <w:rPr>
          <w:rtl/>
        </w:rPr>
        <w:t>,</w:t>
      </w:r>
      <w:r w:rsidR="008E2094" w:rsidRPr="008E2094">
        <w:rPr>
          <w:rtl/>
        </w:rPr>
        <w:t xml:space="preserve"> שהבעל יורש את אשתו, </w:t>
      </w:r>
      <w:r>
        <w:rPr>
          <w:rtl/>
        </w:rPr>
        <w:t xml:space="preserve">מפני </w:t>
      </w:r>
      <w:r w:rsidR="00F64109">
        <w:rPr>
          <w:rtl/>
        </w:rPr>
        <w:t xml:space="preserve">שלפי דין תורה הם </w:t>
      </w:r>
      <w:r>
        <w:rPr>
          <w:rtl/>
        </w:rPr>
        <w:lastRenderedPageBreak/>
        <w:t>עדיין</w:t>
      </w:r>
      <w:r w:rsidR="00F64109">
        <w:rPr>
          <w:rtl/>
        </w:rPr>
        <w:t xml:space="preserve"> נשואים, אף</w:t>
      </w:r>
      <w:r w:rsidR="008E2094" w:rsidRPr="008E2094">
        <w:rPr>
          <w:rtl/>
        </w:rPr>
        <w:t xml:space="preserve"> </w:t>
      </w:r>
      <w:r>
        <w:rPr>
          <w:rtl/>
        </w:rPr>
        <w:t xml:space="preserve">על פי </w:t>
      </w:r>
      <w:r w:rsidR="00F64109">
        <w:rPr>
          <w:rtl/>
        </w:rPr>
        <w:t>ש</w:t>
      </w:r>
      <w:r w:rsidR="008E2094" w:rsidRPr="008E2094">
        <w:rPr>
          <w:rtl/>
        </w:rPr>
        <w:t>עש</w:t>
      </w:r>
      <w:r>
        <w:rPr>
          <w:rtl/>
        </w:rPr>
        <w:t>ו</w:t>
      </w:r>
      <w:r w:rsidR="008E2094" w:rsidRPr="008E2094">
        <w:rPr>
          <w:rtl/>
        </w:rPr>
        <w:t xml:space="preserve"> מעשה של ממש ל</w:t>
      </w:r>
      <w:r>
        <w:rPr>
          <w:rtl/>
        </w:rPr>
        <w:t>ב</w:t>
      </w:r>
      <w:r w:rsidR="008E2094" w:rsidRPr="008E2094">
        <w:rPr>
          <w:rtl/>
        </w:rPr>
        <w:t>י</w:t>
      </w:r>
      <w:r>
        <w:rPr>
          <w:rtl/>
        </w:rPr>
        <w:t>ט</w:t>
      </w:r>
      <w:r w:rsidR="008E2094" w:rsidRPr="008E2094">
        <w:rPr>
          <w:rtl/>
        </w:rPr>
        <w:t>ו</w:t>
      </w:r>
      <w:r>
        <w:rPr>
          <w:rtl/>
        </w:rPr>
        <w:t>ל</w:t>
      </w:r>
      <w:r w:rsidR="008E2094" w:rsidRPr="008E2094">
        <w:rPr>
          <w:rtl/>
        </w:rPr>
        <w:t xml:space="preserve"> ה</w:t>
      </w:r>
      <w:r>
        <w:rPr>
          <w:rtl/>
        </w:rPr>
        <w:t>זי</w:t>
      </w:r>
      <w:r w:rsidR="008E2094" w:rsidRPr="008E2094">
        <w:rPr>
          <w:rtl/>
        </w:rPr>
        <w:t>ק</w:t>
      </w:r>
      <w:r>
        <w:rPr>
          <w:rtl/>
        </w:rPr>
        <w:t>ה ביניהם</w:t>
      </w:r>
      <w:r w:rsidR="008E2094" w:rsidRPr="008E2094">
        <w:rPr>
          <w:vertAlign w:val="superscript"/>
          <w:rtl/>
        </w:rPr>
        <w:footnoteReference w:id="31"/>
      </w:r>
      <w:r w:rsidR="008E2094" w:rsidRPr="008E2094">
        <w:rPr>
          <w:rtl/>
        </w:rPr>
        <w:t xml:space="preserve">. </w:t>
      </w:r>
      <w:r>
        <w:rPr>
          <w:rtl/>
        </w:rPr>
        <w:t xml:space="preserve">יחד </w:t>
      </w:r>
      <w:r w:rsidR="00617E8D" w:rsidRPr="00617E8D">
        <w:rPr>
          <w:rtl/>
        </w:rPr>
        <w:t>עם זאת</w:t>
      </w:r>
      <w:r w:rsidR="008E2094" w:rsidRPr="002C1B0D">
        <w:rPr>
          <w:rtl/>
        </w:rPr>
        <w:t>, הוא אינו מסתיר שיקול מדיניות משמעותי המנחה את פסיקתו: "שיפורסם על ידי כך שאין כל תוקף לגירושין אזרחיים, ולהוציא מלב תועים ומתעים שחושבים בדעתם הדלה שיש איזה ממשות על פי דין תורה בגירושין אזרחיים, וידעו כולם ברור שלפי הדין אין ממש בגירושין אזרחיים". הוא אינו משתית את הכרעתו על שיקול זה בלבד, אך קשה להתעלם מ</w:t>
      </w:r>
      <w:r>
        <w:rPr>
          <w:rtl/>
        </w:rPr>
        <w:t>מ</w:t>
      </w:r>
      <w:r w:rsidR="008E2094" w:rsidRPr="002C1B0D">
        <w:rPr>
          <w:rtl/>
        </w:rPr>
        <w:t>נו</w:t>
      </w:r>
      <w:r w:rsidR="00330E98">
        <w:rPr>
          <w:rtl/>
        </w:rPr>
        <w:t>. ואף</w:t>
      </w:r>
      <w:r w:rsidR="008E2094" w:rsidRPr="002C1B0D">
        <w:rPr>
          <w:rtl/>
        </w:rPr>
        <w:t xml:space="preserve"> שכבודו </w:t>
      </w:r>
      <w:r w:rsidR="00330E98">
        <w:rPr>
          <w:rtl/>
        </w:rPr>
        <w:t xml:space="preserve">של שיקול זה </w:t>
      </w:r>
      <w:r w:rsidR="008E2094" w:rsidRPr="002C1B0D">
        <w:rPr>
          <w:rtl/>
        </w:rPr>
        <w:t>במקומו מונח, אך אין בו כדי ללמד על תפיסתו השורשית של המשפט העברי ביחס לירושת בן הזוג.</w:t>
      </w:r>
    </w:p>
    <w:p w:rsidR="008E2094" w:rsidRPr="008E2094" w:rsidRDefault="0047474E" w:rsidP="002C1B0D">
      <w:pPr>
        <w:pStyle w:val="2"/>
        <w:rPr>
          <w:rtl/>
        </w:rPr>
      </w:pPr>
      <w:r>
        <w:rPr>
          <w:rtl/>
        </w:rPr>
        <w:t>מסקנות ל</w:t>
      </w:r>
      <w:r w:rsidR="00617E8D">
        <w:rPr>
          <w:rtl/>
        </w:rPr>
        <w:t>משפט הישראלי</w:t>
      </w:r>
    </w:p>
    <w:p w:rsidR="008E2094" w:rsidRPr="008E2094" w:rsidRDefault="008E2094" w:rsidP="00295558">
      <w:pPr>
        <w:rPr>
          <w:rtl/>
        </w:rPr>
      </w:pPr>
      <w:r w:rsidRPr="008E2094">
        <w:rPr>
          <w:rtl/>
        </w:rPr>
        <w:t xml:space="preserve">כאמור בפתח הדברים, בית המשפט לענייני משפחה פסק הלכה חדשנית, </w:t>
      </w:r>
      <w:r w:rsidR="00295558">
        <w:rPr>
          <w:rtl/>
        </w:rPr>
        <w:t>ו</w:t>
      </w:r>
      <w:r w:rsidRPr="008E2094">
        <w:rPr>
          <w:rtl/>
        </w:rPr>
        <w:t xml:space="preserve">לפיה נתק משמעותי ומובהק בין בני זוג נשואים, שבמקרה </w:t>
      </w:r>
      <w:r w:rsidR="00295558">
        <w:rPr>
          <w:rtl/>
        </w:rPr>
        <w:t>ש</w:t>
      </w:r>
      <w:r w:rsidRPr="008E2094">
        <w:rPr>
          <w:rtl/>
        </w:rPr>
        <w:t xml:space="preserve">נידון </w:t>
      </w:r>
      <w:r w:rsidR="00295558">
        <w:rPr>
          <w:rtl/>
        </w:rPr>
        <w:t xml:space="preserve">לפניו </w:t>
      </w:r>
      <w:r w:rsidRPr="008E2094">
        <w:rPr>
          <w:rtl/>
        </w:rPr>
        <w:t xml:space="preserve">אף לווה בבניית מערכת יחסים יציבה של </w:t>
      </w:r>
      <w:r w:rsidR="00295558">
        <w:rPr>
          <w:rtl/>
        </w:rPr>
        <w:t>ה</w:t>
      </w:r>
      <w:r w:rsidRPr="008E2094">
        <w:rPr>
          <w:rtl/>
        </w:rPr>
        <w:t>א</w:t>
      </w:r>
      <w:r w:rsidR="00295558">
        <w:rPr>
          <w:rtl/>
        </w:rPr>
        <w:t>ישה</w:t>
      </w:r>
      <w:r w:rsidRPr="008E2094">
        <w:rPr>
          <w:rtl/>
        </w:rPr>
        <w:t xml:space="preserve"> עם </w:t>
      </w:r>
      <w:r w:rsidR="00295558">
        <w:rPr>
          <w:rtl/>
        </w:rPr>
        <w:t>איש אחר</w:t>
      </w:r>
      <w:r w:rsidRPr="008E2094">
        <w:rPr>
          <w:rtl/>
        </w:rPr>
        <w:t xml:space="preserve">, מבטל את </w:t>
      </w:r>
      <w:r w:rsidR="00295558">
        <w:rPr>
          <w:rtl/>
        </w:rPr>
        <w:t>הזיקה ביני</w:t>
      </w:r>
      <w:r w:rsidRPr="008E2094">
        <w:rPr>
          <w:rtl/>
        </w:rPr>
        <w:t xml:space="preserve">הם כבני זוג נשואים </w:t>
      </w:r>
      <w:r w:rsidR="00295558">
        <w:rPr>
          <w:rtl/>
        </w:rPr>
        <w:t xml:space="preserve">לעניין </w:t>
      </w:r>
      <w:r w:rsidRPr="008E2094">
        <w:rPr>
          <w:rtl/>
        </w:rPr>
        <w:t>סעיף 11 ל</w:t>
      </w:r>
      <w:r w:rsidR="00295558">
        <w:rPr>
          <w:rtl/>
        </w:rPr>
        <w:t>"</w:t>
      </w:r>
      <w:r w:rsidRPr="008E2094">
        <w:rPr>
          <w:rtl/>
        </w:rPr>
        <w:t>חוק הירושה</w:t>
      </w:r>
      <w:r w:rsidR="00295558">
        <w:rPr>
          <w:rtl/>
        </w:rPr>
        <w:t>"</w:t>
      </w:r>
      <w:r w:rsidRPr="008E2094">
        <w:rPr>
          <w:vertAlign w:val="superscript"/>
          <w:rtl/>
        </w:rPr>
        <w:footnoteReference w:id="32"/>
      </w:r>
      <w:r w:rsidRPr="008E2094">
        <w:rPr>
          <w:rtl/>
        </w:rPr>
        <w:t>.</w:t>
      </w:r>
    </w:p>
    <w:p w:rsidR="008E2094" w:rsidRPr="008E2094" w:rsidRDefault="008E2094" w:rsidP="00330E98">
      <w:pPr>
        <w:rPr>
          <w:rtl/>
        </w:rPr>
      </w:pPr>
      <w:r w:rsidRPr="008E2094">
        <w:rPr>
          <w:rtl/>
        </w:rPr>
        <w:t>דומני שהאמור עד כה מ</w:t>
      </w:r>
      <w:r w:rsidR="00330E98">
        <w:rPr>
          <w:rtl/>
        </w:rPr>
        <w:t>אפשר</w:t>
      </w:r>
      <w:r w:rsidR="00295558">
        <w:rPr>
          <w:rtl/>
        </w:rPr>
        <w:t xml:space="preserve"> ל</w:t>
      </w:r>
      <w:r w:rsidRPr="008E2094">
        <w:rPr>
          <w:rtl/>
        </w:rPr>
        <w:t>תמוך הלכה חדשה זו במקורות המשפט העברי ובהשקפת היסוד שלו ב</w:t>
      </w:r>
      <w:r w:rsidR="00295558">
        <w:rPr>
          <w:rtl/>
        </w:rPr>
        <w:t>שאלת</w:t>
      </w:r>
      <w:r w:rsidRPr="008E2094">
        <w:rPr>
          <w:rtl/>
        </w:rPr>
        <w:t xml:space="preserve"> ירושת בן זוג</w:t>
      </w:r>
      <w:r w:rsidRPr="008E2094">
        <w:rPr>
          <w:vertAlign w:val="superscript"/>
          <w:rtl/>
        </w:rPr>
        <w:footnoteReference w:id="33"/>
      </w:r>
      <w:r w:rsidRPr="008E2094">
        <w:rPr>
          <w:rtl/>
        </w:rPr>
        <w:t>.</w:t>
      </w:r>
    </w:p>
    <w:p w:rsidR="008E2094" w:rsidRPr="008E2094" w:rsidRDefault="008E2094" w:rsidP="002065BF">
      <w:pPr>
        <w:rPr>
          <w:rtl/>
        </w:rPr>
      </w:pPr>
      <w:r w:rsidRPr="008E2094">
        <w:rPr>
          <w:rtl/>
        </w:rPr>
        <w:t xml:space="preserve">עם זאת, דומה שראוי להציב גבולות להלכה חדשה זו. באשר לניסוח הרציונל </w:t>
      </w:r>
      <w:r w:rsidR="002065BF">
        <w:rPr>
          <w:rtl/>
        </w:rPr>
        <w:t>העומד ב</w:t>
      </w:r>
      <w:r w:rsidRPr="008E2094">
        <w:rPr>
          <w:rtl/>
        </w:rPr>
        <w:t>יס</w:t>
      </w:r>
      <w:r w:rsidR="002065BF">
        <w:rPr>
          <w:rtl/>
        </w:rPr>
        <w:t>וד</w:t>
      </w:r>
      <w:r w:rsidRPr="008E2094">
        <w:rPr>
          <w:rtl/>
        </w:rPr>
        <w:t xml:space="preserve">ה, טוב יעשו בתי המשפט אם יימנעו מניסוח זכות ירושת בן הזוג כמבוססת על </w:t>
      </w:r>
      <w:r w:rsidR="00EE4987">
        <w:rPr>
          <w:rtl/>
        </w:rPr>
        <w:t xml:space="preserve">רצונו המשוער </w:t>
      </w:r>
      <w:r w:rsidRPr="008E2094">
        <w:rPr>
          <w:rtl/>
        </w:rPr>
        <w:t>של המוריש</w:t>
      </w:r>
      <w:r w:rsidR="00505C67">
        <w:rPr>
          <w:rtl/>
        </w:rPr>
        <w:t>, וזאת משתי סיבות: ראשית,</w:t>
      </w:r>
      <w:r w:rsidRPr="008E2094">
        <w:rPr>
          <w:rtl/>
        </w:rPr>
        <w:t xml:space="preserve"> ספק גדול הוא, הן מבחינת הדין המצוי הן מבחינת </w:t>
      </w:r>
      <w:r w:rsidR="00617E8D">
        <w:rPr>
          <w:rtl/>
        </w:rPr>
        <w:t>הדין</w:t>
      </w:r>
      <w:r w:rsidRPr="008E2094">
        <w:rPr>
          <w:rtl/>
        </w:rPr>
        <w:t xml:space="preserve"> הרצוי, אם </w:t>
      </w:r>
      <w:r w:rsidR="002065BF">
        <w:rPr>
          <w:rtl/>
        </w:rPr>
        <w:t>אמנם</w:t>
      </w:r>
      <w:r w:rsidRPr="008E2094">
        <w:rPr>
          <w:rtl/>
        </w:rPr>
        <w:t xml:space="preserve"> רציונל זה עומד ביסוד כללי הירושה על פי דין</w:t>
      </w:r>
      <w:bookmarkStart w:id="1" w:name="_Ref359396527"/>
      <w:r w:rsidRPr="008E2094">
        <w:rPr>
          <w:vertAlign w:val="superscript"/>
          <w:rtl/>
        </w:rPr>
        <w:footnoteReference w:id="34"/>
      </w:r>
      <w:bookmarkEnd w:id="1"/>
      <w:r w:rsidR="002065BF">
        <w:rPr>
          <w:rtl/>
        </w:rPr>
        <w:t>;</w:t>
      </w:r>
      <w:r w:rsidRPr="008E2094">
        <w:rPr>
          <w:rtl/>
        </w:rPr>
        <w:t xml:space="preserve"> </w:t>
      </w:r>
      <w:r w:rsidR="002065BF">
        <w:rPr>
          <w:rtl/>
        </w:rPr>
        <w:t>ו</w:t>
      </w:r>
      <w:r w:rsidR="00505C67">
        <w:rPr>
          <w:rtl/>
        </w:rPr>
        <w:t>שנית,</w:t>
      </w:r>
      <w:r w:rsidR="00E96015">
        <w:rPr>
          <w:rtl/>
        </w:rPr>
        <w:t xml:space="preserve"> באשר לירושת בני זוג,</w:t>
      </w:r>
      <w:r w:rsidR="00505C67">
        <w:rPr>
          <w:rtl/>
        </w:rPr>
        <w:t xml:space="preserve"> </w:t>
      </w:r>
      <w:r w:rsidR="0006301D" w:rsidRPr="00E96015">
        <w:rPr>
          <w:rtl/>
        </w:rPr>
        <w:t xml:space="preserve">אם </w:t>
      </w:r>
      <w:r w:rsidR="001226AB" w:rsidRPr="00E96015">
        <w:rPr>
          <w:rtl/>
        </w:rPr>
        <w:t xml:space="preserve">נשלל </w:t>
      </w:r>
      <w:r w:rsidR="0006301D" w:rsidRPr="00E96015">
        <w:rPr>
          <w:rtl/>
        </w:rPr>
        <w:t xml:space="preserve">רציונל </w:t>
      </w:r>
      <w:r w:rsidR="001226AB" w:rsidRPr="00E96015">
        <w:rPr>
          <w:rtl/>
        </w:rPr>
        <w:t>זה ביחס לירושת בני זוג ה</w:t>
      </w:r>
      <w:r w:rsidR="0006301D" w:rsidRPr="00E96015">
        <w:rPr>
          <w:rtl/>
        </w:rPr>
        <w:t xml:space="preserve">ידועים בציבור, על אף כותרתו של </w:t>
      </w:r>
      <w:r w:rsidRPr="00E96015">
        <w:rPr>
          <w:rtl/>
        </w:rPr>
        <w:t>סעיף 55 ("מעין צוואה"</w:t>
      </w:r>
      <w:r w:rsidR="0006301D" w:rsidRPr="00E96015">
        <w:rPr>
          <w:rtl/>
        </w:rPr>
        <w:t>)</w:t>
      </w:r>
      <w:r w:rsidRPr="00E96015">
        <w:rPr>
          <w:rtl/>
        </w:rPr>
        <w:t xml:space="preserve">, </w:t>
      </w:r>
      <w:r w:rsidR="0006301D" w:rsidRPr="00E96015">
        <w:rPr>
          <w:rtl/>
        </w:rPr>
        <w:t xml:space="preserve">ועל אף </w:t>
      </w:r>
      <w:r w:rsidRPr="00E96015">
        <w:rPr>
          <w:rtl/>
        </w:rPr>
        <w:t>לשונו</w:t>
      </w:r>
      <w:r w:rsidR="0006301D" w:rsidRPr="00E96015">
        <w:rPr>
          <w:rtl/>
        </w:rPr>
        <w:t xml:space="preserve"> (</w:t>
      </w:r>
      <w:r w:rsidRPr="00E96015">
        <w:rPr>
          <w:rtl/>
        </w:rPr>
        <w:t>"רואים את הנשאר בחיים כאילו המוריש ציווה לו")</w:t>
      </w:r>
      <w:r w:rsidRPr="00E96015">
        <w:rPr>
          <w:vertAlign w:val="superscript"/>
          <w:rtl/>
        </w:rPr>
        <w:footnoteReference w:id="35"/>
      </w:r>
      <w:r w:rsidR="00814517" w:rsidRPr="00E96015">
        <w:rPr>
          <w:rtl/>
        </w:rPr>
        <w:t>,</w:t>
      </w:r>
      <w:r w:rsidRPr="00E96015">
        <w:rPr>
          <w:rtl/>
        </w:rPr>
        <w:t xml:space="preserve"> </w:t>
      </w:r>
      <w:r w:rsidR="001226AB" w:rsidRPr="00E96015">
        <w:rPr>
          <w:rtl/>
        </w:rPr>
        <w:t xml:space="preserve">קשה להלום </w:t>
      </w:r>
      <w:r w:rsidR="00E96015" w:rsidRPr="00E96015">
        <w:rPr>
          <w:rtl/>
        </w:rPr>
        <w:t xml:space="preserve">את </w:t>
      </w:r>
      <w:r w:rsidR="001226AB" w:rsidRPr="00E96015">
        <w:rPr>
          <w:rtl/>
        </w:rPr>
        <w:t>החלת</w:t>
      </w:r>
      <w:r w:rsidR="00E96015" w:rsidRPr="00E96015">
        <w:rPr>
          <w:rtl/>
        </w:rPr>
        <w:t>ו של</w:t>
      </w:r>
      <w:r w:rsidR="001226AB" w:rsidRPr="00E96015">
        <w:rPr>
          <w:rtl/>
        </w:rPr>
        <w:t xml:space="preserve"> רציונל זה דווקא ב</w:t>
      </w:r>
      <w:r w:rsidRPr="00E96015">
        <w:rPr>
          <w:rtl/>
        </w:rPr>
        <w:t>ירושת ב</w:t>
      </w:r>
      <w:r w:rsidR="001226AB" w:rsidRPr="00E96015">
        <w:rPr>
          <w:rtl/>
        </w:rPr>
        <w:t xml:space="preserve">ני </w:t>
      </w:r>
      <w:r w:rsidR="00E96015" w:rsidRPr="00E96015">
        <w:rPr>
          <w:rtl/>
        </w:rPr>
        <w:t xml:space="preserve">זוג </w:t>
      </w:r>
      <w:r w:rsidRPr="00E96015">
        <w:rPr>
          <w:rtl/>
        </w:rPr>
        <w:t>נשו</w:t>
      </w:r>
      <w:r w:rsidR="001226AB" w:rsidRPr="00E96015">
        <w:rPr>
          <w:rtl/>
        </w:rPr>
        <w:t>אים</w:t>
      </w:r>
      <w:r w:rsidRPr="00E96015">
        <w:rPr>
          <w:rtl/>
        </w:rPr>
        <w:t xml:space="preserve"> לפי סעיף 11.</w:t>
      </w:r>
    </w:p>
    <w:p w:rsidR="008E2094" w:rsidRPr="008E2094" w:rsidRDefault="002065BF" w:rsidP="002065BF">
      <w:pPr>
        <w:rPr>
          <w:rtl/>
        </w:rPr>
      </w:pPr>
      <w:r>
        <w:rPr>
          <w:rtl/>
        </w:rPr>
        <w:lastRenderedPageBreak/>
        <w:t>למסקנה זו תוצא</w:t>
      </w:r>
      <w:r w:rsidR="008E2094" w:rsidRPr="008E2094">
        <w:rPr>
          <w:rtl/>
        </w:rPr>
        <w:t xml:space="preserve">ות מעשיות. ראשית, יש להבהיר שהלכה זו </w:t>
      </w:r>
      <w:r>
        <w:rPr>
          <w:rtl/>
        </w:rPr>
        <w:t xml:space="preserve">יש לה מקום </w:t>
      </w:r>
      <w:r w:rsidR="008E2094" w:rsidRPr="008E2094">
        <w:rPr>
          <w:rtl/>
        </w:rPr>
        <w:t>רק בירושת בן זוג ולא בירוש</w:t>
      </w:r>
      <w:r>
        <w:rPr>
          <w:rtl/>
        </w:rPr>
        <w:t>ה מחמ</w:t>
      </w:r>
      <w:r w:rsidR="008E2094" w:rsidRPr="008E2094">
        <w:rPr>
          <w:rtl/>
        </w:rPr>
        <w:t>ת קרבת דם. יישומה בקרבת משפחה ביולוגית י</w:t>
      </w:r>
      <w:r>
        <w:rPr>
          <w:rtl/>
        </w:rPr>
        <w:t>אפשר</w:t>
      </w:r>
      <w:r w:rsidR="008E2094" w:rsidRPr="008E2094">
        <w:rPr>
          <w:rtl/>
        </w:rPr>
        <w:t xml:space="preserve"> </w:t>
      </w:r>
      <w:r>
        <w:rPr>
          <w:rtl/>
        </w:rPr>
        <w:t>לב</w:t>
      </w:r>
      <w:r w:rsidR="008E2094" w:rsidRPr="008E2094">
        <w:rPr>
          <w:rtl/>
        </w:rPr>
        <w:t xml:space="preserve">תי המשפט שיקול דעת רחב מידי ויפתח פתח לריבוי בלתי נסבל </w:t>
      </w:r>
      <w:r w:rsidR="00DE1115">
        <w:rPr>
          <w:rtl/>
        </w:rPr>
        <w:t xml:space="preserve">של </w:t>
      </w:r>
      <w:r w:rsidR="008E2094" w:rsidRPr="008E2094">
        <w:rPr>
          <w:rtl/>
        </w:rPr>
        <w:t>התדיינו</w:t>
      </w:r>
      <w:r w:rsidR="00DE1115">
        <w:rPr>
          <w:rtl/>
        </w:rPr>
        <w:t>יו</w:t>
      </w:r>
      <w:r w:rsidR="008E2094" w:rsidRPr="008E2094">
        <w:rPr>
          <w:rtl/>
        </w:rPr>
        <w:t xml:space="preserve">ת שיפוטיות במקרים רבים של פטירה </w:t>
      </w:r>
      <w:r>
        <w:rPr>
          <w:rtl/>
        </w:rPr>
        <w:t>ב</w:t>
      </w:r>
      <w:r w:rsidR="008E2094" w:rsidRPr="008E2094">
        <w:rPr>
          <w:rtl/>
        </w:rPr>
        <w:t xml:space="preserve">לא צוואה. הבחנה זו משתלבת בעקרונות שראינו במשפט העברי, המלמדים שהירושה על פי דין אינה מבוססת על אומדן דעת, אך הגדרת הקרבה באשר ליחסי זוגיות כוללת רכיב של גמישות הבא לידי ביטוי במצב </w:t>
      </w:r>
      <w:r>
        <w:rPr>
          <w:rtl/>
        </w:rPr>
        <w:t xml:space="preserve">של </w:t>
      </w:r>
      <w:r w:rsidR="008E2094" w:rsidRPr="008E2094">
        <w:rPr>
          <w:rtl/>
        </w:rPr>
        <w:t>נתק</w:t>
      </w:r>
      <w:r>
        <w:rPr>
          <w:rtl/>
        </w:rPr>
        <w:t xml:space="preserve"> בין בני הזוג</w:t>
      </w:r>
      <w:r w:rsidR="008E2094" w:rsidRPr="008E2094">
        <w:rPr>
          <w:rtl/>
        </w:rPr>
        <w:t xml:space="preserve">. </w:t>
      </w:r>
    </w:p>
    <w:p w:rsidR="008E2094" w:rsidRPr="008E2094" w:rsidRDefault="008E2094" w:rsidP="00986122">
      <w:pPr>
        <w:rPr>
          <w:rtl/>
        </w:rPr>
      </w:pPr>
      <w:r w:rsidRPr="008E2094">
        <w:rPr>
          <w:rtl/>
        </w:rPr>
        <w:t xml:space="preserve">שנית, גם באשר לירושת בן זוג, אין מקום להפעלת מבחנים גמישים הבודקים את </w:t>
      </w:r>
      <w:r w:rsidR="00101AFF">
        <w:rPr>
          <w:rtl/>
        </w:rPr>
        <w:t>רצונו המשוער</w:t>
      </w:r>
      <w:r w:rsidRPr="008E2094">
        <w:rPr>
          <w:rtl/>
        </w:rPr>
        <w:t xml:space="preserve"> של בן הזוג המוריש. מבחנים </w:t>
      </w:r>
      <w:r w:rsidR="002065BF">
        <w:rPr>
          <w:rtl/>
        </w:rPr>
        <w:t xml:space="preserve">מעין </w:t>
      </w:r>
      <w:r w:rsidRPr="008E2094">
        <w:rPr>
          <w:rtl/>
        </w:rPr>
        <w:t xml:space="preserve">אלו </w:t>
      </w:r>
      <w:r w:rsidR="00986122">
        <w:rPr>
          <w:rtl/>
        </w:rPr>
        <w:t xml:space="preserve">מרחיבים מידי </w:t>
      </w:r>
      <w:r w:rsidRPr="008E2094">
        <w:rPr>
          <w:rtl/>
        </w:rPr>
        <w:t>א</w:t>
      </w:r>
      <w:r w:rsidR="002065BF">
        <w:rPr>
          <w:rtl/>
        </w:rPr>
        <w:t>ת</w:t>
      </w:r>
      <w:r w:rsidRPr="008E2094">
        <w:rPr>
          <w:rtl/>
        </w:rPr>
        <w:t xml:space="preserve"> שיקול דעת</w:t>
      </w:r>
      <w:r w:rsidR="002065BF">
        <w:rPr>
          <w:rtl/>
        </w:rPr>
        <w:t>ו</w:t>
      </w:r>
      <w:r w:rsidRPr="008E2094">
        <w:rPr>
          <w:rtl/>
        </w:rPr>
        <w:t xml:space="preserve"> </w:t>
      </w:r>
      <w:r w:rsidR="002065BF">
        <w:rPr>
          <w:rtl/>
        </w:rPr>
        <w:t>של בית המשפט</w:t>
      </w:r>
      <w:r w:rsidRPr="008E2094">
        <w:rPr>
          <w:rtl/>
        </w:rPr>
        <w:t xml:space="preserve"> </w:t>
      </w:r>
      <w:r w:rsidR="00986122" w:rsidRPr="008E2094">
        <w:rPr>
          <w:rtl/>
        </w:rPr>
        <w:t>ו</w:t>
      </w:r>
      <w:r w:rsidR="00986122">
        <w:rPr>
          <w:rtl/>
        </w:rPr>
        <w:t>פותחים</w:t>
      </w:r>
      <w:r w:rsidR="00986122" w:rsidRPr="008E2094">
        <w:rPr>
          <w:rtl/>
        </w:rPr>
        <w:t xml:space="preserve"> </w:t>
      </w:r>
      <w:r w:rsidRPr="008E2094">
        <w:rPr>
          <w:rtl/>
        </w:rPr>
        <w:t>פתח לריבוי מוגזם בהתדיינויות. במצב המשפטי הנוכחי, יש לצמצם את גבולות הגזרה של ההלכה החדשה למצבים קיצוניים וחד-משמעיים של נתק.</w:t>
      </w:r>
    </w:p>
    <w:p w:rsidR="008E2094" w:rsidRPr="008E2094" w:rsidRDefault="00DE1115" w:rsidP="005376BC">
      <w:pPr>
        <w:rPr>
          <w:rtl/>
        </w:rPr>
      </w:pPr>
      <w:r>
        <w:rPr>
          <w:rtl/>
        </w:rPr>
        <w:t xml:space="preserve">אמנם </w:t>
      </w:r>
      <w:r w:rsidR="00233E39">
        <w:rPr>
          <w:rtl/>
        </w:rPr>
        <w:t>בהצעת</w:t>
      </w:r>
      <w:r w:rsidR="008E2094" w:rsidRPr="008E2094">
        <w:rPr>
          <w:rtl/>
        </w:rPr>
        <w:t xml:space="preserve"> חוק דיני ממונות, התש</w:t>
      </w:r>
      <w:r w:rsidR="00233E39">
        <w:rPr>
          <w:rtl/>
        </w:rPr>
        <w:t>ע"א-2011</w:t>
      </w:r>
      <w:bookmarkStart w:id="2" w:name="_Ref358819717"/>
      <w:r w:rsidR="00F87BEB">
        <w:rPr>
          <w:rStyle w:val="a6"/>
          <w:rFonts w:cs="FrankRuehl"/>
          <w:rtl/>
        </w:rPr>
        <w:footnoteReference w:id="36"/>
      </w:r>
      <w:bookmarkEnd w:id="2"/>
      <w:r w:rsidR="00233E39">
        <w:rPr>
          <w:rtl/>
        </w:rPr>
        <w:t xml:space="preserve">, </w:t>
      </w:r>
      <w:r w:rsidR="005376BC">
        <w:rPr>
          <w:rtl/>
        </w:rPr>
        <w:t>מוצע</w:t>
      </w:r>
      <w:r w:rsidR="00233E39">
        <w:rPr>
          <w:rtl/>
        </w:rPr>
        <w:t xml:space="preserve"> </w:t>
      </w:r>
      <w:r w:rsidR="008E2094" w:rsidRPr="008E2094">
        <w:rPr>
          <w:rtl/>
        </w:rPr>
        <w:t>להפעיל את כלל הנתק גם במצב קיצוני פחות מזה המתואר בנסיבות פסק הדין דנ</w:t>
      </w:r>
      <w:r w:rsidR="00814517">
        <w:rPr>
          <w:rtl/>
        </w:rPr>
        <w:t>ן</w:t>
      </w:r>
      <w:r w:rsidR="008E2094" w:rsidRPr="008E2094">
        <w:rPr>
          <w:rtl/>
        </w:rPr>
        <w:t xml:space="preserve">, אך לפי כללים מוגדרים. </w:t>
      </w:r>
      <w:r w:rsidR="00F87BEB">
        <w:rPr>
          <w:rtl/>
        </w:rPr>
        <w:t xml:space="preserve">ההצעה </w:t>
      </w:r>
      <w:r w:rsidR="00F87BEB" w:rsidRPr="00672D25">
        <w:rPr>
          <w:rtl/>
        </w:rPr>
        <w:t xml:space="preserve">מאחדת את מסלול הירושה של </w:t>
      </w:r>
      <w:r w:rsidR="00E6385C">
        <w:rPr>
          <w:rtl/>
        </w:rPr>
        <w:t xml:space="preserve">בני זוג </w:t>
      </w:r>
      <w:r w:rsidR="00F87BEB" w:rsidRPr="00672D25">
        <w:rPr>
          <w:rtl/>
        </w:rPr>
        <w:t>נשואים ושל ידועים בציבור</w:t>
      </w:r>
      <w:r w:rsidR="002065BF">
        <w:rPr>
          <w:rtl/>
        </w:rPr>
        <w:t>,</w:t>
      </w:r>
      <w:r w:rsidR="00F87BEB" w:rsidRPr="00672D25">
        <w:rPr>
          <w:rtl/>
        </w:rPr>
        <w:t xml:space="preserve"> כשהיא רואה בשניהם </w:t>
      </w:r>
      <w:r w:rsidR="004D3FF7" w:rsidRPr="00672D25">
        <w:rPr>
          <w:rtl/>
        </w:rPr>
        <w:t>בני זוג ה</w:t>
      </w:r>
      <w:r w:rsidR="00F87BEB" w:rsidRPr="00672D25">
        <w:rPr>
          <w:rtl/>
        </w:rPr>
        <w:t>יורשים על פי דין</w:t>
      </w:r>
      <w:r w:rsidR="005221B1" w:rsidRPr="00672D25">
        <w:rPr>
          <w:rtl/>
        </w:rPr>
        <w:t xml:space="preserve">, אך </w:t>
      </w:r>
      <w:r w:rsidR="005221B1">
        <w:rPr>
          <w:rtl/>
        </w:rPr>
        <w:t xml:space="preserve">מוציאה מכלל </w:t>
      </w:r>
      <w:r w:rsidR="004D3FF7">
        <w:rPr>
          <w:rtl/>
        </w:rPr>
        <w:t>ב</w:t>
      </w:r>
      <w:r>
        <w:rPr>
          <w:rtl/>
        </w:rPr>
        <w:t>ני</w:t>
      </w:r>
      <w:r w:rsidR="004D3FF7">
        <w:rPr>
          <w:rtl/>
        </w:rPr>
        <w:t xml:space="preserve"> זוג </w:t>
      </w:r>
      <w:r w:rsidR="001D6A77">
        <w:rPr>
          <w:rtl/>
        </w:rPr>
        <w:t xml:space="preserve">את </w:t>
      </w:r>
      <w:r>
        <w:rPr>
          <w:rtl/>
        </w:rPr>
        <w:t>מי ש</w:t>
      </w:r>
      <w:r w:rsidR="005221B1">
        <w:rPr>
          <w:rtl/>
        </w:rPr>
        <w:t xml:space="preserve">נשואים </w:t>
      </w:r>
      <w:r>
        <w:rPr>
          <w:rtl/>
        </w:rPr>
        <w:t>ר</w:t>
      </w:r>
      <w:r w:rsidR="002065BF">
        <w:rPr>
          <w:rtl/>
        </w:rPr>
        <w:t>ש</w:t>
      </w:r>
      <w:r>
        <w:rPr>
          <w:rtl/>
        </w:rPr>
        <w:t xml:space="preserve">מית אך </w:t>
      </w:r>
      <w:r w:rsidR="005221B1">
        <w:rPr>
          <w:rtl/>
        </w:rPr>
        <w:t xml:space="preserve">פרודים </w:t>
      </w:r>
      <w:r w:rsidR="002065BF">
        <w:rPr>
          <w:rtl/>
        </w:rPr>
        <w:t xml:space="preserve">מעשית </w:t>
      </w:r>
      <w:r w:rsidR="005221B1">
        <w:rPr>
          <w:rtl/>
        </w:rPr>
        <w:t>יותר משלוש שנים מתוך כוונה לנתק את חיי המשפחה ביניהם</w:t>
      </w:r>
      <w:r w:rsidR="008E2094" w:rsidRPr="008E2094">
        <w:rPr>
          <w:rtl/>
        </w:rPr>
        <w:t xml:space="preserve">. מובן </w:t>
      </w:r>
      <w:r w:rsidR="002065BF">
        <w:rPr>
          <w:rtl/>
        </w:rPr>
        <w:t>ש</w:t>
      </w:r>
      <w:r w:rsidR="008E2094" w:rsidRPr="008E2094">
        <w:rPr>
          <w:rtl/>
        </w:rPr>
        <w:t>אין ב</w:t>
      </w:r>
      <w:r w:rsidR="002065BF">
        <w:rPr>
          <w:rtl/>
        </w:rPr>
        <w:t>זה</w:t>
      </w:r>
      <w:r w:rsidR="008E2094" w:rsidRPr="008E2094">
        <w:rPr>
          <w:rtl/>
        </w:rPr>
        <w:t xml:space="preserve"> כדי למנוע התדיינויות, אך דומה שיש </w:t>
      </w:r>
      <w:r w:rsidR="001D6A77">
        <w:rPr>
          <w:rtl/>
        </w:rPr>
        <w:t>כאן</w:t>
      </w:r>
      <w:r w:rsidR="008E2094" w:rsidRPr="008E2094">
        <w:rPr>
          <w:rtl/>
        </w:rPr>
        <w:t xml:space="preserve"> הגדרה לנתק זוגי שדי בו לבטל זכות ירושה.</w:t>
      </w:r>
    </w:p>
    <w:p w:rsidR="008E2094" w:rsidRPr="008E2094" w:rsidRDefault="00DE1115" w:rsidP="00E6385C">
      <w:pPr>
        <w:rPr>
          <w:rtl/>
        </w:rPr>
      </w:pPr>
      <w:r w:rsidRPr="00EE6CD9">
        <w:rPr>
          <w:rtl/>
        </w:rPr>
        <w:t xml:space="preserve">אמנם מותר לתהות אם זהו הדין הרצוי גם </w:t>
      </w:r>
      <w:r w:rsidR="002065BF">
        <w:rPr>
          <w:rtl/>
        </w:rPr>
        <w:t>כ</w:t>
      </w:r>
      <w:r w:rsidR="008E2094" w:rsidRPr="00EE6CD9">
        <w:rPr>
          <w:rtl/>
        </w:rPr>
        <w:t>ש</w:t>
      </w:r>
      <w:r w:rsidR="00E6385C">
        <w:rPr>
          <w:rtl/>
        </w:rPr>
        <w:t>בני הזוג הפרודים לא התגרשו</w:t>
      </w:r>
      <w:r w:rsidR="00E6385C">
        <w:t xml:space="preserve"> </w:t>
      </w:r>
      <w:r w:rsidR="002065BF">
        <w:rPr>
          <w:rtl/>
        </w:rPr>
        <w:t>בגל</w:t>
      </w:r>
      <w:r w:rsidR="008E2094" w:rsidRPr="00EE6CD9">
        <w:rPr>
          <w:rtl/>
        </w:rPr>
        <w:t>ל בן זוג סרבן גט</w:t>
      </w:r>
      <w:r w:rsidRPr="00EE6CD9">
        <w:rPr>
          <w:rtl/>
        </w:rPr>
        <w:t>?</w:t>
      </w:r>
      <w:r w:rsidR="008E2094" w:rsidRPr="00EE6CD9">
        <w:rPr>
          <w:rtl/>
        </w:rPr>
        <w:t xml:space="preserve"> האם </w:t>
      </w:r>
      <w:r w:rsidR="002C1B0D" w:rsidRPr="00EE6CD9">
        <w:rPr>
          <w:rtl/>
        </w:rPr>
        <w:t xml:space="preserve">לא </w:t>
      </w:r>
      <w:r w:rsidRPr="00EE6CD9">
        <w:rPr>
          <w:rtl/>
        </w:rPr>
        <w:t xml:space="preserve">נכון </w:t>
      </w:r>
      <w:r w:rsidR="002C1B0D" w:rsidRPr="00EE6CD9">
        <w:rPr>
          <w:rtl/>
        </w:rPr>
        <w:t>יותר לקבוע ש</w:t>
      </w:r>
      <w:r w:rsidR="008E2094" w:rsidRPr="00EE6CD9">
        <w:rPr>
          <w:rtl/>
        </w:rPr>
        <w:t>בן זוג המעוגן בעל כורחו</w:t>
      </w:r>
      <w:r w:rsidR="00E6385C">
        <w:rPr>
          <w:rtl/>
        </w:rPr>
        <w:t xml:space="preserve"> וסובל זוגיות כפויה</w:t>
      </w:r>
      <w:r w:rsidR="008E2094" w:rsidRPr="00EE6CD9">
        <w:rPr>
          <w:rtl/>
        </w:rPr>
        <w:t>, יכ</w:t>
      </w:r>
      <w:r w:rsidR="002065BF">
        <w:rPr>
          <w:rtl/>
        </w:rPr>
        <w:t>ו</w:t>
      </w:r>
      <w:r w:rsidR="008E2094" w:rsidRPr="00EE6CD9">
        <w:rPr>
          <w:rtl/>
        </w:rPr>
        <w:t>ל לכל הפחות ליהנות מ</w:t>
      </w:r>
      <w:r w:rsidR="002065BF">
        <w:rPr>
          <w:rtl/>
        </w:rPr>
        <w:t>ן ה</w:t>
      </w:r>
      <w:r w:rsidR="008E2094" w:rsidRPr="00EE6CD9">
        <w:rPr>
          <w:rtl/>
        </w:rPr>
        <w:t xml:space="preserve">זכות </w:t>
      </w:r>
      <w:r w:rsidR="002065BF">
        <w:rPr>
          <w:rtl/>
        </w:rPr>
        <w:t>ל</w:t>
      </w:r>
      <w:r w:rsidR="008E2094" w:rsidRPr="00EE6CD9">
        <w:rPr>
          <w:rtl/>
        </w:rPr>
        <w:t xml:space="preserve">ירש </w:t>
      </w:r>
      <w:r w:rsidR="002065BF">
        <w:rPr>
          <w:rtl/>
        </w:rPr>
        <w:t>את</w:t>
      </w:r>
      <w:r w:rsidR="008E2094" w:rsidRPr="00EE6CD9">
        <w:rPr>
          <w:rtl/>
        </w:rPr>
        <w:t xml:space="preserve"> בן זוגו</w:t>
      </w:r>
      <w:r w:rsidR="00E6385C">
        <w:rPr>
          <w:rtl/>
        </w:rPr>
        <w:t>?!</w:t>
      </w:r>
      <w:r w:rsidR="008E2094" w:rsidRPr="00EE6CD9">
        <w:rPr>
          <w:rtl/>
        </w:rPr>
        <w:t xml:space="preserve"> אף בשאלה זו</w:t>
      </w:r>
      <w:r w:rsidR="002065BF">
        <w:rPr>
          <w:rtl/>
        </w:rPr>
        <w:t>,</w:t>
      </w:r>
      <w:r w:rsidR="008E2094" w:rsidRPr="00EE6CD9">
        <w:rPr>
          <w:rtl/>
        </w:rPr>
        <w:t xml:space="preserve"> דומה שניתן יהא למצוא השראה במקורות </w:t>
      </w:r>
      <w:r w:rsidR="001D6A77" w:rsidRPr="00EE6CD9">
        <w:rPr>
          <w:rtl/>
        </w:rPr>
        <w:t>ה</w:t>
      </w:r>
      <w:r w:rsidR="008E2094" w:rsidRPr="00EE6CD9">
        <w:rPr>
          <w:rtl/>
        </w:rPr>
        <w:t>משפט העברי, אך בירור נושא זה חורג מגבולות יריעתנו.</w:t>
      </w:r>
    </w:p>
    <w:p w:rsidR="005376BC" w:rsidRDefault="005376BC" w:rsidP="005376BC">
      <w:pPr>
        <w:pStyle w:val="2"/>
        <w:rPr>
          <w:rtl/>
        </w:rPr>
      </w:pPr>
      <w:r>
        <w:rPr>
          <w:rtl/>
        </w:rPr>
        <w:t>סוף דבר</w:t>
      </w:r>
    </w:p>
    <w:p w:rsidR="008E2094" w:rsidRPr="008E2094" w:rsidRDefault="00861BD2" w:rsidP="002065BF">
      <w:pPr>
        <w:rPr>
          <w:rtl/>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235.3pt;width:482.4pt;height:32.25pt;z-index:251658240;mso-position-horizontal:center;mso-position-horizontal-relative:page" stroked="f">
            <v:textbox style="mso-next-textbox:#_x0000_s1026">
              <w:txbxContent>
                <w:p w:rsidR="00AD71E7" w:rsidRPr="00992204" w:rsidRDefault="00AD71E7" w:rsidP="00AD71E7">
                  <w:pPr>
                    <w:spacing w:after="0" w:line="240" w:lineRule="auto"/>
                    <w:jc w:val="center"/>
                    <w:rPr>
                      <w:b/>
                      <w:bCs/>
                      <w:spacing w:val="2"/>
                      <w:sz w:val="18"/>
                      <w:szCs w:val="18"/>
                      <w:rtl/>
                    </w:rPr>
                  </w:pPr>
                  <w:r w:rsidRPr="00992204">
                    <w:rPr>
                      <w:spacing w:val="2"/>
                      <w:sz w:val="18"/>
                      <w:szCs w:val="18"/>
                      <w:rtl/>
                    </w:rPr>
                    <w:t xml:space="preserve">להצטרפות לרשימת התפוצה האלקטרונית </w:t>
                  </w:r>
                  <w:hyperlink r:id="rId7" w:history="1">
                    <w:r w:rsidRPr="00992204">
                      <w:rPr>
                        <w:rStyle w:val="Hyperlink"/>
                        <w:spacing w:val="2"/>
                        <w:sz w:val="18"/>
                        <w:szCs w:val="18"/>
                      </w:rPr>
                      <w:t>www.justice.gov.il/mojheb/tfuza</w:t>
                    </w:r>
                  </w:hyperlink>
                </w:p>
                <w:p w:rsidR="00AD71E7" w:rsidRPr="00992204" w:rsidRDefault="00AD71E7" w:rsidP="00AD71E7">
                  <w:pPr>
                    <w:spacing w:after="0" w:line="240" w:lineRule="auto"/>
                    <w:jc w:val="center"/>
                    <w:rPr>
                      <w:sz w:val="18"/>
                      <w:szCs w:val="18"/>
                      <w:rtl/>
                    </w:rPr>
                  </w:pPr>
                  <w:r w:rsidRPr="00992204">
                    <w:rPr>
                      <w:sz w:val="18"/>
                      <w:szCs w:val="18"/>
                      <w:rtl/>
                    </w:rPr>
                    <w:t>גיליונות "פרשת השבוע" מתפרסמים גם באתר "דעת" שבניהולו של פרופ' י' איזנברג (</w:t>
                  </w:r>
                  <w:hyperlink r:id="rId8" w:history="1">
                    <w:r w:rsidRPr="00992204">
                      <w:rPr>
                        <w:rStyle w:val="Hyperlink"/>
                        <w:sz w:val="18"/>
                        <w:szCs w:val="18"/>
                      </w:rPr>
                      <w:t>www.daat.ac.il/mishpat-ivri</w:t>
                    </w:r>
                  </w:hyperlink>
                  <w:r w:rsidRPr="00992204">
                    <w:rPr>
                      <w:sz w:val="18"/>
                      <w:szCs w:val="18"/>
                    </w:rPr>
                    <w:t>(</w:t>
                  </w:r>
                </w:p>
              </w:txbxContent>
            </v:textbox>
            <w10:wrap anchorx="page"/>
          </v:shape>
        </w:pict>
      </w:r>
      <w:r w:rsidR="008E2094" w:rsidRPr="008E2094">
        <w:rPr>
          <w:rtl/>
        </w:rPr>
        <w:t>כבר כתב שמואל שילה</w:t>
      </w:r>
      <w:r w:rsidR="008E2094" w:rsidRPr="008E2094">
        <w:rPr>
          <w:vertAlign w:val="superscript"/>
          <w:rtl/>
        </w:rPr>
        <w:footnoteReference w:id="37"/>
      </w:r>
      <w:r w:rsidR="008E2094" w:rsidRPr="008E2094">
        <w:rPr>
          <w:rtl/>
        </w:rPr>
        <w:t xml:space="preserve"> </w:t>
      </w:r>
      <w:r w:rsidR="002065BF">
        <w:rPr>
          <w:rtl/>
        </w:rPr>
        <w:t>ש</w:t>
      </w:r>
      <w:r w:rsidR="008E2094" w:rsidRPr="008E2094">
        <w:rPr>
          <w:rtl/>
        </w:rPr>
        <w:t>סעיף 11 ל</w:t>
      </w:r>
      <w:r w:rsidR="002065BF">
        <w:rPr>
          <w:rtl/>
        </w:rPr>
        <w:t>"</w:t>
      </w:r>
      <w:r w:rsidR="008E2094" w:rsidRPr="008E2094">
        <w:rPr>
          <w:rtl/>
        </w:rPr>
        <w:t>חוק הירושה</w:t>
      </w:r>
      <w:r w:rsidR="002065BF">
        <w:rPr>
          <w:rtl/>
        </w:rPr>
        <w:t>"</w:t>
      </w:r>
      <w:r w:rsidR="008E2094" w:rsidRPr="008E2094">
        <w:rPr>
          <w:rtl/>
        </w:rPr>
        <w:t xml:space="preserve"> עבר שינויים רבים מ</w:t>
      </w:r>
      <w:r w:rsidR="002065BF">
        <w:rPr>
          <w:rtl/>
        </w:rPr>
        <w:t>יום שנ</w:t>
      </w:r>
      <w:r w:rsidR="008E2094" w:rsidRPr="008E2094">
        <w:rPr>
          <w:rtl/>
        </w:rPr>
        <w:t>חקק וכי "אין בחוק הירושה סעיף שנכתבו עליו כ</w:t>
      </w:r>
      <w:r w:rsidR="0084239A">
        <w:rPr>
          <w:rtl/>
        </w:rPr>
        <w:t>ה</w:t>
      </w:r>
      <w:r w:rsidR="008E2094" w:rsidRPr="008E2094">
        <w:rPr>
          <w:rtl/>
        </w:rPr>
        <w:t xml:space="preserve"> הרבה מאמרי ביקורת של מלומדים כמו סעיף 11". פסק הדין נשוא מאמר</w:t>
      </w:r>
      <w:r w:rsidR="002065BF">
        <w:rPr>
          <w:rtl/>
        </w:rPr>
        <w:t>נו</w:t>
      </w:r>
      <w:r w:rsidR="008E2094" w:rsidRPr="008E2094">
        <w:rPr>
          <w:rtl/>
        </w:rPr>
        <w:t xml:space="preserve"> ו</w:t>
      </w:r>
      <w:r w:rsidR="004D3FF7">
        <w:rPr>
          <w:rtl/>
        </w:rPr>
        <w:t xml:space="preserve">הצעת </w:t>
      </w:r>
      <w:r w:rsidR="008E2094" w:rsidRPr="008E2094">
        <w:rPr>
          <w:rtl/>
        </w:rPr>
        <w:t>החוק החדש</w:t>
      </w:r>
      <w:r w:rsidR="004D3FF7">
        <w:rPr>
          <w:rtl/>
        </w:rPr>
        <w:t>ה</w:t>
      </w:r>
      <w:r w:rsidR="008E2094" w:rsidRPr="008E2094">
        <w:rPr>
          <w:rtl/>
        </w:rPr>
        <w:t xml:space="preserve"> מלמדים שעדיין לא תמה מלאכת עיצובו של מוסד ירושת בן הזוג במשפט הישראלי, והנושאים שעסק</w:t>
      </w:r>
      <w:r w:rsidR="002065BF">
        <w:rPr>
          <w:rtl/>
        </w:rPr>
        <w:t>נו</w:t>
      </w:r>
      <w:r w:rsidR="008E2094" w:rsidRPr="008E2094">
        <w:rPr>
          <w:rtl/>
        </w:rPr>
        <w:t xml:space="preserve"> </w:t>
      </w:r>
      <w:r w:rsidR="002065BF">
        <w:rPr>
          <w:rtl/>
        </w:rPr>
        <w:t>בהם</w:t>
      </w:r>
      <w:r w:rsidR="008E2094" w:rsidRPr="008E2094">
        <w:rPr>
          <w:rtl/>
        </w:rPr>
        <w:t xml:space="preserve"> עוד צפויים להעסיק את הקהילייה המשפטית בעתיד.</w:t>
      </w:r>
      <w:r w:rsidR="002E4A6F">
        <w:rPr>
          <w:rtl/>
        </w:rPr>
        <w:t xml:space="preserve">  </w:t>
      </w:r>
    </w:p>
    <w:sectPr w:rsidR="008E2094" w:rsidRPr="008E2094">
      <w:headerReference w:type="even" r:id="rId9"/>
      <w:headerReference w:type="default" r:id="rId10"/>
      <w:type w:val="continuous"/>
      <w:pgSz w:w="11907" w:h="16840" w:code="9"/>
      <w:pgMar w:top="737" w:right="1021" w:bottom="1077" w:left="1021" w:header="709" w:footer="340" w:gutter="0"/>
      <w:cols w:num="2" w:space="709" w:equalWidth="0">
        <w:col w:w="4578" w:space="709"/>
        <w:col w:w="4578"/>
      </w:cols>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BD2" w:rsidRDefault="00861BD2" w:rsidP="004375C4">
      <w:r>
        <w:separator/>
      </w:r>
    </w:p>
  </w:endnote>
  <w:endnote w:type="continuationSeparator" w:id="0">
    <w:p w:rsidR="00861BD2" w:rsidRDefault="00861BD2" w:rsidP="004375C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RmzRashi">
    <w:altName w:val="Times New Roman"/>
    <w:panose1 w:val="00000000000000000000"/>
    <w:charset w:val="B1"/>
    <w:family w:val="swiss"/>
    <w:notTrueType/>
    <w:pitch w:val="variable"/>
    <w:sig w:usb0="00000801" w:usb1="00000000" w:usb2="00000000" w:usb3="00000000" w:csb0="00000020" w:csb1="00000000"/>
  </w:font>
  <w:font w:name="Arial">
    <w:altName w:val="Times New Roman"/>
    <w:panose1 w:val="020B0604020202020204"/>
    <w:charset w:val="00"/>
    <w:family w:val="swiss"/>
    <w:pitch w:val="variable"/>
    <w:sig w:usb0="E0002AFF" w:usb1="C0007843"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avid">
    <w:altName w:val="Times New Roman"/>
    <w:panose1 w:val="020E0502060401010101"/>
    <w:charset w:val="00"/>
    <w:family w:val="swiss"/>
    <w:pitch w:val="variable"/>
    <w:sig w:usb0="00000803" w:usb1="00000000" w:usb2="00000000" w:usb3="00000000" w:csb0="00000021" w:csb1="00000000"/>
  </w:font>
  <w:font w:name="Tahoma">
    <w:altName w:val="Times New Roman"/>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Arial Unicode MS"/>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BD2" w:rsidRDefault="00861BD2" w:rsidP="004375C4">
      <w:pPr>
        <w:rPr>
          <w:szCs w:val="20"/>
        </w:rPr>
      </w:pPr>
      <w:r>
        <w:rPr>
          <w:rtl/>
        </w:rPr>
        <w:separator/>
      </w:r>
    </w:p>
  </w:footnote>
  <w:footnote w:type="continuationSeparator" w:id="0">
    <w:p w:rsidR="00861BD2" w:rsidRDefault="00861BD2" w:rsidP="004375C4">
      <w:r>
        <w:continuationSeparator/>
      </w:r>
    </w:p>
  </w:footnote>
  <w:footnote w:id="1">
    <w:p w:rsidR="00146D1D" w:rsidRPr="00020D5E" w:rsidRDefault="00146D1D" w:rsidP="00246881">
      <w:pPr>
        <w:pStyle w:val="a7"/>
        <w:rPr>
          <w:rFonts w:ascii="Calibri" w:hAnsi="Calibri"/>
          <w:sz w:val="20"/>
          <w:rtl/>
        </w:rPr>
      </w:pPr>
      <w:r w:rsidRPr="00020D5E">
        <w:rPr>
          <w:rFonts w:ascii="Calibri" w:hAnsi="Calibri"/>
          <w:sz w:val="20"/>
          <w:vertAlign w:val="superscript"/>
          <w:rtl/>
        </w:rPr>
        <w:t>*</w:t>
      </w:r>
      <w:r w:rsidR="00AD71E7">
        <w:rPr>
          <w:rFonts w:ascii="Calibri" w:hAnsi="Calibri"/>
          <w:sz w:val="20"/>
          <w:rtl/>
        </w:rPr>
        <w:t xml:space="preserve"> </w:t>
      </w:r>
      <w:r w:rsidRPr="00020D5E">
        <w:rPr>
          <w:rFonts w:ascii="Calibri" w:hAnsi="Calibri" w:hint="eastAsia"/>
          <w:sz w:val="20"/>
          <w:rtl/>
        </w:rPr>
        <w:t>עו</w:t>
      </w:r>
      <w:r w:rsidRPr="00020D5E">
        <w:rPr>
          <w:rFonts w:ascii="Calibri" w:hAnsi="Calibri"/>
          <w:sz w:val="20"/>
          <w:rtl/>
        </w:rPr>
        <w:t>"</w:t>
      </w:r>
      <w:r w:rsidRPr="00020D5E">
        <w:rPr>
          <w:rFonts w:ascii="Calibri" w:hAnsi="Calibri" w:hint="eastAsia"/>
          <w:sz w:val="20"/>
          <w:rtl/>
        </w:rPr>
        <w:t>ד</w:t>
      </w:r>
      <w:r w:rsidRPr="00020D5E">
        <w:rPr>
          <w:rFonts w:ascii="Calibri" w:hAnsi="Calibri"/>
          <w:sz w:val="20"/>
          <w:rtl/>
        </w:rPr>
        <w:t xml:space="preserve"> </w:t>
      </w:r>
      <w:r w:rsidRPr="00020D5E">
        <w:rPr>
          <w:rFonts w:ascii="Calibri" w:hAnsi="Calibri" w:hint="eastAsia"/>
          <w:sz w:val="20"/>
          <w:rtl/>
        </w:rPr>
        <w:t>שמואל</w:t>
      </w:r>
      <w:r w:rsidRPr="00020D5E">
        <w:rPr>
          <w:rFonts w:ascii="Calibri" w:hAnsi="Calibri"/>
          <w:sz w:val="20"/>
          <w:rtl/>
        </w:rPr>
        <w:t xml:space="preserve"> </w:t>
      </w:r>
      <w:r w:rsidRPr="00020D5E">
        <w:rPr>
          <w:rFonts w:ascii="Calibri" w:hAnsi="Calibri" w:hint="eastAsia"/>
          <w:sz w:val="20"/>
          <w:rtl/>
        </w:rPr>
        <w:t>שמעוני</w:t>
      </w:r>
      <w:r w:rsidRPr="00020D5E">
        <w:rPr>
          <w:rFonts w:ascii="Calibri" w:hAnsi="Calibri"/>
          <w:sz w:val="20"/>
          <w:rtl/>
        </w:rPr>
        <w:t xml:space="preserve">, </w:t>
      </w:r>
      <w:r w:rsidRPr="00020D5E">
        <w:rPr>
          <w:rFonts w:ascii="Calibri" w:hAnsi="Calibri" w:hint="eastAsia"/>
          <w:sz w:val="20"/>
          <w:rtl/>
        </w:rPr>
        <w:t>ר</w:t>
      </w:r>
      <w:r w:rsidRPr="00020D5E">
        <w:rPr>
          <w:rFonts w:ascii="Calibri" w:hAnsi="Calibri"/>
          <w:sz w:val="20"/>
          <w:rtl/>
        </w:rPr>
        <w:t>"</w:t>
      </w:r>
      <w:r w:rsidRPr="00020D5E">
        <w:rPr>
          <w:rFonts w:ascii="Calibri" w:hAnsi="Calibri" w:hint="eastAsia"/>
          <w:sz w:val="20"/>
          <w:rtl/>
        </w:rPr>
        <w:t>מ</w:t>
      </w:r>
      <w:r w:rsidRPr="00020D5E">
        <w:rPr>
          <w:rFonts w:ascii="Calibri" w:hAnsi="Calibri"/>
          <w:sz w:val="20"/>
          <w:rtl/>
        </w:rPr>
        <w:t xml:space="preserve"> </w:t>
      </w:r>
      <w:r w:rsidRPr="00020D5E">
        <w:rPr>
          <w:rFonts w:ascii="Calibri" w:hAnsi="Calibri" w:hint="eastAsia"/>
          <w:sz w:val="20"/>
          <w:rtl/>
        </w:rPr>
        <w:t>בישיבת</w:t>
      </w:r>
      <w:r w:rsidRPr="00020D5E">
        <w:rPr>
          <w:rFonts w:ascii="Calibri" w:hAnsi="Calibri"/>
          <w:sz w:val="20"/>
          <w:rtl/>
        </w:rPr>
        <w:t xml:space="preserve"> </w:t>
      </w:r>
      <w:r w:rsidRPr="00020D5E">
        <w:rPr>
          <w:rFonts w:ascii="Calibri" w:hAnsi="Calibri" w:hint="eastAsia"/>
          <w:sz w:val="20"/>
          <w:rtl/>
        </w:rPr>
        <w:t>הר</w:t>
      </w:r>
      <w:r>
        <w:rPr>
          <w:rFonts w:ascii="Calibri" w:hAnsi="Calibri"/>
          <w:sz w:val="20"/>
          <w:rtl/>
        </w:rPr>
        <w:t>-</w:t>
      </w:r>
      <w:r w:rsidRPr="00020D5E">
        <w:rPr>
          <w:rFonts w:ascii="Calibri" w:hAnsi="Calibri" w:hint="eastAsia"/>
          <w:sz w:val="20"/>
          <w:rtl/>
        </w:rPr>
        <w:t>עציון</w:t>
      </w:r>
      <w:r>
        <w:rPr>
          <w:rFonts w:ascii="Calibri" w:hAnsi="Calibri"/>
          <w:sz w:val="20"/>
          <w:rtl/>
        </w:rPr>
        <w:t>.</w:t>
      </w:r>
    </w:p>
    <w:p w:rsidR="00146D1D" w:rsidRDefault="00146D1D" w:rsidP="0093473B">
      <w:pPr>
        <w:pStyle w:val="a7"/>
        <w:rPr>
          <w:sz w:val="20"/>
          <w:rtl/>
        </w:rPr>
      </w:pPr>
    </w:p>
    <w:p w:rsidR="00000000" w:rsidRDefault="00146D1D" w:rsidP="0093473B">
      <w:pPr>
        <w:pStyle w:val="a7"/>
      </w:pPr>
      <w:r w:rsidRPr="008E2094">
        <w:rPr>
          <w:rStyle w:val="a6"/>
          <w:rFonts w:cs="FrankRuehl"/>
        </w:rPr>
        <w:footnoteRef/>
      </w:r>
      <w:r w:rsidRPr="008E2094">
        <w:rPr>
          <w:sz w:val="20"/>
          <w:rtl/>
        </w:rPr>
        <w:t xml:space="preserve"> ת"ע 108091/08 </w:t>
      </w:r>
      <w:r w:rsidRPr="008E2094">
        <w:rPr>
          <w:b/>
          <w:bCs/>
          <w:sz w:val="20"/>
          <w:rtl/>
        </w:rPr>
        <w:t>ח.א. נ' ר.א. ואח'</w:t>
      </w:r>
      <w:r w:rsidRPr="008E2094">
        <w:rPr>
          <w:sz w:val="20"/>
          <w:rtl/>
        </w:rPr>
        <w:t>, השופטת ש' גליק, 11.8.2012 (פורסם בנבו).</w:t>
      </w:r>
    </w:p>
  </w:footnote>
  <w:footnote w:id="2">
    <w:p w:rsidR="00000000" w:rsidRDefault="00146D1D">
      <w:pPr>
        <w:pStyle w:val="a7"/>
      </w:pPr>
      <w:r>
        <w:rPr>
          <w:rStyle w:val="a6"/>
          <w:rFonts w:cs="FrankRuehl"/>
        </w:rPr>
        <w:footnoteRef/>
      </w:r>
      <w:r>
        <w:rPr>
          <w:rtl/>
        </w:rPr>
        <w:t xml:space="preserve"> </w:t>
      </w:r>
      <w:r w:rsidRPr="008E2094">
        <w:rPr>
          <w:rtl/>
        </w:rPr>
        <w:t>פסקאות 21-20 לפסק הדין</w:t>
      </w:r>
      <w:r>
        <w:rPr>
          <w:rtl/>
        </w:rPr>
        <w:t>.</w:t>
      </w:r>
    </w:p>
  </w:footnote>
  <w:footnote w:id="3">
    <w:p w:rsidR="00000000" w:rsidRDefault="00146D1D" w:rsidP="004D3FF7">
      <w:pPr>
        <w:pStyle w:val="a7"/>
      </w:pPr>
      <w:r w:rsidRPr="008E2094">
        <w:rPr>
          <w:rStyle w:val="a6"/>
          <w:rFonts w:cs="FrankRuehl"/>
        </w:rPr>
        <w:footnoteRef/>
      </w:r>
      <w:r w:rsidRPr="008E2094">
        <w:rPr>
          <w:sz w:val="20"/>
          <w:rtl/>
        </w:rPr>
        <w:t xml:space="preserve"> בע"מ 9607/03 </w:t>
      </w:r>
      <w:r w:rsidRPr="008E2094">
        <w:rPr>
          <w:b/>
          <w:bCs/>
          <w:sz w:val="20"/>
          <w:rtl/>
        </w:rPr>
        <w:t>פלוני נ' פלונית</w:t>
      </w:r>
      <w:r w:rsidRPr="008E2094">
        <w:rPr>
          <w:sz w:val="20"/>
          <w:rtl/>
        </w:rPr>
        <w:t>, פסקה 16, 29.11.06 (פורסם באתר הרשות השופטת).</w:t>
      </w:r>
    </w:p>
  </w:footnote>
  <w:footnote w:id="4">
    <w:p w:rsidR="00000000" w:rsidRDefault="00146D1D" w:rsidP="005376BC">
      <w:pPr>
        <w:pStyle w:val="a7"/>
      </w:pPr>
      <w:r>
        <w:rPr>
          <w:rStyle w:val="a6"/>
        </w:rPr>
        <w:footnoteRef/>
      </w:r>
      <w:r>
        <w:rPr>
          <w:rtl/>
        </w:rPr>
        <w:t xml:space="preserve"> </w:t>
      </w:r>
      <w:r w:rsidRPr="008E2094">
        <w:rPr>
          <w:sz w:val="20"/>
          <w:rtl/>
        </w:rPr>
        <w:t>ת</w:t>
      </w:r>
      <w:r>
        <w:rPr>
          <w:sz w:val="20"/>
          <w:rtl/>
        </w:rPr>
        <w:t>כלית</w:t>
      </w:r>
      <w:r w:rsidRPr="008E2094">
        <w:rPr>
          <w:sz w:val="20"/>
          <w:rtl/>
        </w:rPr>
        <w:t xml:space="preserve"> זו </w:t>
      </w:r>
      <w:r>
        <w:rPr>
          <w:sz w:val="20"/>
          <w:rtl/>
        </w:rPr>
        <w:t xml:space="preserve">נזכרת </w:t>
      </w:r>
      <w:r w:rsidRPr="008E2094">
        <w:rPr>
          <w:sz w:val="20"/>
          <w:rtl/>
        </w:rPr>
        <w:t>בפסקי דין רבים</w:t>
      </w:r>
      <w:r>
        <w:rPr>
          <w:sz w:val="20"/>
          <w:rtl/>
        </w:rPr>
        <w:t xml:space="preserve"> כתכליתם של כל כללי הירושה על פי דין.</w:t>
      </w:r>
      <w:r w:rsidRPr="008E2094">
        <w:rPr>
          <w:sz w:val="20"/>
          <w:rtl/>
        </w:rPr>
        <w:t xml:space="preserve"> </w:t>
      </w:r>
      <w:r>
        <w:rPr>
          <w:sz w:val="20"/>
          <w:rtl/>
        </w:rPr>
        <w:t>ראה</w:t>
      </w:r>
      <w:r w:rsidRPr="008E2094">
        <w:rPr>
          <w:sz w:val="20"/>
          <w:rtl/>
        </w:rPr>
        <w:t xml:space="preserve"> למשל פסקה 17 לפסק דינה של השופטת ע' ארבל בדנ"א 7818/00 </w:t>
      </w:r>
      <w:r w:rsidRPr="008E2094">
        <w:rPr>
          <w:b/>
          <w:bCs/>
          <w:sz w:val="20"/>
          <w:rtl/>
        </w:rPr>
        <w:t>אהרן נ' אהרוני ואח'</w:t>
      </w:r>
      <w:r w:rsidRPr="008E2094">
        <w:rPr>
          <w:sz w:val="20"/>
          <w:rtl/>
        </w:rPr>
        <w:t>, פ"ד נט(6) 653</w:t>
      </w:r>
      <w:r>
        <w:rPr>
          <w:sz w:val="20"/>
          <w:rtl/>
        </w:rPr>
        <w:t>,</w:t>
      </w:r>
      <w:r w:rsidRPr="008E2094">
        <w:rPr>
          <w:sz w:val="20"/>
          <w:rtl/>
        </w:rPr>
        <w:t xml:space="preserve"> והמובא שם. </w:t>
      </w:r>
      <w:r>
        <w:rPr>
          <w:sz w:val="20"/>
          <w:rtl/>
        </w:rPr>
        <w:t xml:space="preserve">להלן, </w:t>
      </w:r>
      <w:r w:rsidRPr="008E2094">
        <w:rPr>
          <w:sz w:val="20"/>
          <w:rtl/>
        </w:rPr>
        <w:t>אביע הסתייגות מד</w:t>
      </w:r>
      <w:r>
        <w:rPr>
          <w:sz w:val="20"/>
          <w:rtl/>
        </w:rPr>
        <w:t>ע</w:t>
      </w:r>
      <w:r w:rsidRPr="008E2094">
        <w:rPr>
          <w:sz w:val="20"/>
          <w:rtl/>
        </w:rPr>
        <w:t>ה זו</w:t>
      </w:r>
      <w:r>
        <w:rPr>
          <w:sz w:val="20"/>
          <w:rtl/>
        </w:rPr>
        <w:t xml:space="preserve"> לא רק ביחס למשפט העברי אלא</w:t>
      </w:r>
      <w:r w:rsidRPr="008E2094">
        <w:rPr>
          <w:sz w:val="20"/>
          <w:rtl/>
        </w:rPr>
        <w:t xml:space="preserve"> אף ביחס למשפט הישראלי.</w:t>
      </w:r>
    </w:p>
  </w:footnote>
  <w:footnote w:id="5">
    <w:p w:rsidR="00000000" w:rsidRDefault="00146D1D" w:rsidP="00C05FDD">
      <w:pPr>
        <w:pStyle w:val="a7"/>
      </w:pPr>
      <w:r w:rsidRPr="008E2094">
        <w:rPr>
          <w:rStyle w:val="a6"/>
          <w:rFonts w:cs="FrankRuehl"/>
        </w:rPr>
        <w:footnoteRef/>
      </w:r>
      <w:r w:rsidRPr="008E2094">
        <w:rPr>
          <w:sz w:val="20"/>
          <w:rtl/>
        </w:rPr>
        <w:t xml:space="preserve"> כפי שציין בית המשפט לענייני משפחה, בכיוון זה </w:t>
      </w:r>
      <w:r>
        <w:rPr>
          <w:sz w:val="20"/>
          <w:rtl/>
        </w:rPr>
        <w:t xml:space="preserve">צעד </w:t>
      </w:r>
      <w:r w:rsidRPr="008E2094">
        <w:rPr>
          <w:sz w:val="20"/>
          <w:rtl/>
        </w:rPr>
        <w:t>בית המשפט העליון</w:t>
      </w:r>
      <w:r>
        <w:rPr>
          <w:sz w:val="20"/>
          <w:rtl/>
        </w:rPr>
        <w:t xml:space="preserve"> צעד ראשון </w:t>
      </w:r>
      <w:r w:rsidRPr="008E2094">
        <w:rPr>
          <w:sz w:val="20"/>
          <w:rtl/>
        </w:rPr>
        <w:t xml:space="preserve">בע"א 247/97 </w:t>
      </w:r>
      <w:r w:rsidRPr="008E2094">
        <w:rPr>
          <w:b/>
          <w:bCs/>
          <w:sz w:val="20"/>
          <w:rtl/>
        </w:rPr>
        <w:t>סבג נ' סבג</w:t>
      </w:r>
      <w:r w:rsidRPr="008E2094">
        <w:rPr>
          <w:sz w:val="20"/>
          <w:rtl/>
        </w:rPr>
        <w:t>, פ"ד נ"ג(4) 49.</w:t>
      </w:r>
    </w:p>
  </w:footnote>
  <w:footnote w:id="6">
    <w:p w:rsidR="00000000" w:rsidRDefault="00146D1D" w:rsidP="008E2094">
      <w:pPr>
        <w:pStyle w:val="a7"/>
      </w:pPr>
      <w:r w:rsidRPr="008E2094">
        <w:rPr>
          <w:rStyle w:val="a6"/>
          <w:rFonts w:cs="FrankRuehl"/>
        </w:rPr>
        <w:footnoteRef/>
      </w:r>
      <w:r w:rsidRPr="008E2094">
        <w:rPr>
          <w:sz w:val="20"/>
          <w:rtl/>
        </w:rPr>
        <w:t xml:space="preserve"> לא במקרה בחרה השופטת גליק להסתמך בדבריה (פסקה 25) על דעת המיעוט הידועה של השופט (כתוארו אז) ברק בד"נ 40/80 </w:t>
      </w:r>
      <w:r w:rsidRPr="008E2094">
        <w:rPr>
          <w:b/>
          <w:bCs/>
          <w:sz w:val="20"/>
          <w:rtl/>
        </w:rPr>
        <w:t>פאול קניג נ' יהושע כהן</w:t>
      </w:r>
      <w:r w:rsidRPr="008E2094">
        <w:rPr>
          <w:sz w:val="20"/>
          <w:rtl/>
        </w:rPr>
        <w:t>, פ"ד לו(3) 701.</w:t>
      </w:r>
    </w:p>
  </w:footnote>
  <w:footnote w:id="7">
    <w:p w:rsidR="00000000" w:rsidRDefault="00146D1D" w:rsidP="00966E5B">
      <w:pPr>
        <w:pStyle w:val="a7"/>
      </w:pPr>
      <w:r>
        <w:rPr>
          <w:rStyle w:val="a6"/>
          <w:rFonts w:cs="FrankRuehl"/>
        </w:rPr>
        <w:footnoteRef/>
      </w:r>
      <w:r>
        <w:rPr>
          <w:rtl/>
        </w:rPr>
        <w:t xml:space="preserve"> </w:t>
      </w:r>
      <w:r w:rsidRPr="008E2094">
        <w:rPr>
          <w:rtl/>
        </w:rPr>
        <w:t>משנה בב</w:t>
      </w:r>
      <w:r>
        <w:rPr>
          <w:rtl/>
        </w:rPr>
        <w:t>א בתרא</w:t>
      </w:r>
      <w:r w:rsidRPr="008E2094">
        <w:rPr>
          <w:rtl/>
        </w:rPr>
        <w:t xml:space="preserve"> ח, ה</w:t>
      </w:r>
      <w:r>
        <w:rPr>
          <w:rtl/>
        </w:rPr>
        <w:t>.</w:t>
      </w:r>
    </w:p>
  </w:footnote>
  <w:footnote w:id="8">
    <w:p w:rsidR="00000000" w:rsidRDefault="00146D1D" w:rsidP="00310C04">
      <w:pPr>
        <w:pStyle w:val="a7"/>
      </w:pPr>
      <w:r w:rsidRPr="008E2094">
        <w:rPr>
          <w:rStyle w:val="a6"/>
          <w:rFonts w:cs="FrankRuehl"/>
        </w:rPr>
        <w:footnoteRef/>
      </w:r>
      <w:r w:rsidRPr="008E2094">
        <w:rPr>
          <w:sz w:val="20"/>
          <w:rtl/>
        </w:rPr>
        <w:t xml:space="preserve"> חידושי הרשב"א, נדרים לד ע"ב</w:t>
      </w:r>
      <w:r>
        <w:rPr>
          <w:sz w:val="20"/>
          <w:rtl/>
        </w:rPr>
        <w:t>,</w:t>
      </w:r>
      <w:r w:rsidRPr="008E2094">
        <w:rPr>
          <w:sz w:val="20"/>
          <w:rtl/>
        </w:rPr>
        <w:t xml:space="preserve"> ד"ה א"ל.</w:t>
      </w:r>
    </w:p>
  </w:footnote>
  <w:footnote w:id="9">
    <w:p w:rsidR="00000000" w:rsidRDefault="00146D1D" w:rsidP="004D3FF7">
      <w:pPr>
        <w:pStyle w:val="a7"/>
      </w:pPr>
      <w:r w:rsidRPr="008E2094">
        <w:rPr>
          <w:rStyle w:val="a6"/>
          <w:rFonts w:cs="FrankRuehl"/>
        </w:rPr>
        <w:footnoteRef/>
      </w:r>
      <w:r w:rsidRPr="008E2094">
        <w:rPr>
          <w:sz w:val="20"/>
          <w:rtl/>
        </w:rPr>
        <w:t xml:space="preserve"> </w:t>
      </w:r>
      <w:r>
        <w:rPr>
          <w:sz w:val="20"/>
          <w:rtl/>
        </w:rPr>
        <w:t>ראה:</w:t>
      </w:r>
      <w:r w:rsidRPr="008E2094">
        <w:rPr>
          <w:sz w:val="20"/>
          <w:rtl/>
        </w:rPr>
        <w:t xml:space="preserve"> י' ריבלין</w:t>
      </w:r>
      <w:r>
        <w:rPr>
          <w:sz w:val="20"/>
          <w:rtl/>
        </w:rPr>
        <w:t>,</w:t>
      </w:r>
      <w:r w:rsidRPr="008E2094">
        <w:rPr>
          <w:sz w:val="20"/>
          <w:rtl/>
        </w:rPr>
        <w:t xml:space="preserve"> </w:t>
      </w:r>
      <w:r w:rsidRPr="008E2094">
        <w:rPr>
          <w:b/>
          <w:bCs/>
          <w:sz w:val="20"/>
          <w:rtl/>
        </w:rPr>
        <w:t>הירושה והצוואה במשפט העברי</w:t>
      </w:r>
      <w:r>
        <w:rPr>
          <w:sz w:val="20"/>
          <w:rtl/>
        </w:rPr>
        <w:t>, ירושלים תשנ"ט</w:t>
      </w:r>
      <w:r w:rsidRPr="008E2094">
        <w:rPr>
          <w:sz w:val="20"/>
          <w:rtl/>
        </w:rPr>
        <w:t xml:space="preserve">; </w:t>
      </w:r>
      <w:r w:rsidRPr="008E2094">
        <w:rPr>
          <w:spacing w:val="-2"/>
          <w:sz w:val="20"/>
          <w:rtl/>
        </w:rPr>
        <w:t>מ' ויגודה, "על הצוואה", פרשת השבוע, ויחי, תשס"ג, גיליון מס' 104</w:t>
      </w:r>
      <w:r w:rsidRPr="008E2094">
        <w:rPr>
          <w:sz w:val="20"/>
          <w:rtl/>
        </w:rPr>
        <w:t>.</w:t>
      </w:r>
    </w:p>
  </w:footnote>
  <w:footnote w:id="10">
    <w:p w:rsidR="00000000" w:rsidRDefault="00146D1D" w:rsidP="00246881">
      <w:pPr>
        <w:pStyle w:val="a7"/>
      </w:pPr>
      <w:r w:rsidRPr="008E2094">
        <w:rPr>
          <w:rStyle w:val="a6"/>
          <w:rFonts w:cs="FrankRuehl"/>
        </w:rPr>
        <w:footnoteRef/>
      </w:r>
      <w:r w:rsidRPr="008E2094">
        <w:rPr>
          <w:sz w:val="20"/>
          <w:rtl/>
        </w:rPr>
        <w:t xml:space="preserve"> </w:t>
      </w:r>
      <w:r>
        <w:rPr>
          <w:sz w:val="20"/>
          <w:rtl/>
        </w:rPr>
        <w:t>השווה</w:t>
      </w:r>
      <w:r w:rsidRPr="008E2094">
        <w:rPr>
          <w:sz w:val="20"/>
          <w:rtl/>
        </w:rPr>
        <w:t xml:space="preserve"> לד</w:t>
      </w:r>
      <w:r>
        <w:rPr>
          <w:sz w:val="20"/>
          <w:rtl/>
        </w:rPr>
        <w:t>ע</w:t>
      </w:r>
      <w:r w:rsidRPr="008E2094">
        <w:rPr>
          <w:sz w:val="20"/>
          <w:rtl/>
        </w:rPr>
        <w:t>ה המפתיעה עד למאוד שהביעו</w:t>
      </w:r>
      <w:r>
        <w:rPr>
          <w:sz w:val="20"/>
          <w:rtl/>
        </w:rPr>
        <w:t>:</w:t>
      </w:r>
      <w:r w:rsidRPr="008E2094">
        <w:rPr>
          <w:sz w:val="20"/>
          <w:rtl/>
        </w:rPr>
        <w:t xml:space="preserve"> הרב יחזקאל אברמסקי</w:t>
      </w:r>
      <w:r>
        <w:rPr>
          <w:sz w:val="20"/>
          <w:rtl/>
        </w:rPr>
        <w:t>,</w:t>
      </w:r>
      <w:r w:rsidRPr="008E2094">
        <w:rPr>
          <w:sz w:val="20"/>
          <w:rtl/>
        </w:rPr>
        <w:t xml:space="preserve"> </w:t>
      </w:r>
      <w:r w:rsidRPr="008E2094">
        <w:rPr>
          <w:b/>
          <w:bCs/>
          <w:sz w:val="20"/>
          <w:rtl/>
        </w:rPr>
        <w:t>דיני ממונות</w:t>
      </w:r>
      <w:r>
        <w:rPr>
          <w:b/>
          <w:bCs/>
          <w:sz w:val="20"/>
          <w:rtl/>
        </w:rPr>
        <w:t xml:space="preserve"> (</w:t>
      </w:r>
      <w:r w:rsidRPr="008E2094">
        <w:rPr>
          <w:b/>
          <w:bCs/>
          <w:sz w:val="20"/>
          <w:rtl/>
        </w:rPr>
        <w:t>הגדרת סוגיהם</w:t>
      </w:r>
      <w:r>
        <w:rPr>
          <w:b/>
          <w:bCs/>
          <w:sz w:val="20"/>
          <w:rtl/>
        </w:rPr>
        <w:t>)</w:t>
      </w:r>
      <w:r>
        <w:rPr>
          <w:sz w:val="20"/>
          <w:rtl/>
        </w:rPr>
        <w:t>, לונדון תרצ"ט, עמ'</w:t>
      </w:r>
      <w:r w:rsidRPr="008E2094">
        <w:rPr>
          <w:sz w:val="20"/>
          <w:rtl/>
        </w:rPr>
        <w:t xml:space="preserve"> 21-20; ש' אלבק</w:t>
      </w:r>
      <w:r>
        <w:rPr>
          <w:sz w:val="20"/>
          <w:rtl/>
        </w:rPr>
        <w:t>,</w:t>
      </w:r>
      <w:r w:rsidRPr="008E2094">
        <w:rPr>
          <w:sz w:val="20"/>
          <w:rtl/>
        </w:rPr>
        <w:t xml:space="preserve"> </w:t>
      </w:r>
      <w:r w:rsidRPr="008E2094">
        <w:rPr>
          <w:b/>
          <w:bCs/>
          <w:sz w:val="20"/>
          <w:rtl/>
        </w:rPr>
        <w:t>יסודות בדיני הממונות בתלמוד</w:t>
      </w:r>
      <w:r>
        <w:rPr>
          <w:sz w:val="20"/>
          <w:rtl/>
        </w:rPr>
        <w:t>,</w:t>
      </w:r>
      <w:r w:rsidRPr="008E2094">
        <w:rPr>
          <w:sz w:val="20"/>
          <w:rtl/>
        </w:rPr>
        <w:t xml:space="preserve"> </w:t>
      </w:r>
      <w:r>
        <w:rPr>
          <w:sz w:val="20"/>
          <w:rtl/>
        </w:rPr>
        <w:t>רמת-גן</w:t>
      </w:r>
      <w:r w:rsidRPr="008E2094">
        <w:rPr>
          <w:sz w:val="20"/>
          <w:rtl/>
        </w:rPr>
        <w:t xml:space="preserve"> תשנ"ד</w:t>
      </w:r>
      <w:r>
        <w:rPr>
          <w:sz w:val="20"/>
          <w:rtl/>
        </w:rPr>
        <w:t>, עמ'</w:t>
      </w:r>
      <w:r w:rsidRPr="008E2094">
        <w:rPr>
          <w:sz w:val="20"/>
          <w:rtl/>
        </w:rPr>
        <w:t xml:space="preserve"> 276, 282. </w:t>
      </w:r>
    </w:p>
  </w:footnote>
  <w:footnote w:id="11">
    <w:p w:rsidR="00000000" w:rsidRDefault="00146D1D" w:rsidP="00712A1E">
      <w:pPr>
        <w:pStyle w:val="a7"/>
      </w:pPr>
      <w:r w:rsidRPr="008E2094">
        <w:rPr>
          <w:rStyle w:val="a6"/>
          <w:rFonts w:cs="FrankRuehl"/>
        </w:rPr>
        <w:footnoteRef/>
      </w:r>
      <w:r w:rsidRPr="008E2094">
        <w:rPr>
          <w:sz w:val="20"/>
          <w:rtl/>
        </w:rPr>
        <w:t xml:space="preserve"> רמב"ם, הל</w:t>
      </w:r>
      <w:r>
        <w:rPr>
          <w:sz w:val="20"/>
          <w:rtl/>
        </w:rPr>
        <w:t>כות</w:t>
      </w:r>
      <w:r w:rsidRPr="008E2094">
        <w:rPr>
          <w:sz w:val="20"/>
          <w:rtl/>
        </w:rPr>
        <w:t xml:space="preserve"> אישות</w:t>
      </w:r>
      <w:r>
        <w:rPr>
          <w:sz w:val="20"/>
          <w:rtl/>
        </w:rPr>
        <w:t>,</w:t>
      </w:r>
      <w:r w:rsidRPr="008E2094">
        <w:rPr>
          <w:sz w:val="20"/>
          <w:rtl/>
        </w:rPr>
        <w:t xml:space="preserve"> פ</w:t>
      </w:r>
      <w:r>
        <w:rPr>
          <w:sz w:val="20"/>
          <w:rtl/>
        </w:rPr>
        <w:t xml:space="preserve">רק </w:t>
      </w:r>
      <w:r w:rsidRPr="008E2094">
        <w:rPr>
          <w:sz w:val="20"/>
          <w:rtl/>
        </w:rPr>
        <w:t>יח</w:t>
      </w:r>
      <w:r>
        <w:rPr>
          <w:sz w:val="20"/>
          <w:rtl/>
        </w:rPr>
        <w:t>,</w:t>
      </w:r>
      <w:r w:rsidRPr="008E2094">
        <w:rPr>
          <w:sz w:val="20"/>
          <w:rtl/>
        </w:rPr>
        <w:t xml:space="preserve"> ה</w:t>
      </w:r>
      <w:r>
        <w:rPr>
          <w:sz w:val="20"/>
          <w:rtl/>
        </w:rPr>
        <w:t xml:space="preserve">לכה </w:t>
      </w:r>
      <w:r w:rsidRPr="008E2094">
        <w:rPr>
          <w:sz w:val="20"/>
          <w:rtl/>
        </w:rPr>
        <w:t>א.</w:t>
      </w:r>
    </w:p>
  </w:footnote>
  <w:footnote w:id="12">
    <w:p w:rsidR="00000000" w:rsidRDefault="00146D1D" w:rsidP="00712A1E">
      <w:pPr>
        <w:pStyle w:val="a7"/>
      </w:pPr>
      <w:r w:rsidRPr="008E2094">
        <w:rPr>
          <w:rStyle w:val="a6"/>
          <w:rFonts w:cs="FrankRuehl"/>
        </w:rPr>
        <w:footnoteRef/>
      </w:r>
      <w:r w:rsidRPr="008E2094">
        <w:rPr>
          <w:sz w:val="20"/>
          <w:rtl/>
        </w:rPr>
        <w:t xml:space="preserve"> רמב"ם, הל</w:t>
      </w:r>
      <w:r>
        <w:rPr>
          <w:sz w:val="20"/>
          <w:rtl/>
        </w:rPr>
        <w:t>כות</w:t>
      </w:r>
      <w:r w:rsidRPr="008E2094">
        <w:rPr>
          <w:sz w:val="20"/>
          <w:rtl/>
        </w:rPr>
        <w:t xml:space="preserve"> נחלות</w:t>
      </w:r>
      <w:r>
        <w:rPr>
          <w:sz w:val="20"/>
          <w:rtl/>
        </w:rPr>
        <w:t>,</w:t>
      </w:r>
      <w:r w:rsidRPr="008E2094">
        <w:rPr>
          <w:sz w:val="20"/>
          <w:rtl/>
        </w:rPr>
        <w:t xml:space="preserve"> פ</w:t>
      </w:r>
      <w:r>
        <w:rPr>
          <w:sz w:val="20"/>
          <w:rtl/>
        </w:rPr>
        <w:t xml:space="preserve">רק </w:t>
      </w:r>
      <w:r w:rsidRPr="008E2094">
        <w:rPr>
          <w:sz w:val="20"/>
          <w:rtl/>
        </w:rPr>
        <w:t>א</w:t>
      </w:r>
      <w:r>
        <w:rPr>
          <w:sz w:val="20"/>
          <w:rtl/>
        </w:rPr>
        <w:t>,</w:t>
      </w:r>
      <w:r w:rsidRPr="008E2094">
        <w:rPr>
          <w:sz w:val="20"/>
          <w:rtl/>
        </w:rPr>
        <w:t xml:space="preserve"> ה</w:t>
      </w:r>
      <w:r>
        <w:rPr>
          <w:sz w:val="20"/>
          <w:rtl/>
        </w:rPr>
        <w:t xml:space="preserve">לכה </w:t>
      </w:r>
      <w:r w:rsidRPr="008E2094">
        <w:rPr>
          <w:sz w:val="20"/>
          <w:rtl/>
        </w:rPr>
        <w:t>ח.</w:t>
      </w:r>
    </w:p>
  </w:footnote>
  <w:footnote w:id="13">
    <w:p w:rsidR="00000000" w:rsidRDefault="00146D1D" w:rsidP="00D44178">
      <w:pPr>
        <w:pStyle w:val="a7"/>
      </w:pPr>
      <w:r w:rsidRPr="008E2094">
        <w:rPr>
          <w:rStyle w:val="a6"/>
          <w:rFonts w:cs="FrankRuehl"/>
        </w:rPr>
        <w:footnoteRef/>
      </w:r>
      <w:r w:rsidRPr="008E2094">
        <w:rPr>
          <w:sz w:val="20"/>
          <w:rtl/>
        </w:rPr>
        <w:t xml:space="preserve"> </w:t>
      </w:r>
      <w:r>
        <w:rPr>
          <w:sz w:val="20"/>
          <w:rtl/>
        </w:rPr>
        <w:t>ראה</w:t>
      </w:r>
      <w:r w:rsidRPr="008E2094">
        <w:rPr>
          <w:sz w:val="20"/>
          <w:rtl/>
        </w:rPr>
        <w:t xml:space="preserve"> בכורות נב ע"ב.</w:t>
      </w:r>
    </w:p>
  </w:footnote>
  <w:footnote w:id="14">
    <w:p w:rsidR="00000000" w:rsidRDefault="00146D1D">
      <w:pPr>
        <w:pStyle w:val="a7"/>
      </w:pPr>
      <w:r>
        <w:rPr>
          <w:rStyle w:val="a6"/>
          <w:rFonts w:cs="FrankRuehl"/>
        </w:rPr>
        <w:footnoteRef/>
      </w:r>
      <w:r>
        <w:rPr>
          <w:rtl/>
        </w:rPr>
        <w:t xml:space="preserve"> </w:t>
      </w:r>
      <w:r w:rsidRPr="008E2094">
        <w:rPr>
          <w:rtl/>
        </w:rPr>
        <w:t>בבא בתרא קיא ע"ב</w:t>
      </w:r>
      <w:r>
        <w:rPr>
          <w:rtl/>
        </w:rPr>
        <w:t>.</w:t>
      </w:r>
    </w:p>
  </w:footnote>
  <w:footnote w:id="15">
    <w:p w:rsidR="00000000" w:rsidRDefault="00146D1D" w:rsidP="00246881">
      <w:pPr>
        <w:pStyle w:val="a7"/>
      </w:pPr>
      <w:r w:rsidRPr="008E2094">
        <w:rPr>
          <w:rStyle w:val="a6"/>
          <w:rFonts w:cs="FrankRuehl"/>
        </w:rPr>
        <w:footnoteRef/>
      </w:r>
      <w:r w:rsidRPr="008E2094">
        <w:rPr>
          <w:sz w:val="20"/>
          <w:rtl/>
        </w:rPr>
        <w:t xml:space="preserve"> תוספות, בבא בתרא קיג ע"א</w:t>
      </w:r>
      <w:r>
        <w:rPr>
          <w:sz w:val="20"/>
          <w:rtl/>
        </w:rPr>
        <w:t>,</w:t>
      </w:r>
      <w:r w:rsidRPr="008E2094">
        <w:rPr>
          <w:sz w:val="20"/>
          <w:rtl/>
        </w:rPr>
        <w:t xml:space="preserve"> ד"ה מתה</w:t>
      </w:r>
      <w:r>
        <w:rPr>
          <w:sz w:val="20"/>
          <w:rtl/>
        </w:rPr>
        <w:t>.</w:t>
      </w:r>
      <w:r w:rsidRPr="008E2094">
        <w:rPr>
          <w:sz w:val="20"/>
          <w:rtl/>
        </w:rPr>
        <w:t xml:space="preserve"> ו</w:t>
      </w:r>
      <w:r>
        <w:rPr>
          <w:sz w:val="20"/>
          <w:rtl/>
        </w:rPr>
        <w:t>ראה</w:t>
      </w:r>
      <w:r w:rsidRPr="008E2094">
        <w:rPr>
          <w:sz w:val="20"/>
          <w:rtl/>
        </w:rPr>
        <w:t xml:space="preserve"> גם רשב"ם, שם, קיא ע"ב</w:t>
      </w:r>
      <w:r>
        <w:rPr>
          <w:sz w:val="20"/>
          <w:rtl/>
        </w:rPr>
        <w:t>,</w:t>
      </w:r>
      <w:r w:rsidRPr="008E2094">
        <w:rPr>
          <w:sz w:val="20"/>
          <w:rtl/>
        </w:rPr>
        <w:t xml:space="preserve"> ד"ה האיש, </w:t>
      </w:r>
      <w:r>
        <w:rPr>
          <w:sz w:val="20"/>
          <w:rtl/>
        </w:rPr>
        <w:t xml:space="preserve">וד"ה </w:t>
      </w:r>
      <w:r w:rsidRPr="008E2094">
        <w:rPr>
          <w:sz w:val="20"/>
          <w:rtl/>
        </w:rPr>
        <w:t>ושארו.</w:t>
      </w:r>
    </w:p>
  </w:footnote>
  <w:footnote w:id="16">
    <w:p w:rsidR="00000000" w:rsidRDefault="00146D1D" w:rsidP="00D44178">
      <w:pPr>
        <w:pStyle w:val="a7"/>
      </w:pPr>
      <w:r w:rsidRPr="008E2094">
        <w:rPr>
          <w:rStyle w:val="a6"/>
          <w:rFonts w:cs="FrankRuehl"/>
        </w:rPr>
        <w:footnoteRef/>
      </w:r>
      <w:r w:rsidRPr="008E2094">
        <w:rPr>
          <w:sz w:val="20"/>
          <w:rtl/>
        </w:rPr>
        <w:t xml:space="preserve"> </w:t>
      </w:r>
      <w:r>
        <w:rPr>
          <w:sz w:val="20"/>
          <w:rtl/>
        </w:rPr>
        <w:t>בבא מציעא</w:t>
      </w:r>
      <w:r w:rsidRPr="008E2094">
        <w:rPr>
          <w:sz w:val="20"/>
          <w:rtl/>
        </w:rPr>
        <w:t xml:space="preserve"> יח ע"א.</w:t>
      </w:r>
    </w:p>
  </w:footnote>
  <w:footnote w:id="17">
    <w:p w:rsidR="00000000" w:rsidRDefault="00146D1D" w:rsidP="008E2094">
      <w:pPr>
        <w:pStyle w:val="a7"/>
      </w:pPr>
      <w:r w:rsidRPr="008E2094">
        <w:rPr>
          <w:rStyle w:val="a6"/>
          <w:rFonts w:cs="FrankRuehl"/>
        </w:rPr>
        <w:footnoteRef/>
      </w:r>
      <w:r w:rsidRPr="008E2094">
        <w:rPr>
          <w:sz w:val="20"/>
          <w:rtl/>
        </w:rPr>
        <w:t xml:space="preserve"> שם, ד"ה ולא, </w:t>
      </w:r>
      <w:r>
        <w:rPr>
          <w:sz w:val="20"/>
          <w:rtl/>
        </w:rPr>
        <w:t xml:space="preserve">וד"ה </w:t>
      </w:r>
      <w:r w:rsidRPr="008E2094">
        <w:rPr>
          <w:sz w:val="20"/>
          <w:rtl/>
        </w:rPr>
        <w:t>מתה.</w:t>
      </w:r>
    </w:p>
  </w:footnote>
  <w:footnote w:id="18">
    <w:p w:rsidR="00000000" w:rsidRDefault="00146D1D" w:rsidP="00246881">
      <w:pPr>
        <w:pStyle w:val="a7"/>
      </w:pPr>
      <w:r w:rsidRPr="008E2094">
        <w:rPr>
          <w:rStyle w:val="a6"/>
          <w:rFonts w:cs="FrankRuehl"/>
        </w:rPr>
        <w:footnoteRef/>
      </w:r>
      <w:r w:rsidRPr="008E2094">
        <w:rPr>
          <w:sz w:val="20"/>
          <w:rtl/>
        </w:rPr>
        <w:t xml:space="preserve"> כפי שראינו לעיל ב</w:t>
      </w:r>
      <w:r>
        <w:rPr>
          <w:sz w:val="20"/>
          <w:rtl/>
        </w:rPr>
        <w:t>ענ</w:t>
      </w:r>
      <w:r w:rsidRPr="008E2094">
        <w:rPr>
          <w:sz w:val="20"/>
          <w:rtl/>
        </w:rPr>
        <w:t>י</w:t>
      </w:r>
      <w:r>
        <w:rPr>
          <w:sz w:val="20"/>
          <w:rtl/>
        </w:rPr>
        <w:t>ין</w:t>
      </w:r>
      <w:r w:rsidRPr="008E2094">
        <w:rPr>
          <w:sz w:val="20"/>
          <w:rtl/>
        </w:rPr>
        <w:t xml:space="preserve"> ירושה. </w:t>
      </w:r>
      <w:r>
        <w:rPr>
          <w:sz w:val="20"/>
          <w:rtl/>
        </w:rPr>
        <w:t>ו</w:t>
      </w:r>
      <w:r w:rsidRPr="008E2094">
        <w:rPr>
          <w:sz w:val="20"/>
          <w:rtl/>
        </w:rPr>
        <w:t>ל</w:t>
      </w:r>
      <w:r>
        <w:rPr>
          <w:sz w:val="20"/>
          <w:rtl/>
        </w:rPr>
        <w:t>עניין</w:t>
      </w:r>
      <w:r w:rsidRPr="008E2094">
        <w:rPr>
          <w:sz w:val="20"/>
          <w:rtl/>
        </w:rPr>
        <w:t xml:space="preserve"> היתר טומאה נ</w:t>
      </w:r>
      <w:r>
        <w:rPr>
          <w:sz w:val="20"/>
          <w:rtl/>
        </w:rPr>
        <w:t>אמר:</w:t>
      </w:r>
      <w:r w:rsidRPr="008E2094">
        <w:rPr>
          <w:sz w:val="20"/>
          <w:rtl/>
        </w:rPr>
        <w:t xml:space="preserve"> "כי אם לשארו הקרב אליו" (ויקרא כא, ב).</w:t>
      </w:r>
    </w:p>
  </w:footnote>
  <w:footnote w:id="19">
    <w:p w:rsidR="00000000" w:rsidRDefault="00146D1D" w:rsidP="00246881">
      <w:pPr>
        <w:pStyle w:val="a7"/>
      </w:pPr>
      <w:r w:rsidRPr="008E2094">
        <w:rPr>
          <w:rStyle w:val="a6"/>
          <w:rFonts w:cs="FrankRuehl"/>
        </w:rPr>
        <w:footnoteRef/>
      </w:r>
      <w:r w:rsidRPr="008E2094">
        <w:rPr>
          <w:sz w:val="20"/>
          <w:rtl/>
        </w:rPr>
        <w:t xml:space="preserve"> מעניין לציין של</w:t>
      </w:r>
      <w:r>
        <w:rPr>
          <w:sz w:val="20"/>
          <w:rtl/>
        </w:rPr>
        <w:t>דעת</w:t>
      </w:r>
      <w:r w:rsidRPr="008E2094">
        <w:rPr>
          <w:sz w:val="20"/>
          <w:rtl/>
        </w:rPr>
        <w:t xml:space="preserve"> הרמב"ם, </w:t>
      </w:r>
      <w:r>
        <w:rPr>
          <w:sz w:val="20"/>
          <w:rtl/>
        </w:rPr>
        <w:t xml:space="preserve">מקור </w:t>
      </w:r>
      <w:r w:rsidRPr="008E2094">
        <w:rPr>
          <w:sz w:val="20"/>
          <w:rtl/>
        </w:rPr>
        <w:t>דיני ירו</w:t>
      </w:r>
      <w:r>
        <w:rPr>
          <w:sz w:val="20"/>
          <w:rtl/>
        </w:rPr>
        <w:t>שה הבעל ואב</w:t>
      </w:r>
      <w:r w:rsidRPr="008E2094">
        <w:rPr>
          <w:sz w:val="20"/>
          <w:rtl/>
        </w:rPr>
        <w:t xml:space="preserve">לות </w:t>
      </w:r>
      <w:r>
        <w:rPr>
          <w:sz w:val="20"/>
          <w:rtl/>
        </w:rPr>
        <w:t>על</w:t>
      </w:r>
      <w:r w:rsidRPr="008E2094">
        <w:rPr>
          <w:sz w:val="20"/>
          <w:rtl/>
        </w:rPr>
        <w:t xml:space="preserve"> ב</w:t>
      </w:r>
      <w:r>
        <w:rPr>
          <w:sz w:val="20"/>
          <w:rtl/>
        </w:rPr>
        <w:t>ן</w:t>
      </w:r>
      <w:r w:rsidRPr="008E2094">
        <w:rPr>
          <w:sz w:val="20"/>
          <w:rtl/>
        </w:rPr>
        <w:t xml:space="preserve"> זוג, ואף פסול הבעל להעיד לטובת אשתו, </w:t>
      </w:r>
      <w:r>
        <w:rPr>
          <w:sz w:val="20"/>
          <w:rtl/>
        </w:rPr>
        <w:t xml:space="preserve">אינו מן התורה אלא </w:t>
      </w:r>
      <w:r w:rsidRPr="008E2094">
        <w:rPr>
          <w:sz w:val="20"/>
          <w:rtl/>
        </w:rPr>
        <w:t>מדרבנן</w:t>
      </w:r>
      <w:r>
        <w:rPr>
          <w:sz w:val="20"/>
          <w:rtl/>
        </w:rPr>
        <w:t>. ראה:</w:t>
      </w:r>
      <w:r w:rsidRPr="008E2094">
        <w:rPr>
          <w:sz w:val="20"/>
          <w:rtl/>
        </w:rPr>
        <w:t xml:space="preserve"> הל</w:t>
      </w:r>
      <w:r>
        <w:rPr>
          <w:sz w:val="20"/>
          <w:rtl/>
        </w:rPr>
        <w:t>כות</w:t>
      </w:r>
      <w:r w:rsidRPr="008E2094">
        <w:rPr>
          <w:sz w:val="20"/>
          <w:rtl/>
        </w:rPr>
        <w:t xml:space="preserve"> אישות</w:t>
      </w:r>
      <w:r>
        <w:rPr>
          <w:sz w:val="20"/>
          <w:rtl/>
        </w:rPr>
        <w:t>,</w:t>
      </w:r>
      <w:r w:rsidRPr="008E2094">
        <w:rPr>
          <w:sz w:val="20"/>
          <w:rtl/>
        </w:rPr>
        <w:t xml:space="preserve"> פ</w:t>
      </w:r>
      <w:r>
        <w:rPr>
          <w:sz w:val="20"/>
          <w:rtl/>
        </w:rPr>
        <w:t xml:space="preserve">רק </w:t>
      </w:r>
      <w:r w:rsidRPr="008E2094">
        <w:rPr>
          <w:sz w:val="20"/>
          <w:rtl/>
        </w:rPr>
        <w:t>יב</w:t>
      </w:r>
      <w:r>
        <w:rPr>
          <w:sz w:val="20"/>
          <w:rtl/>
        </w:rPr>
        <w:t xml:space="preserve">, הלכות א-ו, </w:t>
      </w:r>
      <w:r w:rsidRPr="008E2094">
        <w:rPr>
          <w:sz w:val="20"/>
          <w:rtl/>
        </w:rPr>
        <w:t>ט; הל</w:t>
      </w:r>
      <w:r>
        <w:rPr>
          <w:sz w:val="20"/>
          <w:rtl/>
        </w:rPr>
        <w:t>כות</w:t>
      </w:r>
      <w:r w:rsidRPr="008E2094">
        <w:rPr>
          <w:sz w:val="20"/>
          <w:rtl/>
        </w:rPr>
        <w:t xml:space="preserve"> נחלות</w:t>
      </w:r>
      <w:r>
        <w:rPr>
          <w:sz w:val="20"/>
          <w:rtl/>
        </w:rPr>
        <w:t>,</w:t>
      </w:r>
      <w:r w:rsidRPr="008E2094">
        <w:rPr>
          <w:sz w:val="20"/>
          <w:rtl/>
        </w:rPr>
        <w:t xml:space="preserve"> פ</w:t>
      </w:r>
      <w:r>
        <w:rPr>
          <w:sz w:val="20"/>
          <w:rtl/>
        </w:rPr>
        <w:t xml:space="preserve">רק </w:t>
      </w:r>
      <w:r w:rsidRPr="008E2094">
        <w:rPr>
          <w:sz w:val="20"/>
          <w:rtl/>
        </w:rPr>
        <w:t>א</w:t>
      </w:r>
      <w:r>
        <w:rPr>
          <w:sz w:val="20"/>
          <w:rtl/>
        </w:rPr>
        <w:t>,</w:t>
      </w:r>
      <w:r w:rsidRPr="008E2094">
        <w:rPr>
          <w:sz w:val="20"/>
          <w:rtl/>
        </w:rPr>
        <w:t xml:space="preserve"> ה</w:t>
      </w:r>
      <w:r>
        <w:rPr>
          <w:sz w:val="20"/>
          <w:rtl/>
        </w:rPr>
        <w:t xml:space="preserve">לכות </w:t>
      </w:r>
      <w:r w:rsidRPr="008E2094">
        <w:rPr>
          <w:sz w:val="20"/>
          <w:rtl/>
        </w:rPr>
        <w:t>ח-</w:t>
      </w:r>
      <w:r>
        <w:rPr>
          <w:sz w:val="20"/>
          <w:rtl/>
        </w:rPr>
        <w:t>ט; הלכות</w:t>
      </w:r>
      <w:r w:rsidRPr="008E2094">
        <w:rPr>
          <w:sz w:val="20"/>
          <w:rtl/>
        </w:rPr>
        <w:t xml:space="preserve"> שמיטה ויובל</w:t>
      </w:r>
      <w:r>
        <w:rPr>
          <w:sz w:val="20"/>
          <w:rtl/>
        </w:rPr>
        <w:t>,</w:t>
      </w:r>
      <w:r w:rsidRPr="008E2094">
        <w:rPr>
          <w:sz w:val="20"/>
          <w:rtl/>
        </w:rPr>
        <w:t xml:space="preserve"> פ</w:t>
      </w:r>
      <w:r>
        <w:rPr>
          <w:sz w:val="20"/>
          <w:rtl/>
        </w:rPr>
        <w:t xml:space="preserve">רק </w:t>
      </w:r>
      <w:r w:rsidRPr="008E2094">
        <w:rPr>
          <w:sz w:val="20"/>
          <w:rtl/>
        </w:rPr>
        <w:t>יא</w:t>
      </w:r>
      <w:r>
        <w:rPr>
          <w:sz w:val="20"/>
          <w:rtl/>
        </w:rPr>
        <w:t>,</w:t>
      </w:r>
      <w:r w:rsidRPr="008E2094">
        <w:rPr>
          <w:sz w:val="20"/>
          <w:rtl/>
        </w:rPr>
        <w:t xml:space="preserve"> ה</w:t>
      </w:r>
      <w:r>
        <w:rPr>
          <w:sz w:val="20"/>
          <w:rtl/>
        </w:rPr>
        <w:t xml:space="preserve">לכה </w:t>
      </w:r>
      <w:r w:rsidRPr="008E2094">
        <w:rPr>
          <w:sz w:val="20"/>
          <w:rtl/>
        </w:rPr>
        <w:t>כא; הל</w:t>
      </w:r>
      <w:r>
        <w:rPr>
          <w:sz w:val="20"/>
          <w:rtl/>
        </w:rPr>
        <w:t>כות</w:t>
      </w:r>
      <w:r w:rsidRPr="008E2094">
        <w:rPr>
          <w:sz w:val="20"/>
          <w:rtl/>
        </w:rPr>
        <w:t xml:space="preserve"> עדות</w:t>
      </w:r>
      <w:r>
        <w:rPr>
          <w:sz w:val="20"/>
          <w:rtl/>
        </w:rPr>
        <w:t>,</w:t>
      </w:r>
      <w:r w:rsidRPr="008E2094">
        <w:rPr>
          <w:sz w:val="20"/>
          <w:rtl/>
        </w:rPr>
        <w:t xml:space="preserve"> פ</w:t>
      </w:r>
      <w:r>
        <w:rPr>
          <w:sz w:val="20"/>
          <w:rtl/>
        </w:rPr>
        <w:t xml:space="preserve">רק </w:t>
      </w:r>
      <w:r w:rsidRPr="008E2094">
        <w:rPr>
          <w:sz w:val="20"/>
          <w:rtl/>
        </w:rPr>
        <w:t>יג</w:t>
      </w:r>
      <w:r>
        <w:rPr>
          <w:sz w:val="20"/>
          <w:rtl/>
        </w:rPr>
        <w:t>,</w:t>
      </w:r>
      <w:r w:rsidRPr="008E2094">
        <w:rPr>
          <w:sz w:val="20"/>
          <w:rtl/>
        </w:rPr>
        <w:t xml:space="preserve"> ה</w:t>
      </w:r>
      <w:r>
        <w:rPr>
          <w:sz w:val="20"/>
          <w:rtl/>
        </w:rPr>
        <w:t xml:space="preserve">לכות </w:t>
      </w:r>
      <w:r w:rsidRPr="008E2094">
        <w:rPr>
          <w:sz w:val="20"/>
          <w:rtl/>
        </w:rPr>
        <w:t>א, ו, י</w:t>
      </w:r>
      <w:r>
        <w:rPr>
          <w:sz w:val="20"/>
          <w:rtl/>
        </w:rPr>
        <w:t>ג-</w:t>
      </w:r>
      <w:r w:rsidRPr="008E2094">
        <w:rPr>
          <w:sz w:val="20"/>
          <w:rtl/>
        </w:rPr>
        <w:t>יד; הל</w:t>
      </w:r>
      <w:r>
        <w:rPr>
          <w:sz w:val="20"/>
          <w:rtl/>
        </w:rPr>
        <w:t>כות</w:t>
      </w:r>
      <w:r w:rsidRPr="008E2094">
        <w:rPr>
          <w:sz w:val="20"/>
          <w:rtl/>
        </w:rPr>
        <w:t xml:space="preserve"> אבל</w:t>
      </w:r>
      <w:r>
        <w:rPr>
          <w:sz w:val="20"/>
          <w:rtl/>
        </w:rPr>
        <w:t>,</w:t>
      </w:r>
      <w:r w:rsidRPr="008E2094">
        <w:rPr>
          <w:sz w:val="20"/>
          <w:rtl/>
        </w:rPr>
        <w:t xml:space="preserve"> פ</w:t>
      </w:r>
      <w:r>
        <w:rPr>
          <w:sz w:val="20"/>
          <w:rtl/>
        </w:rPr>
        <w:t xml:space="preserve">רק </w:t>
      </w:r>
      <w:r w:rsidRPr="008E2094">
        <w:rPr>
          <w:sz w:val="20"/>
          <w:rtl/>
        </w:rPr>
        <w:t>ב</w:t>
      </w:r>
      <w:r>
        <w:rPr>
          <w:sz w:val="20"/>
          <w:rtl/>
        </w:rPr>
        <w:t xml:space="preserve">, </w:t>
      </w:r>
      <w:r w:rsidRPr="008E2094">
        <w:rPr>
          <w:sz w:val="20"/>
          <w:rtl/>
        </w:rPr>
        <w:t>ה</w:t>
      </w:r>
      <w:r>
        <w:rPr>
          <w:sz w:val="20"/>
          <w:rtl/>
        </w:rPr>
        <w:t xml:space="preserve">לכות </w:t>
      </w:r>
      <w:r w:rsidRPr="008E2094">
        <w:rPr>
          <w:sz w:val="20"/>
          <w:rtl/>
        </w:rPr>
        <w:t>א, ג-</w:t>
      </w:r>
      <w:r>
        <w:rPr>
          <w:sz w:val="20"/>
          <w:rtl/>
        </w:rPr>
        <w:t>ז.</w:t>
      </w:r>
      <w:r w:rsidRPr="008E2094">
        <w:rPr>
          <w:sz w:val="20"/>
          <w:rtl/>
        </w:rPr>
        <w:t xml:space="preserve"> ו</w:t>
      </w:r>
      <w:r>
        <w:rPr>
          <w:sz w:val="20"/>
          <w:rtl/>
        </w:rPr>
        <w:t>ראה</w:t>
      </w:r>
      <w:r w:rsidRPr="008E2094">
        <w:rPr>
          <w:sz w:val="20"/>
          <w:rtl/>
        </w:rPr>
        <w:t xml:space="preserve"> השגות הראב"ד </w:t>
      </w:r>
      <w:r>
        <w:rPr>
          <w:sz w:val="20"/>
          <w:rtl/>
        </w:rPr>
        <w:t>על אתר</w:t>
      </w:r>
      <w:r w:rsidRPr="008E2094">
        <w:rPr>
          <w:sz w:val="20"/>
          <w:rtl/>
        </w:rPr>
        <w:t>.</w:t>
      </w:r>
    </w:p>
  </w:footnote>
  <w:footnote w:id="20">
    <w:p w:rsidR="00000000" w:rsidRDefault="00146D1D" w:rsidP="008E2094">
      <w:pPr>
        <w:pStyle w:val="a7"/>
      </w:pPr>
      <w:r w:rsidRPr="008E2094">
        <w:rPr>
          <w:rStyle w:val="a6"/>
          <w:rFonts w:cs="FrankRuehl"/>
        </w:rPr>
        <w:footnoteRef/>
      </w:r>
      <w:r w:rsidRPr="008E2094">
        <w:rPr>
          <w:sz w:val="20"/>
          <w:rtl/>
        </w:rPr>
        <w:t xml:space="preserve"> רשב"ם, בבא בתרא קמו ע"ב, ד"ה נפלה.</w:t>
      </w:r>
    </w:p>
  </w:footnote>
  <w:footnote w:id="21">
    <w:p w:rsidR="00000000" w:rsidRDefault="00146D1D" w:rsidP="00513D42">
      <w:pPr>
        <w:pStyle w:val="a7"/>
      </w:pPr>
      <w:r w:rsidRPr="008E2094">
        <w:rPr>
          <w:rStyle w:val="a6"/>
          <w:rFonts w:cs="FrankRuehl"/>
        </w:rPr>
        <w:footnoteRef/>
      </w:r>
      <w:r w:rsidRPr="008E2094">
        <w:rPr>
          <w:sz w:val="20"/>
          <w:rtl/>
        </w:rPr>
        <w:t xml:space="preserve"> רא"ש, בבא בתרא, פרק ט</w:t>
      </w:r>
      <w:r>
        <w:rPr>
          <w:sz w:val="20"/>
          <w:rtl/>
        </w:rPr>
        <w:t>,</w:t>
      </w:r>
      <w:r w:rsidRPr="008E2094">
        <w:rPr>
          <w:sz w:val="20"/>
          <w:rtl/>
        </w:rPr>
        <w:t xml:space="preserve"> סימן טז.</w:t>
      </w:r>
    </w:p>
  </w:footnote>
  <w:footnote w:id="22">
    <w:p w:rsidR="00000000" w:rsidRDefault="00146D1D" w:rsidP="00246881">
      <w:pPr>
        <w:pStyle w:val="a7"/>
      </w:pPr>
      <w:r w:rsidRPr="008E2094">
        <w:rPr>
          <w:rStyle w:val="a6"/>
          <w:rFonts w:cs="FrankRuehl"/>
        </w:rPr>
        <w:footnoteRef/>
      </w:r>
      <w:r w:rsidRPr="008E2094">
        <w:rPr>
          <w:sz w:val="20"/>
          <w:rtl/>
        </w:rPr>
        <w:t xml:space="preserve"> ים של שלמה, ג</w:t>
      </w:r>
      <w:r>
        <w:rPr>
          <w:sz w:val="20"/>
          <w:rtl/>
        </w:rPr>
        <w:t>י</w:t>
      </w:r>
      <w:r w:rsidRPr="008E2094">
        <w:rPr>
          <w:sz w:val="20"/>
          <w:rtl/>
        </w:rPr>
        <w:t>טין, פרק ב</w:t>
      </w:r>
      <w:r>
        <w:rPr>
          <w:sz w:val="20"/>
          <w:rtl/>
        </w:rPr>
        <w:t>,</w:t>
      </w:r>
      <w:r w:rsidRPr="008E2094">
        <w:rPr>
          <w:sz w:val="20"/>
          <w:rtl/>
        </w:rPr>
        <w:t xml:space="preserve"> סימן ד.</w:t>
      </w:r>
    </w:p>
  </w:footnote>
  <w:footnote w:id="23">
    <w:p w:rsidR="00000000" w:rsidRDefault="00146D1D" w:rsidP="007D083D">
      <w:pPr>
        <w:pStyle w:val="a7"/>
      </w:pPr>
      <w:r w:rsidRPr="002C1B0D">
        <w:rPr>
          <w:rStyle w:val="a6"/>
          <w:rFonts w:cs="FrankRuehl"/>
        </w:rPr>
        <w:footnoteRef/>
      </w:r>
      <w:r w:rsidRPr="002C1B0D">
        <w:rPr>
          <w:sz w:val="20"/>
          <w:rtl/>
        </w:rPr>
        <w:t xml:space="preserve"> </w:t>
      </w:r>
      <w:r w:rsidRPr="007D083D">
        <w:rPr>
          <w:sz w:val="20"/>
          <w:rtl/>
        </w:rPr>
        <w:t xml:space="preserve">גם לא מכוח אימוץ. </w:t>
      </w:r>
      <w:r w:rsidRPr="002C1B0D">
        <w:rPr>
          <w:sz w:val="20"/>
          <w:rtl/>
        </w:rPr>
        <w:t>ראה א' הכהן "אימוץ ילדים: בין המשפט העברי ומשפט המדינה"</w:t>
      </w:r>
      <w:r w:rsidRPr="007D083D">
        <w:rPr>
          <w:sz w:val="20"/>
          <w:rtl/>
        </w:rPr>
        <w:t>,</w:t>
      </w:r>
      <w:r w:rsidRPr="002C1B0D">
        <w:rPr>
          <w:sz w:val="20"/>
          <w:rtl/>
        </w:rPr>
        <w:t xml:space="preserve"> פרשת השבוע, ויחי, תשע"ג, גיליון מס' 412.</w:t>
      </w:r>
    </w:p>
  </w:footnote>
  <w:footnote w:id="24">
    <w:p w:rsidR="00000000" w:rsidRDefault="00146D1D" w:rsidP="008E2094">
      <w:pPr>
        <w:pStyle w:val="a7"/>
      </w:pPr>
      <w:r w:rsidRPr="008E2094">
        <w:rPr>
          <w:rStyle w:val="a6"/>
          <w:rFonts w:cs="FrankRuehl"/>
        </w:rPr>
        <w:footnoteRef/>
      </w:r>
      <w:r w:rsidRPr="008E2094">
        <w:rPr>
          <w:sz w:val="20"/>
          <w:rtl/>
        </w:rPr>
        <w:t xml:space="preserve"> </w:t>
      </w:r>
      <w:r>
        <w:rPr>
          <w:sz w:val="20"/>
          <w:rtl/>
        </w:rPr>
        <w:t>ראה</w:t>
      </w:r>
      <w:r w:rsidRPr="008E2094">
        <w:rPr>
          <w:sz w:val="20"/>
          <w:rtl/>
        </w:rPr>
        <w:t xml:space="preserve"> שו"ת ציץ אליעזר, חלק כא, סימן לד, והמובא שם.</w:t>
      </w:r>
    </w:p>
  </w:footnote>
  <w:footnote w:id="25">
    <w:p w:rsidR="00000000" w:rsidRDefault="00146D1D" w:rsidP="00246881">
      <w:pPr>
        <w:pStyle w:val="a7"/>
      </w:pPr>
      <w:r w:rsidRPr="008E2094">
        <w:rPr>
          <w:rStyle w:val="a6"/>
          <w:rFonts w:cs="FrankRuehl"/>
        </w:rPr>
        <w:footnoteRef/>
      </w:r>
      <w:r w:rsidRPr="008E2094">
        <w:rPr>
          <w:sz w:val="20"/>
          <w:rtl/>
        </w:rPr>
        <w:t xml:space="preserve"> רמ"א, אבן העזר, סימן צ, סעיף ה; ו</w:t>
      </w:r>
      <w:r>
        <w:rPr>
          <w:sz w:val="20"/>
          <w:rtl/>
        </w:rPr>
        <w:t>ראה</w:t>
      </w:r>
      <w:r w:rsidRPr="008E2094">
        <w:rPr>
          <w:sz w:val="20"/>
          <w:rtl/>
        </w:rPr>
        <w:t xml:space="preserve"> נושאי הכלים </w:t>
      </w:r>
      <w:r>
        <w:rPr>
          <w:sz w:val="20"/>
          <w:rtl/>
        </w:rPr>
        <w:t>על אתר</w:t>
      </w:r>
      <w:r w:rsidRPr="008E2094">
        <w:rPr>
          <w:sz w:val="20"/>
          <w:rtl/>
        </w:rPr>
        <w:t xml:space="preserve"> (חלקת מחוקק</w:t>
      </w:r>
      <w:r>
        <w:rPr>
          <w:sz w:val="20"/>
          <w:rtl/>
        </w:rPr>
        <w:t>,</w:t>
      </w:r>
      <w:r w:rsidRPr="008E2094">
        <w:rPr>
          <w:sz w:val="20"/>
          <w:rtl/>
        </w:rPr>
        <w:t xml:space="preserve"> ס"ק יז; בית שמואל</w:t>
      </w:r>
      <w:r>
        <w:rPr>
          <w:sz w:val="20"/>
          <w:rtl/>
        </w:rPr>
        <w:t>,</w:t>
      </w:r>
      <w:r w:rsidRPr="008E2094">
        <w:rPr>
          <w:sz w:val="20"/>
          <w:rtl/>
        </w:rPr>
        <w:t xml:space="preserve"> ס"ק כג; </w:t>
      </w:r>
      <w:r>
        <w:rPr>
          <w:sz w:val="20"/>
          <w:rtl/>
        </w:rPr>
        <w:t>ביאור</w:t>
      </w:r>
      <w:r w:rsidRPr="008E2094">
        <w:rPr>
          <w:sz w:val="20"/>
          <w:rtl/>
        </w:rPr>
        <w:t xml:space="preserve"> הגר"א</w:t>
      </w:r>
      <w:r>
        <w:rPr>
          <w:sz w:val="20"/>
          <w:rtl/>
        </w:rPr>
        <w:t>,</w:t>
      </w:r>
      <w:r w:rsidRPr="008E2094">
        <w:rPr>
          <w:sz w:val="20"/>
          <w:rtl/>
        </w:rPr>
        <w:t xml:space="preserve"> ס"ק יט)</w:t>
      </w:r>
      <w:r>
        <w:rPr>
          <w:sz w:val="20"/>
          <w:rtl/>
        </w:rPr>
        <w:t>,</w:t>
      </w:r>
      <w:r w:rsidRPr="008E2094">
        <w:rPr>
          <w:sz w:val="20"/>
          <w:rtl/>
        </w:rPr>
        <w:t xml:space="preserve"> ש</w:t>
      </w:r>
      <w:r>
        <w:rPr>
          <w:sz w:val="20"/>
          <w:rtl/>
        </w:rPr>
        <w:t>ע</w:t>
      </w:r>
      <w:r w:rsidRPr="008E2094">
        <w:rPr>
          <w:sz w:val="20"/>
          <w:rtl/>
        </w:rPr>
        <w:t>ס</w:t>
      </w:r>
      <w:r>
        <w:rPr>
          <w:sz w:val="20"/>
          <w:rtl/>
        </w:rPr>
        <w:t>ק</w:t>
      </w:r>
      <w:r w:rsidRPr="008E2094">
        <w:rPr>
          <w:sz w:val="20"/>
          <w:rtl/>
        </w:rPr>
        <w:t xml:space="preserve">ו </w:t>
      </w:r>
      <w:r>
        <w:rPr>
          <w:sz w:val="20"/>
          <w:rtl/>
        </w:rPr>
        <w:t>ב</w:t>
      </w:r>
      <w:r w:rsidRPr="008E2094">
        <w:rPr>
          <w:sz w:val="20"/>
          <w:rtl/>
        </w:rPr>
        <w:t>שאלה אם פסק זה נשען על תפיסתו של הרשב"ם.</w:t>
      </w:r>
    </w:p>
  </w:footnote>
  <w:footnote w:id="26">
    <w:p w:rsidR="00000000" w:rsidRDefault="00146D1D" w:rsidP="008E2094">
      <w:pPr>
        <w:pStyle w:val="a7"/>
      </w:pPr>
      <w:r w:rsidRPr="008E2094">
        <w:rPr>
          <w:rStyle w:val="a6"/>
          <w:rFonts w:cs="FrankRuehl"/>
        </w:rPr>
        <w:footnoteRef/>
      </w:r>
      <w:r w:rsidRPr="008E2094">
        <w:rPr>
          <w:sz w:val="20"/>
          <w:rtl/>
        </w:rPr>
        <w:t xml:space="preserve"> שו"ת הב"ח (ישנות)</w:t>
      </w:r>
      <w:r>
        <w:rPr>
          <w:sz w:val="20"/>
          <w:rtl/>
        </w:rPr>
        <w:t>,</w:t>
      </w:r>
      <w:r w:rsidRPr="008E2094">
        <w:rPr>
          <w:sz w:val="20"/>
          <w:rtl/>
        </w:rPr>
        <w:t xml:space="preserve"> סימן כד.</w:t>
      </w:r>
    </w:p>
  </w:footnote>
  <w:footnote w:id="27">
    <w:p w:rsidR="00000000" w:rsidRDefault="00146D1D" w:rsidP="00246881">
      <w:pPr>
        <w:pStyle w:val="a7"/>
      </w:pPr>
      <w:r w:rsidRPr="008E2094">
        <w:rPr>
          <w:rStyle w:val="a6"/>
          <w:rFonts w:cs="FrankRuehl"/>
        </w:rPr>
        <w:footnoteRef/>
      </w:r>
      <w:r w:rsidRPr="008E2094">
        <w:rPr>
          <w:sz w:val="20"/>
          <w:rtl/>
        </w:rPr>
        <w:t xml:space="preserve"> הב"ח אמנם מבהיר שהדבר מבוסס על </w:t>
      </w:r>
      <w:r>
        <w:rPr>
          <w:sz w:val="20"/>
          <w:rtl/>
        </w:rPr>
        <w:t>ההנחה</w:t>
      </w:r>
      <w:r w:rsidRPr="008E2094">
        <w:rPr>
          <w:sz w:val="20"/>
          <w:rtl/>
        </w:rPr>
        <w:t xml:space="preserve"> שירושת הבעל מדרבנן.</w:t>
      </w:r>
    </w:p>
  </w:footnote>
  <w:footnote w:id="28">
    <w:p w:rsidR="00000000" w:rsidRDefault="00146D1D" w:rsidP="008E2094">
      <w:pPr>
        <w:pStyle w:val="a7"/>
      </w:pPr>
      <w:r w:rsidRPr="008E2094">
        <w:rPr>
          <w:rStyle w:val="a6"/>
          <w:rFonts w:cs="FrankRuehl"/>
        </w:rPr>
        <w:footnoteRef/>
      </w:r>
      <w:r w:rsidRPr="008E2094">
        <w:rPr>
          <w:sz w:val="20"/>
          <w:rtl/>
        </w:rPr>
        <w:t xml:space="preserve"> שו"ת משיב דבר, חלק ד</w:t>
      </w:r>
      <w:r>
        <w:rPr>
          <w:sz w:val="20"/>
          <w:rtl/>
        </w:rPr>
        <w:t>,</w:t>
      </w:r>
      <w:r w:rsidRPr="008E2094">
        <w:rPr>
          <w:sz w:val="20"/>
          <w:rtl/>
        </w:rPr>
        <w:t xml:space="preserve"> סימן א.</w:t>
      </w:r>
    </w:p>
  </w:footnote>
  <w:footnote w:id="29">
    <w:p w:rsidR="00000000" w:rsidRDefault="00146D1D" w:rsidP="00B229BB">
      <w:pPr>
        <w:pStyle w:val="a7"/>
      </w:pPr>
      <w:r>
        <w:rPr>
          <w:rStyle w:val="a6"/>
        </w:rPr>
        <w:footnoteRef/>
      </w:r>
      <w:r>
        <w:rPr>
          <w:rtl/>
        </w:rPr>
        <w:t xml:space="preserve"> שו"ת משפטי עוזיאל, חלק ז, סימן עט.</w:t>
      </w:r>
    </w:p>
  </w:footnote>
  <w:footnote w:id="30">
    <w:p w:rsidR="00000000" w:rsidRDefault="00146D1D" w:rsidP="008E2094">
      <w:pPr>
        <w:pStyle w:val="a7"/>
      </w:pPr>
      <w:r w:rsidRPr="008E2094">
        <w:rPr>
          <w:rStyle w:val="a6"/>
          <w:rFonts w:cs="FrankRuehl"/>
        </w:rPr>
        <w:footnoteRef/>
      </w:r>
      <w:r w:rsidRPr="008E2094">
        <w:rPr>
          <w:sz w:val="20"/>
          <w:rtl/>
        </w:rPr>
        <w:t xml:space="preserve"> שו"ת ציץ אליעזר, חלק יא</w:t>
      </w:r>
      <w:r>
        <w:rPr>
          <w:sz w:val="20"/>
          <w:rtl/>
        </w:rPr>
        <w:t>,</w:t>
      </w:r>
      <w:r w:rsidRPr="008E2094">
        <w:rPr>
          <w:sz w:val="20"/>
          <w:rtl/>
        </w:rPr>
        <w:t xml:space="preserve"> סימן פא.</w:t>
      </w:r>
    </w:p>
  </w:footnote>
  <w:footnote w:id="31">
    <w:p w:rsidR="00000000" w:rsidRDefault="00146D1D" w:rsidP="00246881">
      <w:pPr>
        <w:pStyle w:val="a7"/>
      </w:pPr>
      <w:r w:rsidRPr="008E2094">
        <w:rPr>
          <w:rStyle w:val="a6"/>
          <w:rFonts w:cs="FrankRuehl"/>
        </w:rPr>
        <w:footnoteRef/>
      </w:r>
      <w:r w:rsidRPr="008E2094">
        <w:rPr>
          <w:sz w:val="20"/>
          <w:rtl/>
        </w:rPr>
        <w:t xml:space="preserve"> לגישה </w:t>
      </w:r>
      <w:r>
        <w:rPr>
          <w:sz w:val="20"/>
          <w:rtl/>
        </w:rPr>
        <w:t>אחרת</w:t>
      </w:r>
      <w:r w:rsidRPr="008E2094">
        <w:rPr>
          <w:sz w:val="20"/>
          <w:rtl/>
        </w:rPr>
        <w:t xml:space="preserve">, </w:t>
      </w:r>
      <w:r>
        <w:rPr>
          <w:sz w:val="20"/>
          <w:rtl/>
        </w:rPr>
        <w:t>ראה</w:t>
      </w:r>
      <w:r w:rsidRPr="008E2094">
        <w:rPr>
          <w:sz w:val="20"/>
          <w:rtl/>
        </w:rPr>
        <w:t xml:space="preserve"> הרב יעקב אליעזרוב</w:t>
      </w:r>
      <w:r>
        <w:rPr>
          <w:sz w:val="20"/>
          <w:rtl/>
        </w:rPr>
        <w:t>,</w:t>
      </w:r>
      <w:r w:rsidRPr="008E2094">
        <w:rPr>
          <w:sz w:val="20"/>
          <w:rtl/>
        </w:rPr>
        <w:t xml:space="preserve"> "האם בעל יורש את אשתו לאחר גירושין אזרחיים"</w:t>
      </w:r>
      <w:r>
        <w:rPr>
          <w:sz w:val="20"/>
          <w:rtl/>
        </w:rPr>
        <w:t>,</w:t>
      </w:r>
      <w:r w:rsidRPr="008E2094">
        <w:rPr>
          <w:sz w:val="20"/>
          <w:rtl/>
        </w:rPr>
        <w:t xml:space="preserve"> </w:t>
      </w:r>
      <w:r w:rsidRPr="008E2094">
        <w:rPr>
          <w:b/>
          <w:bCs/>
          <w:sz w:val="20"/>
          <w:rtl/>
        </w:rPr>
        <w:t>שורת הדין</w:t>
      </w:r>
      <w:r w:rsidRPr="008E2094">
        <w:rPr>
          <w:sz w:val="20"/>
          <w:rtl/>
        </w:rPr>
        <w:t xml:space="preserve"> ב</w:t>
      </w:r>
      <w:r>
        <w:rPr>
          <w:sz w:val="20"/>
          <w:rtl/>
        </w:rPr>
        <w:t xml:space="preserve"> (תשנ"ד), עמ'</w:t>
      </w:r>
      <w:r w:rsidRPr="008E2094">
        <w:rPr>
          <w:sz w:val="20"/>
          <w:rtl/>
        </w:rPr>
        <w:t xml:space="preserve"> רסה</w:t>
      </w:r>
      <w:r w:rsidRPr="002847B3">
        <w:rPr>
          <w:sz w:val="20"/>
          <w:rtl/>
        </w:rPr>
        <w:t>.</w:t>
      </w:r>
    </w:p>
  </w:footnote>
  <w:footnote w:id="32">
    <w:p w:rsidR="00000000" w:rsidRDefault="00146D1D" w:rsidP="00101AFF">
      <w:pPr>
        <w:pStyle w:val="a7"/>
      </w:pPr>
      <w:r w:rsidRPr="008E2094">
        <w:rPr>
          <w:rStyle w:val="a6"/>
          <w:rFonts w:cs="FrankRuehl"/>
        </w:rPr>
        <w:footnoteRef/>
      </w:r>
      <w:r w:rsidRPr="008E2094">
        <w:rPr>
          <w:sz w:val="20"/>
          <w:rtl/>
        </w:rPr>
        <w:t xml:space="preserve"> </w:t>
      </w:r>
      <w:r>
        <w:rPr>
          <w:sz w:val="20"/>
          <w:rtl/>
        </w:rPr>
        <w:t>בהנחה</w:t>
      </w:r>
      <w:r w:rsidRPr="008E2094">
        <w:rPr>
          <w:sz w:val="20"/>
          <w:rtl/>
        </w:rPr>
        <w:t xml:space="preserve"> </w:t>
      </w:r>
      <w:r>
        <w:rPr>
          <w:sz w:val="20"/>
          <w:rtl/>
        </w:rPr>
        <w:t>ש</w:t>
      </w:r>
      <w:r w:rsidRPr="008E2094">
        <w:rPr>
          <w:sz w:val="20"/>
          <w:rtl/>
        </w:rPr>
        <w:t>הלכה זו תכה שורשים במשפט הישראלי,</w:t>
      </w:r>
      <w:r w:rsidRPr="00E6385C">
        <w:rPr>
          <w:sz w:val="20"/>
          <w:rtl/>
        </w:rPr>
        <w:t xml:space="preserve"> </w:t>
      </w:r>
      <w:r w:rsidRPr="008E2094">
        <w:rPr>
          <w:sz w:val="20"/>
          <w:rtl/>
        </w:rPr>
        <w:t>שאלה מעניינת היא</w:t>
      </w:r>
      <w:r>
        <w:rPr>
          <w:sz w:val="20"/>
          <w:rtl/>
        </w:rPr>
        <w:t>,</w:t>
      </w:r>
      <w:r w:rsidRPr="008E2094">
        <w:rPr>
          <w:sz w:val="20"/>
          <w:rtl/>
        </w:rPr>
        <w:t xml:space="preserve"> אם בתי המשפט יבחרו להמשיך את הרציונל שבה, ול</w:t>
      </w:r>
      <w:r>
        <w:rPr>
          <w:sz w:val="20"/>
          <w:rtl/>
        </w:rPr>
        <w:t xml:space="preserve">פרש לאורו את </w:t>
      </w:r>
      <w:r w:rsidRPr="008E2094">
        <w:rPr>
          <w:sz w:val="20"/>
          <w:rtl/>
        </w:rPr>
        <w:t>סעיף 55 ל</w:t>
      </w:r>
      <w:r>
        <w:rPr>
          <w:sz w:val="20"/>
          <w:rtl/>
        </w:rPr>
        <w:t>"</w:t>
      </w:r>
      <w:r w:rsidRPr="008E2094">
        <w:rPr>
          <w:sz w:val="20"/>
          <w:rtl/>
        </w:rPr>
        <w:t>חוק הירושה</w:t>
      </w:r>
      <w:r>
        <w:rPr>
          <w:sz w:val="20"/>
          <w:rtl/>
        </w:rPr>
        <w:t>",</w:t>
      </w:r>
      <w:r w:rsidRPr="008E2094">
        <w:rPr>
          <w:sz w:val="20"/>
          <w:rtl/>
        </w:rPr>
        <w:t xml:space="preserve"> </w:t>
      </w:r>
      <w:r>
        <w:rPr>
          <w:sz w:val="20"/>
          <w:rtl/>
        </w:rPr>
        <w:t>ה</w:t>
      </w:r>
      <w:r w:rsidRPr="008E2094">
        <w:rPr>
          <w:sz w:val="20"/>
          <w:rtl/>
        </w:rPr>
        <w:t>מ</w:t>
      </w:r>
      <w:r>
        <w:rPr>
          <w:sz w:val="20"/>
          <w:rtl/>
        </w:rPr>
        <w:t>תנה את זכות הירושה של ידועים בציבור בעובדה שבשעת המוות "</w:t>
      </w:r>
      <w:r w:rsidRPr="00672D25">
        <w:rPr>
          <w:sz w:val="20"/>
          <w:rtl/>
        </w:rPr>
        <w:t>אף אחד מהם לא היה נשוי לאדם אחר</w:t>
      </w:r>
      <w:r w:rsidRPr="008E2094">
        <w:rPr>
          <w:sz w:val="20"/>
          <w:rtl/>
        </w:rPr>
        <w:t>". יישום קוהרנטי של ההלכה החדשה עשוי להוביל למסקנה ש</w:t>
      </w:r>
      <w:r>
        <w:rPr>
          <w:sz w:val="20"/>
          <w:rtl/>
        </w:rPr>
        <w:t>זי</w:t>
      </w:r>
      <w:r w:rsidRPr="008E2094">
        <w:rPr>
          <w:sz w:val="20"/>
          <w:rtl/>
        </w:rPr>
        <w:t>ק</w:t>
      </w:r>
      <w:r>
        <w:rPr>
          <w:sz w:val="20"/>
          <w:rtl/>
        </w:rPr>
        <w:t>ת</w:t>
      </w:r>
      <w:r w:rsidRPr="008E2094">
        <w:rPr>
          <w:sz w:val="20"/>
          <w:rtl/>
        </w:rPr>
        <w:t xml:space="preserve"> הנישואין ה</w:t>
      </w:r>
      <w:r>
        <w:rPr>
          <w:sz w:val="20"/>
          <w:rtl/>
        </w:rPr>
        <w:t>פורמל</w:t>
      </w:r>
      <w:r w:rsidRPr="008E2094">
        <w:rPr>
          <w:sz w:val="20"/>
          <w:rtl/>
        </w:rPr>
        <w:t>י</w:t>
      </w:r>
      <w:r>
        <w:rPr>
          <w:sz w:val="20"/>
          <w:rtl/>
        </w:rPr>
        <w:t>ת</w:t>
      </w:r>
      <w:r w:rsidRPr="008E2094">
        <w:rPr>
          <w:sz w:val="20"/>
          <w:rtl/>
        </w:rPr>
        <w:t xml:space="preserve"> </w:t>
      </w:r>
      <w:r>
        <w:rPr>
          <w:sz w:val="20"/>
          <w:rtl/>
        </w:rPr>
        <w:t xml:space="preserve">של הידוע בציבור </w:t>
      </w:r>
      <w:r w:rsidRPr="008E2094">
        <w:rPr>
          <w:sz w:val="20"/>
          <w:rtl/>
        </w:rPr>
        <w:t>אי</w:t>
      </w:r>
      <w:r>
        <w:rPr>
          <w:sz w:val="20"/>
          <w:rtl/>
        </w:rPr>
        <w:t>ן לה</w:t>
      </w:r>
      <w:r w:rsidRPr="008E2094">
        <w:rPr>
          <w:sz w:val="20"/>
          <w:rtl/>
        </w:rPr>
        <w:t xml:space="preserve"> משמעות לדיני ירושה. מנגד, ייתכן שבתי המשפט יירתעו מ</w:t>
      </w:r>
      <w:r>
        <w:rPr>
          <w:sz w:val="20"/>
          <w:rtl/>
        </w:rPr>
        <w:t>לפסוק כן</w:t>
      </w:r>
      <w:r w:rsidRPr="008E2094">
        <w:rPr>
          <w:sz w:val="20"/>
          <w:rtl/>
        </w:rPr>
        <w:t>, ויעדיפו לראות בהוראה זו של הסעיף מגבלה משמעותית על יצירת זוגיות לצורך סעיף זה, תוך הטלת נטל לכתיבת צוואה על ידוע בציבור המעוניין להוריש את ע</w:t>
      </w:r>
      <w:r>
        <w:rPr>
          <w:sz w:val="20"/>
          <w:rtl/>
        </w:rPr>
        <w:t>י</w:t>
      </w:r>
      <w:r w:rsidRPr="008E2094">
        <w:rPr>
          <w:sz w:val="20"/>
          <w:rtl/>
        </w:rPr>
        <w:t xml:space="preserve">זבונו לבן זוגו. אם בתי המשפט יבחרו באפשרות השנייה, פירוש הדבר הוא שהאישה </w:t>
      </w:r>
      <w:r w:rsidR="00101AFF">
        <w:rPr>
          <w:sz w:val="20"/>
          <w:rtl/>
        </w:rPr>
        <w:t xml:space="preserve">במקרה דנא </w:t>
      </w:r>
      <w:r w:rsidRPr="008E2094">
        <w:rPr>
          <w:sz w:val="20"/>
          <w:rtl/>
        </w:rPr>
        <w:t xml:space="preserve">נעדרת </w:t>
      </w:r>
      <w:r>
        <w:rPr>
          <w:sz w:val="20"/>
          <w:rtl/>
        </w:rPr>
        <w:t>זכויות ירוש</w:t>
      </w:r>
      <w:r w:rsidR="00101AFF">
        <w:rPr>
          <w:sz w:val="20"/>
          <w:rtl/>
        </w:rPr>
        <w:t>ת בן זוג</w:t>
      </w:r>
      <w:r w:rsidRPr="008E2094">
        <w:rPr>
          <w:sz w:val="20"/>
          <w:rtl/>
        </w:rPr>
        <w:t>.</w:t>
      </w:r>
      <w:r>
        <w:rPr>
          <w:sz w:val="20"/>
          <w:rtl/>
        </w:rPr>
        <w:t xml:space="preserve"> בעיה זו באה על פתרונה בהצעת "חוק דיני ממונות", הנזכרת להלן, הערה </w:t>
      </w:r>
      <w:r>
        <w:rPr>
          <w:sz w:val="20"/>
          <w:rtl/>
        </w:rPr>
        <w:fldChar w:fldCharType="begin"/>
      </w:r>
      <w:r>
        <w:rPr>
          <w:sz w:val="20"/>
          <w:rtl/>
        </w:rPr>
        <w:instrText xml:space="preserve"> </w:instrText>
      </w:r>
      <w:r>
        <w:rPr>
          <w:sz w:val="20"/>
        </w:rPr>
        <w:instrText>NOTEREF</w:instrText>
      </w:r>
      <w:r>
        <w:rPr>
          <w:sz w:val="20"/>
          <w:rtl/>
        </w:rPr>
        <w:instrText xml:space="preserve"> _</w:instrText>
      </w:r>
      <w:r>
        <w:rPr>
          <w:sz w:val="20"/>
        </w:rPr>
        <w:instrText>Ref358819717 \h</w:instrText>
      </w:r>
      <w:r>
        <w:rPr>
          <w:sz w:val="20"/>
          <w:rtl/>
        </w:rPr>
        <w:instrText xml:space="preserve"> </w:instrText>
      </w:r>
      <w:r w:rsidR="000E70CE">
        <w:rPr>
          <w:sz w:val="20"/>
        </w:rPr>
      </w:r>
      <w:r>
        <w:rPr>
          <w:sz w:val="20"/>
          <w:rtl/>
        </w:rPr>
        <w:fldChar w:fldCharType="separate"/>
      </w:r>
      <w:r w:rsidR="00D642EC">
        <w:rPr>
          <w:sz w:val="20"/>
          <w:rtl/>
        </w:rPr>
        <w:t>36</w:t>
      </w:r>
      <w:r>
        <w:rPr>
          <w:sz w:val="20"/>
          <w:rtl/>
        </w:rPr>
        <w:fldChar w:fldCharType="end"/>
      </w:r>
      <w:r>
        <w:rPr>
          <w:sz w:val="20"/>
          <w:rtl/>
        </w:rPr>
        <w:t>.</w:t>
      </w:r>
      <w:r w:rsidRPr="008E2094">
        <w:rPr>
          <w:sz w:val="20"/>
          <w:rtl/>
        </w:rPr>
        <w:t xml:space="preserve"> </w:t>
      </w:r>
    </w:p>
  </w:footnote>
  <w:footnote w:id="33">
    <w:p w:rsidR="00000000" w:rsidRDefault="00146D1D" w:rsidP="00396244">
      <w:pPr>
        <w:pStyle w:val="a7"/>
      </w:pPr>
      <w:r w:rsidRPr="008E2094">
        <w:rPr>
          <w:rStyle w:val="a6"/>
          <w:rFonts w:cs="FrankRuehl"/>
        </w:rPr>
        <w:footnoteRef/>
      </w:r>
      <w:r w:rsidRPr="008E2094">
        <w:rPr>
          <w:sz w:val="20"/>
          <w:rtl/>
        </w:rPr>
        <w:t xml:space="preserve"> </w:t>
      </w:r>
      <w:r>
        <w:rPr>
          <w:sz w:val="20"/>
          <w:rtl/>
        </w:rPr>
        <w:t xml:space="preserve">בכפוף כמובן לחוסר הסימטריות של דינים אלה במשפט העברי, כפי שכבר הערנו לעיל, ליד ציון הערה </w:t>
      </w:r>
      <w:r>
        <w:rPr>
          <w:sz w:val="20"/>
          <w:rtl/>
        </w:rPr>
        <w:fldChar w:fldCharType="begin"/>
      </w:r>
      <w:r>
        <w:rPr>
          <w:sz w:val="20"/>
          <w:rtl/>
        </w:rPr>
        <w:instrText xml:space="preserve"> </w:instrText>
      </w:r>
      <w:r>
        <w:rPr>
          <w:sz w:val="20"/>
        </w:rPr>
        <w:instrText>NOTEREF</w:instrText>
      </w:r>
      <w:r>
        <w:rPr>
          <w:sz w:val="20"/>
          <w:rtl/>
        </w:rPr>
        <w:instrText xml:space="preserve"> _</w:instrText>
      </w:r>
      <w:r>
        <w:rPr>
          <w:sz w:val="20"/>
        </w:rPr>
        <w:instrText>Ref358819956 \h</w:instrText>
      </w:r>
      <w:r>
        <w:rPr>
          <w:sz w:val="20"/>
          <w:rtl/>
        </w:rPr>
        <w:instrText xml:space="preserve"> </w:instrText>
      </w:r>
      <w:r w:rsidR="000E70CE">
        <w:rPr>
          <w:sz w:val="20"/>
        </w:rPr>
      </w:r>
      <w:r>
        <w:rPr>
          <w:sz w:val="20"/>
          <w:rtl/>
        </w:rPr>
        <w:fldChar w:fldCharType="separate"/>
      </w:r>
      <w:r w:rsidR="00D642EC">
        <w:rPr>
          <w:sz w:val="20"/>
          <w:rtl/>
        </w:rPr>
        <w:t>11</w:t>
      </w:r>
      <w:r>
        <w:rPr>
          <w:sz w:val="20"/>
          <w:rtl/>
        </w:rPr>
        <w:fldChar w:fldCharType="end"/>
      </w:r>
      <w:r w:rsidRPr="008E2094">
        <w:rPr>
          <w:sz w:val="20"/>
          <w:rtl/>
        </w:rPr>
        <w:t>.</w:t>
      </w:r>
    </w:p>
  </w:footnote>
  <w:footnote w:id="34">
    <w:p w:rsidR="00000000" w:rsidRDefault="00146D1D" w:rsidP="00672D25">
      <w:pPr>
        <w:pStyle w:val="a7"/>
      </w:pPr>
      <w:r w:rsidRPr="00E96015">
        <w:rPr>
          <w:rStyle w:val="a6"/>
          <w:rFonts w:cs="FrankRuehl"/>
        </w:rPr>
        <w:footnoteRef/>
      </w:r>
      <w:r w:rsidRPr="00E96015">
        <w:rPr>
          <w:sz w:val="20"/>
          <w:rtl/>
        </w:rPr>
        <w:t xml:space="preserve"> ראה</w:t>
      </w:r>
      <w:r w:rsidRPr="00E96015">
        <w:rPr>
          <w:sz w:val="18"/>
          <w:szCs w:val="18"/>
        </w:rPr>
        <w:t xml:space="preserve">Shelly Kreiczer-Levy "The Mandatory Nature of Inheritance" 53 </w:t>
      </w:r>
      <w:r w:rsidRPr="00E96015">
        <w:rPr>
          <w:smallCaps/>
          <w:sz w:val="18"/>
          <w:szCs w:val="18"/>
        </w:rPr>
        <w:t>Am. J. Juris.</w:t>
      </w:r>
      <w:r w:rsidRPr="00E96015">
        <w:rPr>
          <w:sz w:val="18"/>
          <w:szCs w:val="18"/>
        </w:rPr>
        <w:t xml:space="preserve"> 105 113-114; Adam J. Hirsch "Default Rules in Inheritance Law: A Problem in Search of it's Context</w:t>
      </w:r>
      <w:r w:rsidRPr="00E96015">
        <w:rPr>
          <w:sz w:val="20"/>
        </w:rPr>
        <w:t xml:space="preserve">" 73 </w:t>
      </w:r>
      <w:r w:rsidRPr="00E96015">
        <w:rPr>
          <w:smallCaps/>
          <w:sz w:val="16"/>
          <w:szCs w:val="16"/>
        </w:rPr>
        <w:t>Fordham L. Rev.</w:t>
      </w:r>
      <w:r w:rsidRPr="00E96015">
        <w:rPr>
          <w:sz w:val="20"/>
        </w:rPr>
        <w:t xml:space="preserve"> 1031 (2004)</w:t>
      </w:r>
      <w:r w:rsidRPr="00E96015">
        <w:rPr>
          <w:sz w:val="18"/>
          <w:szCs w:val="18"/>
        </w:rPr>
        <w:t xml:space="preserve"> </w:t>
      </w:r>
    </w:p>
  </w:footnote>
  <w:footnote w:id="35">
    <w:p w:rsidR="00000000" w:rsidRDefault="00146D1D" w:rsidP="008815E9">
      <w:pPr>
        <w:pStyle w:val="a7"/>
      </w:pPr>
      <w:r w:rsidRPr="008E2094">
        <w:rPr>
          <w:rStyle w:val="a6"/>
          <w:rFonts w:cs="FrankRuehl"/>
        </w:rPr>
        <w:footnoteRef/>
      </w:r>
      <w:r w:rsidRPr="008E2094">
        <w:rPr>
          <w:sz w:val="20"/>
          <w:rtl/>
        </w:rPr>
        <w:t xml:space="preserve"> </w:t>
      </w:r>
      <w:r>
        <w:rPr>
          <w:sz w:val="20"/>
          <w:rtl/>
        </w:rPr>
        <w:t xml:space="preserve">כך הבהירה </w:t>
      </w:r>
      <w:r w:rsidRPr="00E96015">
        <w:rPr>
          <w:rtl/>
        </w:rPr>
        <w:t xml:space="preserve">הפסיקה </w:t>
      </w:r>
      <w:r>
        <w:rPr>
          <w:rtl/>
        </w:rPr>
        <w:t>כשדחתה את האפשרות לשלול זכות ירושה של בן זוג הידוע בציבור מכוח רצונו המשוער של המוריש, וקבעה שניתן לשלול זכות זו רק מכוח צוואה נוגדת. ראה:</w:t>
      </w:r>
      <w:r w:rsidRPr="008E2094">
        <w:rPr>
          <w:sz w:val="20"/>
          <w:rtl/>
        </w:rPr>
        <w:t xml:space="preserve"> ע"א 1717/98 </w:t>
      </w:r>
      <w:r w:rsidRPr="008E2094">
        <w:rPr>
          <w:b/>
          <w:bCs/>
          <w:sz w:val="20"/>
          <w:rtl/>
        </w:rPr>
        <w:t>בלאו נ' פוזש</w:t>
      </w:r>
      <w:r w:rsidRPr="008E2094">
        <w:rPr>
          <w:sz w:val="20"/>
          <w:rtl/>
        </w:rPr>
        <w:t>, פ"ד נד(4) 376</w:t>
      </w:r>
      <w:r>
        <w:rPr>
          <w:sz w:val="20"/>
          <w:rtl/>
        </w:rPr>
        <w:t>;</w:t>
      </w:r>
      <w:r>
        <w:rPr>
          <w:rtl/>
        </w:rPr>
        <w:t xml:space="preserve"> ע"מ (חי') 306/06 </w:t>
      </w:r>
      <w:r>
        <w:rPr>
          <w:b/>
          <w:bCs/>
          <w:rtl/>
        </w:rPr>
        <w:t>פלונית ואח' נ' אלמונית</w:t>
      </w:r>
      <w:r>
        <w:rPr>
          <w:rtl/>
        </w:rPr>
        <w:t xml:space="preserve">, 13.6.2007 </w:t>
      </w:r>
      <w:r w:rsidRPr="008E2094">
        <w:rPr>
          <w:sz w:val="20"/>
          <w:rtl/>
        </w:rPr>
        <w:t>(פורסם בנבו)</w:t>
      </w:r>
      <w:r>
        <w:rPr>
          <w:sz w:val="20"/>
          <w:rtl/>
        </w:rPr>
        <w:t xml:space="preserve">. וראה עוד, ש' ליפשיץ, "התכנון הכלכלי של המוות", </w:t>
      </w:r>
      <w:r>
        <w:rPr>
          <w:b/>
          <w:bCs/>
          <w:sz w:val="20"/>
          <w:rtl/>
        </w:rPr>
        <w:t>עת סיוע</w:t>
      </w:r>
      <w:r>
        <w:rPr>
          <w:sz w:val="20"/>
          <w:rtl/>
        </w:rPr>
        <w:t xml:space="preserve"> 2, </w:t>
      </w:r>
      <w:hyperlink r:id="rId1" w:history="1">
        <w:r w:rsidRPr="007265E8">
          <w:rPr>
            <w:rStyle w:val="Hyperlink"/>
            <w:rFonts w:cs="FrankRuehl"/>
            <w:sz w:val="18"/>
            <w:szCs w:val="18"/>
          </w:rPr>
          <w:t>http://tinyurl.com/Mishpacha</w:t>
        </w:r>
      </w:hyperlink>
      <w:r w:rsidRPr="007265E8">
        <w:rPr>
          <w:sz w:val="18"/>
          <w:szCs w:val="18"/>
          <w:rtl/>
        </w:rPr>
        <w:t>.</w:t>
      </w:r>
    </w:p>
  </w:footnote>
  <w:footnote w:id="36">
    <w:p w:rsidR="00000000" w:rsidRDefault="00146D1D">
      <w:pPr>
        <w:pStyle w:val="a7"/>
      </w:pPr>
      <w:r>
        <w:rPr>
          <w:rStyle w:val="a6"/>
          <w:rFonts w:cs="FrankRuehl"/>
        </w:rPr>
        <w:footnoteRef/>
      </w:r>
      <w:r>
        <w:rPr>
          <w:rtl/>
        </w:rPr>
        <w:t xml:space="preserve"> חלק חמישי, סעיף 693 וסעיף 705.</w:t>
      </w:r>
    </w:p>
  </w:footnote>
  <w:footnote w:id="37">
    <w:p w:rsidR="00000000" w:rsidRDefault="00146D1D" w:rsidP="00146D1D">
      <w:pPr>
        <w:pStyle w:val="a7"/>
      </w:pPr>
      <w:r w:rsidRPr="00146D1D">
        <w:rPr>
          <w:rStyle w:val="a6"/>
          <w:rFonts w:cs="FrankRuehl"/>
          <w:spacing w:val="-6"/>
        </w:rPr>
        <w:footnoteRef/>
      </w:r>
      <w:r w:rsidRPr="00146D1D">
        <w:rPr>
          <w:spacing w:val="-6"/>
          <w:sz w:val="20"/>
          <w:rtl/>
        </w:rPr>
        <w:t xml:space="preserve"> ש' שילה,</w:t>
      </w:r>
      <w:r w:rsidRPr="00146D1D">
        <w:rPr>
          <w:b/>
          <w:bCs/>
          <w:spacing w:val="-6"/>
          <w:sz w:val="20"/>
          <w:rtl/>
        </w:rPr>
        <w:t xml:space="preserve"> פירוש לחוק הירושה, התשכ"ה-1965</w:t>
      </w:r>
      <w:r w:rsidRPr="00146D1D">
        <w:rPr>
          <w:spacing w:val="-6"/>
          <w:sz w:val="20"/>
          <w:rtl/>
        </w:rPr>
        <w:t xml:space="preserve">, ירושלים תשנ"ב, </w:t>
      </w:r>
      <w:r w:rsidRPr="00146D1D">
        <w:rPr>
          <w:b/>
          <w:bCs/>
          <w:spacing w:val="-6"/>
          <w:sz w:val="20"/>
          <w:rtl/>
        </w:rPr>
        <w:t xml:space="preserve">עמ' </w:t>
      </w:r>
      <w:r w:rsidRPr="00146D1D">
        <w:rPr>
          <w:spacing w:val="-6"/>
          <w:sz w:val="20"/>
          <w:rtl/>
        </w:rPr>
        <w:t>123.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D1D" w:rsidRDefault="00146D1D" w:rsidP="004375C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D1D" w:rsidRDefault="00146D1D" w:rsidP="004375C4">
    <w:pPr>
      <w:pStyle w:val="a9"/>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4843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23E9B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6FE17F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868BF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3CCB7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F63C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5A16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508F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2C4F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9EA0EA8"/>
    <w:lvl w:ilvl="0">
      <w:start w:val="1"/>
      <w:numFmt w:val="bullet"/>
      <w:lvlText w:val=""/>
      <w:lvlJc w:val="left"/>
      <w:pPr>
        <w:tabs>
          <w:tab w:val="num" w:pos="360"/>
        </w:tabs>
        <w:ind w:left="360" w:hanging="360"/>
      </w:pPr>
      <w:rPr>
        <w:rFonts w:ascii="Symbol" w:hAnsi="Symbol" w:hint="default"/>
      </w:rPr>
    </w:lvl>
  </w:abstractNum>
  <w:abstractNum w:abstractNumId="10">
    <w:nsid w:val="05C03E1D"/>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B1E0477"/>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nsid w:val="1F372D95"/>
    <w:multiLevelType w:val="multilevel"/>
    <w:tmpl w:val="04090023"/>
    <w:styleLink w:val="a"/>
    <w:lvl w:ilvl="0">
      <w:start w:val="1"/>
      <w:numFmt w:val="upperRoman"/>
      <w:lvlText w:val="מאמר %1."/>
      <w:lvlJc w:val="left"/>
      <w:pPr>
        <w:tabs>
          <w:tab w:val="num" w:pos="1080"/>
        </w:tabs>
      </w:pPr>
      <w:rPr>
        <w:rFonts w:cs="Times New Roman"/>
      </w:rPr>
    </w:lvl>
    <w:lvl w:ilvl="1">
      <w:start w:val="1"/>
      <w:numFmt w:val="decimalZero"/>
      <w:isLgl/>
      <w:lvlText w:val="סעיף %1.%2"/>
      <w:lvlJc w:val="left"/>
      <w:pPr>
        <w:tabs>
          <w:tab w:val="num" w:pos="72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33230C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83016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C4C3A72"/>
    <w:multiLevelType w:val="multilevel"/>
    <w:tmpl w:val="04090023"/>
    <w:lvl w:ilvl="0">
      <w:start w:val="1"/>
      <w:numFmt w:val="upperRoman"/>
      <w:lvlText w:val="מאמר %1."/>
      <w:lvlJc w:val="left"/>
      <w:pPr>
        <w:ind w:left="0" w:firstLine="0"/>
      </w:pPr>
    </w:lvl>
    <w:lvl w:ilvl="1">
      <w:start w:val="1"/>
      <w:numFmt w:val="decimalZero"/>
      <w:isLgl/>
      <w:lvlText w:val="סעיף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11"/>
  </w:num>
  <w:num w:numId="23">
    <w:abstractNumId w:val="10"/>
  </w:num>
  <w:num w:numId="24">
    <w:abstractNumId w:val="12"/>
  </w:num>
  <w:num w:numId="25">
    <w:abstractNumId w:val="14"/>
  </w:num>
  <w:num w:numId="26">
    <w:abstractNumId w:val="13"/>
  </w:num>
  <w:num w:numId="27">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6E4AF6"/>
    <w:rsid w:val="00003603"/>
    <w:rsid w:val="00017689"/>
    <w:rsid w:val="00020D5E"/>
    <w:rsid w:val="00023699"/>
    <w:rsid w:val="00042DE5"/>
    <w:rsid w:val="00044DA7"/>
    <w:rsid w:val="0006299B"/>
    <w:rsid w:val="0006301D"/>
    <w:rsid w:val="000802B4"/>
    <w:rsid w:val="00087593"/>
    <w:rsid w:val="00091052"/>
    <w:rsid w:val="000C236B"/>
    <w:rsid w:val="000D3654"/>
    <w:rsid w:val="000D4294"/>
    <w:rsid w:val="000E70CE"/>
    <w:rsid w:val="00101AFF"/>
    <w:rsid w:val="00107D88"/>
    <w:rsid w:val="001226AB"/>
    <w:rsid w:val="00140C04"/>
    <w:rsid w:val="00146D1D"/>
    <w:rsid w:val="001474C4"/>
    <w:rsid w:val="00167C83"/>
    <w:rsid w:val="00186621"/>
    <w:rsid w:val="001B2FD3"/>
    <w:rsid w:val="001D6A77"/>
    <w:rsid w:val="001F5974"/>
    <w:rsid w:val="002065BF"/>
    <w:rsid w:val="002118F7"/>
    <w:rsid w:val="00233E39"/>
    <w:rsid w:val="00246881"/>
    <w:rsid w:val="002712B8"/>
    <w:rsid w:val="002847B3"/>
    <w:rsid w:val="00295558"/>
    <w:rsid w:val="00297D1E"/>
    <w:rsid w:val="002A3F49"/>
    <w:rsid w:val="002B2E2C"/>
    <w:rsid w:val="002C1B0D"/>
    <w:rsid w:val="002C2C76"/>
    <w:rsid w:val="002C5068"/>
    <w:rsid w:val="002D1085"/>
    <w:rsid w:val="002E2E4E"/>
    <w:rsid w:val="002E4A6F"/>
    <w:rsid w:val="00302988"/>
    <w:rsid w:val="00310C04"/>
    <w:rsid w:val="00322D21"/>
    <w:rsid w:val="00330E98"/>
    <w:rsid w:val="00344F0D"/>
    <w:rsid w:val="003779A4"/>
    <w:rsid w:val="00393EB8"/>
    <w:rsid w:val="00396244"/>
    <w:rsid w:val="003C0D94"/>
    <w:rsid w:val="003C123E"/>
    <w:rsid w:val="00406AEC"/>
    <w:rsid w:val="00406E1D"/>
    <w:rsid w:val="004375C4"/>
    <w:rsid w:val="00452CBC"/>
    <w:rsid w:val="0047474E"/>
    <w:rsid w:val="004A1B88"/>
    <w:rsid w:val="004D3FF7"/>
    <w:rsid w:val="004D5720"/>
    <w:rsid w:val="005009D4"/>
    <w:rsid w:val="00505C67"/>
    <w:rsid w:val="00513D42"/>
    <w:rsid w:val="005221B1"/>
    <w:rsid w:val="005376BC"/>
    <w:rsid w:val="005720C3"/>
    <w:rsid w:val="00594FDA"/>
    <w:rsid w:val="006068F6"/>
    <w:rsid w:val="006110BC"/>
    <w:rsid w:val="00617E8D"/>
    <w:rsid w:val="00643CD5"/>
    <w:rsid w:val="00672D25"/>
    <w:rsid w:val="00686F11"/>
    <w:rsid w:val="006B7FFD"/>
    <w:rsid w:val="006C4523"/>
    <w:rsid w:val="006C7FB6"/>
    <w:rsid w:val="006D172F"/>
    <w:rsid w:val="006D2C3C"/>
    <w:rsid w:val="006E4AF6"/>
    <w:rsid w:val="00712A1E"/>
    <w:rsid w:val="007265E8"/>
    <w:rsid w:val="007A7D17"/>
    <w:rsid w:val="007D083D"/>
    <w:rsid w:val="007E149A"/>
    <w:rsid w:val="007F0D55"/>
    <w:rsid w:val="008135BE"/>
    <w:rsid w:val="00814517"/>
    <w:rsid w:val="00815279"/>
    <w:rsid w:val="00833BFD"/>
    <w:rsid w:val="0084239A"/>
    <w:rsid w:val="00861BD2"/>
    <w:rsid w:val="008815E9"/>
    <w:rsid w:val="008908E4"/>
    <w:rsid w:val="008A5626"/>
    <w:rsid w:val="008E2094"/>
    <w:rsid w:val="008E59FE"/>
    <w:rsid w:val="008F3DBE"/>
    <w:rsid w:val="00903424"/>
    <w:rsid w:val="009116EC"/>
    <w:rsid w:val="00922B67"/>
    <w:rsid w:val="00930332"/>
    <w:rsid w:val="0093473B"/>
    <w:rsid w:val="00935B26"/>
    <w:rsid w:val="00942A55"/>
    <w:rsid w:val="00955021"/>
    <w:rsid w:val="009607A1"/>
    <w:rsid w:val="00966E5B"/>
    <w:rsid w:val="00986122"/>
    <w:rsid w:val="00992204"/>
    <w:rsid w:val="009933FB"/>
    <w:rsid w:val="009B2B93"/>
    <w:rsid w:val="009F15D5"/>
    <w:rsid w:val="009F4AAF"/>
    <w:rsid w:val="00A420D0"/>
    <w:rsid w:val="00A60F77"/>
    <w:rsid w:val="00AB57B5"/>
    <w:rsid w:val="00AD71E7"/>
    <w:rsid w:val="00AE66E0"/>
    <w:rsid w:val="00B229BB"/>
    <w:rsid w:val="00B942CB"/>
    <w:rsid w:val="00C05FDD"/>
    <w:rsid w:val="00C06717"/>
    <w:rsid w:val="00C7077C"/>
    <w:rsid w:val="00C97609"/>
    <w:rsid w:val="00CB0FF0"/>
    <w:rsid w:val="00CD63F4"/>
    <w:rsid w:val="00CE4994"/>
    <w:rsid w:val="00D04895"/>
    <w:rsid w:val="00D13505"/>
    <w:rsid w:val="00D24F12"/>
    <w:rsid w:val="00D44178"/>
    <w:rsid w:val="00D53631"/>
    <w:rsid w:val="00D57CE7"/>
    <w:rsid w:val="00D642EC"/>
    <w:rsid w:val="00DE1115"/>
    <w:rsid w:val="00DE3CDF"/>
    <w:rsid w:val="00E11CEC"/>
    <w:rsid w:val="00E343D2"/>
    <w:rsid w:val="00E47078"/>
    <w:rsid w:val="00E5578C"/>
    <w:rsid w:val="00E6346B"/>
    <w:rsid w:val="00E6385C"/>
    <w:rsid w:val="00E65D47"/>
    <w:rsid w:val="00E96015"/>
    <w:rsid w:val="00EA07F9"/>
    <w:rsid w:val="00EA7A1F"/>
    <w:rsid w:val="00EB260A"/>
    <w:rsid w:val="00EC35ED"/>
    <w:rsid w:val="00EC6A9D"/>
    <w:rsid w:val="00EC6CAF"/>
    <w:rsid w:val="00EE3765"/>
    <w:rsid w:val="00EE4987"/>
    <w:rsid w:val="00EE6CD9"/>
    <w:rsid w:val="00EF1A11"/>
    <w:rsid w:val="00F17D75"/>
    <w:rsid w:val="00F504D6"/>
    <w:rsid w:val="00F64109"/>
    <w:rsid w:val="00F74F44"/>
    <w:rsid w:val="00F758AF"/>
    <w:rsid w:val="00F87BEB"/>
    <w:rsid w:val="00F93CC7"/>
    <w:rsid w:val="00F94F43"/>
    <w:rsid w:val="00FA136A"/>
    <w:rsid w:val="00FB10AB"/>
    <w:rsid w:val="00FB253E"/>
    <w:rsid w:val="00FB56FB"/>
    <w:rsid w:val="00FE047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75C4"/>
    <w:pPr>
      <w:autoSpaceDE w:val="0"/>
      <w:autoSpaceDN w:val="0"/>
      <w:bidi/>
      <w:spacing w:after="120" w:line="300" w:lineRule="exact"/>
      <w:jc w:val="both"/>
    </w:pPr>
    <w:rPr>
      <w:rFonts w:cs="FrankRuehl"/>
      <w:sz w:val="24"/>
      <w:szCs w:val="24"/>
    </w:rPr>
  </w:style>
  <w:style w:type="paragraph" w:styleId="1">
    <w:name w:val="heading 1"/>
    <w:aliases w:val="כותרת 1 ישן"/>
    <w:basedOn w:val="a0"/>
    <w:next w:val="a0"/>
    <w:link w:val="10"/>
    <w:uiPriority w:val="99"/>
    <w:qFormat/>
    <w:pPr>
      <w:keepNext/>
      <w:spacing w:line="240" w:lineRule="auto"/>
      <w:jc w:val="center"/>
      <w:outlineLvl w:val="0"/>
    </w:pPr>
    <w:rPr>
      <w:rFonts w:cs="RmzRashi"/>
      <w:b/>
      <w:bCs/>
      <w:shadow/>
      <w:szCs w:val="88"/>
    </w:rPr>
  </w:style>
  <w:style w:type="paragraph" w:styleId="2">
    <w:name w:val="heading 2"/>
    <w:basedOn w:val="a0"/>
    <w:next w:val="a0"/>
    <w:link w:val="20"/>
    <w:uiPriority w:val="99"/>
    <w:qFormat/>
    <w:pPr>
      <w:keepNext/>
      <w:spacing w:before="240"/>
      <w:jc w:val="left"/>
      <w:outlineLvl w:val="1"/>
    </w:pPr>
    <w:rPr>
      <w:b/>
      <w:bCs/>
      <w:shadow/>
      <w:szCs w:val="28"/>
    </w:rPr>
  </w:style>
  <w:style w:type="paragraph" w:styleId="3">
    <w:name w:val="heading 3"/>
    <w:basedOn w:val="a0"/>
    <w:next w:val="a0"/>
    <w:link w:val="30"/>
    <w:uiPriority w:val="99"/>
    <w:qFormat/>
    <w:pPr>
      <w:keepNext/>
      <w:spacing w:after="0" w:line="280" w:lineRule="exact"/>
      <w:jc w:val="center"/>
      <w:outlineLvl w:val="2"/>
    </w:pPr>
    <w:rPr>
      <w:b/>
      <w:bCs/>
    </w:rPr>
  </w:style>
  <w:style w:type="paragraph" w:styleId="4">
    <w:name w:val="heading 4"/>
    <w:basedOn w:val="a0"/>
    <w:next w:val="a0"/>
    <w:link w:val="40"/>
    <w:uiPriority w:val="99"/>
    <w:qFormat/>
    <w:pPr>
      <w:keepNext/>
      <w:spacing w:line="360" w:lineRule="auto"/>
      <w:outlineLvl w:val="3"/>
    </w:pPr>
    <w:rPr>
      <w:b/>
      <w:bCs/>
      <w:szCs w:val="22"/>
    </w:rPr>
  </w:style>
  <w:style w:type="paragraph" w:styleId="5">
    <w:name w:val="heading 5"/>
    <w:basedOn w:val="a0"/>
    <w:next w:val="a0"/>
    <w:link w:val="50"/>
    <w:uiPriority w:val="99"/>
    <w:qFormat/>
    <w:pPr>
      <w:keepNext/>
      <w:outlineLvl w:val="4"/>
    </w:pPr>
    <w:rPr>
      <w:b/>
      <w:bCs/>
    </w:rPr>
  </w:style>
  <w:style w:type="paragraph" w:styleId="6">
    <w:name w:val="heading 6"/>
    <w:basedOn w:val="a0"/>
    <w:next w:val="a0"/>
    <w:link w:val="60"/>
    <w:uiPriority w:val="99"/>
    <w:qFormat/>
    <w:pPr>
      <w:keepNext/>
      <w:spacing w:line="360" w:lineRule="auto"/>
      <w:jc w:val="center"/>
      <w:outlineLvl w:val="5"/>
    </w:pPr>
    <w:rPr>
      <w:rFonts w:cs="RmzRashi"/>
      <w:b/>
      <w:bCs/>
      <w:szCs w:val="72"/>
    </w:rPr>
  </w:style>
  <w:style w:type="paragraph" w:styleId="7">
    <w:name w:val="heading 7"/>
    <w:basedOn w:val="a0"/>
    <w:next w:val="a0"/>
    <w:link w:val="70"/>
    <w:uiPriority w:val="99"/>
    <w:qFormat/>
    <w:pPr>
      <w:numPr>
        <w:ilvl w:val="6"/>
        <w:numId w:val="1"/>
      </w:numPr>
      <w:tabs>
        <w:tab w:val="clear" w:pos="360"/>
      </w:tabs>
      <w:spacing w:before="240" w:after="60"/>
      <w:ind w:left="0" w:right="2124" w:hanging="709"/>
      <w:outlineLvl w:val="6"/>
    </w:pPr>
    <w:rPr>
      <w:rFonts w:ascii="Arial" w:hAnsi="Arial" w:cs="Miriam"/>
      <w:szCs w:val="20"/>
    </w:rPr>
  </w:style>
  <w:style w:type="paragraph" w:styleId="8">
    <w:name w:val="heading 8"/>
    <w:basedOn w:val="a0"/>
    <w:next w:val="a0"/>
    <w:link w:val="80"/>
    <w:uiPriority w:val="99"/>
    <w:qFormat/>
    <w:pPr>
      <w:numPr>
        <w:ilvl w:val="7"/>
        <w:numId w:val="1"/>
      </w:numPr>
      <w:tabs>
        <w:tab w:val="clear" w:pos="360"/>
      </w:tabs>
      <w:spacing w:before="240" w:after="60"/>
      <w:ind w:left="0" w:right="2832" w:hanging="709"/>
      <w:outlineLvl w:val="7"/>
    </w:pPr>
    <w:rPr>
      <w:rFonts w:ascii="Arial" w:hAnsi="Arial" w:cs="Miriam"/>
      <w:i/>
      <w:iCs/>
      <w:szCs w:val="20"/>
    </w:rPr>
  </w:style>
  <w:style w:type="paragraph" w:styleId="9">
    <w:name w:val="heading 9"/>
    <w:basedOn w:val="a0"/>
    <w:next w:val="a0"/>
    <w:link w:val="90"/>
    <w:uiPriority w:val="99"/>
    <w:qFormat/>
    <w:pPr>
      <w:numPr>
        <w:ilvl w:val="8"/>
        <w:numId w:val="1"/>
      </w:numPr>
      <w:tabs>
        <w:tab w:val="clear" w:pos="360"/>
      </w:tabs>
      <w:spacing w:before="240" w:after="60"/>
      <w:ind w:left="0" w:right="3540" w:hanging="709"/>
      <w:outlineLvl w:val="8"/>
    </w:pPr>
    <w:rPr>
      <w:rFonts w:ascii="Arial" w:hAnsi="Arial" w:cs="Miriam"/>
      <w:i/>
      <w:iCs/>
      <w:sz w:val="18"/>
      <w:szCs w:val="18"/>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aliases w:val="כותרת 1 ישן תו"/>
    <w:basedOn w:val="a1"/>
    <w:link w:val="1"/>
    <w:uiPriority w:val="99"/>
    <w:locked/>
    <w:rPr>
      <w:rFonts w:ascii="Cambria" w:hAnsi="Cambria" w:cs="Times New Roman"/>
      <w:b/>
      <w:bCs/>
      <w:kern w:val="32"/>
      <w:sz w:val="32"/>
      <w:szCs w:val="32"/>
    </w:rPr>
  </w:style>
  <w:style w:type="character" w:customStyle="1" w:styleId="20">
    <w:name w:val="כותרת 2 תו"/>
    <w:basedOn w:val="a1"/>
    <w:link w:val="2"/>
    <w:uiPriority w:val="99"/>
    <w:semiHidden/>
    <w:locked/>
    <w:rPr>
      <w:rFonts w:ascii="Cambria" w:hAnsi="Cambria" w:cs="Times New Roman"/>
      <w:b/>
      <w:bCs/>
      <w:i/>
      <w:iCs/>
      <w:sz w:val="28"/>
      <w:szCs w:val="28"/>
    </w:rPr>
  </w:style>
  <w:style w:type="character" w:customStyle="1" w:styleId="30">
    <w:name w:val="כותרת 3 תו"/>
    <w:basedOn w:val="a1"/>
    <w:link w:val="3"/>
    <w:uiPriority w:val="99"/>
    <w:semiHidden/>
    <w:locked/>
    <w:rPr>
      <w:rFonts w:ascii="Cambria" w:hAnsi="Cambria" w:cs="Times New Roman"/>
      <w:b/>
      <w:bCs/>
      <w:sz w:val="26"/>
      <w:szCs w:val="26"/>
    </w:rPr>
  </w:style>
  <w:style w:type="character" w:customStyle="1" w:styleId="40">
    <w:name w:val="כותרת 4 תו"/>
    <w:basedOn w:val="a1"/>
    <w:link w:val="4"/>
    <w:uiPriority w:val="99"/>
    <w:semiHidden/>
    <w:locked/>
    <w:rPr>
      <w:rFonts w:ascii="Calibri" w:hAnsi="Calibri" w:cs="Arial"/>
      <w:b/>
      <w:bCs/>
      <w:sz w:val="28"/>
      <w:szCs w:val="28"/>
    </w:rPr>
  </w:style>
  <w:style w:type="character" w:customStyle="1" w:styleId="50">
    <w:name w:val="כותרת 5 תו"/>
    <w:basedOn w:val="a1"/>
    <w:link w:val="5"/>
    <w:uiPriority w:val="99"/>
    <w:semiHidden/>
    <w:locked/>
    <w:rPr>
      <w:rFonts w:ascii="Calibri" w:hAnsi="Calibri" w:cs="Arial"/>
      <w:b/>
      <w:bCs/>
      <w:i/>
      <w:iCs/>
      <w:sz w:val="26"/>
      <w:szCs w:val="26"/>
    </w:rPr>
  </w:style>
  <w:style w:type="character" w:customStyle="1" w:styleId="60">
    <w:name w:val="כותרת 6 תו"/>
    <w:basedOn w:val="a1"/>
    <w:link w:val="6"/>
    <w:uiPriority w:val="99"/>
    <w:semiHidden/>
    <w:locked/>
    <w:rPr>
      <w:rFonts w:ascii="Calibri" w:hAnsi="Calibri" w:cs="Arial"/>
      <w:b/>
      <w:bCs/>
      <w:sz w:val="22"/>
      <w:szCs w:val="22"/>
    </w:rPr>
  </w:style>
  <w:style w:type="character" w:customStyle="1" w:styleId="70">
    <w:name w:val="כותרת 7 תו"/>
    <w:basedOn w:val="a1"/>
    <w:link w:val="7"/>
    <w:uiPriority w:val="99"/>
    <w:locked/>
    <w:rPr>
      <w:rFonts w:ascii="Arial" w:hAnsi="Arial" w:cs="Miriam"/>
      <w:sz w:val="20"/>
      <w:szCs w:val="20"/>
      <w:lang w:bidi="he-IL"/>
    </w:rPr>
  </w:style>
  <w:style w:type="character" w:customStyle="1" w:styleId="80">
    <w:name w:val="כותרת 8 תו"/>
    <w:basedOn w:val="a1"/>
    <w:link w:val="8"/>
    <w:uiPriority w:val="99"/>
    <w:locked/>
    <w:rPr>
      <w:rFonts w:ascii="Arial" w:hAnsi="Arial" w:cs="Miriam"/>
      <w:i/>
      <w:iCs/>
      <w:sz w:val="20"/>
      <w:szCs w:val="20"/>
      <w:lang w:bidi="he-IL"/>
    </w:rPr>
  </w:style>
  <w:style w:type="character" w:customStyle="1" w:styleId="90">
    <w:name w:val="כותרת 9 תו"/>
    <w:basedOn w:val="a1"/>
    <w:link w:val="9"/>
    <w:uiPriority w:val="99"/>
    <w:locked/>
    <w:rPr>
      <w:rFonts w:ascii="Arial" w:hAnsi="Arial" w:cs="Miriam"/>
      <w:i/>
      <w:iCs/>
      <w:sz w:val="18"/>
      <w:szCs w:val="18"/>
      <w:lang w:bidi="he-IL"/>
    </w:rPr>
  </w:style>
  <w:style w:type="paragraph" w:styleId="a4">
    <w:name w:val="footer"/>
    <w:basedOn w:val="a0"/>
    <w:link w:val="a5"/>
    <w:uiPriority w:val="99"/>
    <w:semiHidden/>
    <w:pPr>
      <w:tabs>
        <w:tab w:val="center" w:pos="4153"/>
        <w:tab w:val="right" w:pos="8306"/>
      </w:tabs>
      <w:spacing w:line="360" w:lineRule="auto"/>
    </w:pPr>
  </w:style>
  <w:style w:type="character" w:customStyle="1" w:styleId="a5">
    <w:name w:val="כותרת תחתונה תו"/>
    <w:basedOn w:val="a1"/>
    <w:link w:val="a4"/>
    <w:uiPriority w:val="99"/>
    <w:semiHidden/>
    <w:locked/>
    <w:rPr>
      <w:rFonts w:cs="FrankRuehl"/>
      <w:sz w:val="24"/>
      <w:szCs w:val="24"/>
      <w:lang w:bidi="he-IL"/>
    </w:rPr>
  </w:style>
  <w:style w:type="character" w:styleId="a6">
    <w:name w:val="footnote reference"/>
    <w:basedOn w:val="a1"/>
    <w:uiPriority w:val="99"/>
    <w:rsid w:val="00F93CC7"/>
    <w:rPr>
      <w:rFonts w:ascii="FrankRuehl" w:hAnsi="FrankRuehl" w:cs="Times New Roman"/>
      <w:sz w:val="20"/>
      <w:vertAlign w:val="superscript"/>
      <w:lang w:bidi="he-IL"/>
    </w:rPr>
  </w:style>
  <w:style w:type="paragraph" w:styleId="a7">
    <w:name w:val="footnote text"/>
    <w:basedOn w:val="a0"/>
    <w:link w:val="a8"/>
    <w:uiPriority w:val="99"/>
    <w:rsid w:val="00186621"/>
    <w:pPr>
      <w:spacing w:after="0" w:line="240" w:lineRule="auto"/>
      <w:ind w:left="142" w:hanging="142"/>
    </w:pPr>
    <w:rPr>
      <w:rFonts w:ascii="FrankRuehl" w:hAnsi="FrankRuehl"/>
      <w:szCs w:val="20"/>
    </w:rPr>
  </w:style>
  <w:style w:type="character" w:customStyle="1" w:styleId="a8">
    <w:name w:val="טקסט הערת שוליים תו"/>
    <w:basedOn w:val="a1"/>
    <w:link w:val="a7"/>
    <w:uiPriority w:val="99"/>
    <w:locked/>
    <w:rsid w:val="00955021"/>
    <w:rPr>
      <w:rFonts w:ascii="FrankRuehl" w:hAnsi="FrankRuehl" w:cs="Times New Roman"/>
      <w:sz w:val="24"/>
      <w:lang w:bidi="he-IL"/>
    </w:rPr>
  </w:style>
  <w:style w:type="paragraph" w:styleId="a9">
    <w:name w:val="header"/>
    <w:basedOn w:val="a0"/>
    <w:link w:val="aa"/>
    <w:uiPriority w:val="99"/>
    <w:semiHidden/>
    <w:pPr>
      <w:tabs>
        <w:tab w:val="center" w:pos="4153"/>
        <w:tab w:val="right" w:pos="8306"/>
      </w:tabs>
      <w:spacing w:line="360" w:lineRule="auto"/>
      <w:jc w:val="center"/>
    </w:pPr>
    <w:rPr>
      <w:szCs w:val="20"/>
    </w:rPr>
  </w:style>
  <w:style w:type="character" w:customStyle="1" w:styleId="aa">
    <w:name w:val="כותרת עליונה תו"/>
    <w:basedOn w:val="a1"/>
    <w:link w:val="a9"/>
    <w:uiPriority w:val="99"/>
    <w:semiHidden/>
    <w:locked/>
    <w:rPr>
      <w:rFonts w:cs="FrankRuehl"/>
      <w:sz w:val="24"/>
      <w:szCs w:val="24"/>
      <w:lang w:bidi="he-IL"/>
    </w:rPr>
  </w:style>
  <w:style w:type="character" w:styleId="ab">
    <w:name w:val="page number"/>
    <w:basedOn w:val="a1"/>
    <w:uiPriority w:val="99"/>
    <w:semiHidden/>
    <w:rPr>
      <w:rFonts w:cs="Times New Roman"/>
      <w:sz w:val="22"/>
    </w:rPr>
  </w:style>
  <w:style w:type="paragraph" w:styleId="TOC1">
    <w:name w:val="toc 1"/>
    <w:basedOn w:val="a0"/>
    <w:next w:val="a0"/>
    <w:autoRedefine/>
    <w:uiPriority w:val="99"/>
    <w:semiHidden/>
    <w:pPr>
      <w:tabs>
        <w:tab w:val="right" w:pos="8313"/>
      </w:tabs>
      <w:spacing w:before="360"/>
    </w:pPr>
    <w:rPr>
      <w:rFonts w:ascii="Arial" w:hAnsi="Arial"/>
      <w:szCs w:val="33"/>
    </w:rPr>
  </w:style>
  <w:style w:type="paragraph" w:styleId="TOC2">
    <w:name w:val="toc 2"/>
    <w:basedOn w:val="a0"/>
    <w:next w:val="a0"/>
    <w:autoRedefine/>
    <w:uiPriority w:val="99"/>
    <w:semiHidden/>
    <w:pPr>
      <w:tabs>
        <w:tab w:val="right" w:pos="8313"/>
      </w:tabs>
      <w:ind w:right="240"/>
    </w:pPr>
    <w:rPr>
      <w:szCs w:val="28"/>
    </w:rPr>
  </w:style>
  <w:style w:type="paragraph" w:styleId="TOC3">
    <w:name w:val="toc 3"/>
    <w:basedOn w:val="a0"/>
    <w:next w:val="a0"/>
    <w:autoRedefine/>
    <w:uiPriority w:val="99"/>
    <w:semiHidden/>
    <w:pPr>
      <w:tabs>
        <w:tab w:val="right" w:pos="8313"/>
      </w:tabs>
      <w:ind w:right="482"/>
      <w:jc w:val="left"/>
    </w:pPr>
    <w:rPr>
      <w:szCs w:val="28"/>
    </w:rPr>
  </w:style>
  <w:style w:type="paragraph" w:styleId="TOC4">
    <w:name w:val="toc 4"/>
    <w:basedOn w:val="a0"/>
    <w:next w:val="a0"/>
    <w:autoRedefine/>
    <w:uiPriority w:val="99"/>
    <w:semiHidden/>
    <w:pPr>
      <w:tabs>
        <w:tab w:val="right" w:pos="8313"/>
      </w:tabs>
      <w:ind w:right="720"/>
      <w:jc w:val="left"/>
    </w:pPr>
    <w:rPr>
      <w:szCs w:val="20"/>
    </w:rPr>
  </w:style>
  <w:style w:type="paragraph" w:styleId="TOC5">
    <w:name w:val="toc 5"/>
    <w:basedOn w:val="a0"/>
    <w:next w:val="a0"/>
    <w:autoRedefine/>
    <w:uiPriority w:val="99"/>
    <w:semiHidden/>
    <w:pPr>
      <w:tabs>
        <w:tab w:val="right" w:pos="8313"/>
      </w:tabs>
      <w:ind w:right="960"/>
      <w:jc w:val="left"/>
    </w:pPr>
    <w:rPr>
      <w:rFonts w:cs="Miriam"/>
    </w:rPr>
  </w:style>
  <w:style w:type="paragraph" w:styleId="TOC6">
    <w:name w:val="toc 6"/>
    <w:basedOn w:val="a0"/>
    <w:next w:val="a0"/>
    <w:autoRedefine/>
    <w:uiPriority w:val="99"/>
    <w:semiHidden/>
    <w:pPr>
      <w:tabs>
        <w:tab w:val="right" w:pos="8313"/>
      </w:tabs>
      <w:ind w:right="1200"/>
      <w:jc w:val="left"/>
    </w:pPr>
    <w:rPr>
      <w:rFonts w:cs="Miriam"/>
    </w:rPr>
  </w:style>
  <w:style w:type="paragraph" w:styleId="TOC7">
    <w:name w:val="toc 7"/>
    <w:basedOn w:val="a0"/>
    <w:next w:val="a0"/>
    <w:autoRedefine/>
    <w:uiPriority w:val="99"/>
    <w:semiHidden/>
    <w:pPr>
      <w:tabs>
        <w:tab w:val="right" w:pos="8313"/>
      </w:tabs>
      <w:ind w:right="1440"/>
      <w:jc w:val="left"/>
    </w:pPr>
    <w:rPr>
      <w:rFonts w:cs="Miriam"/>
    </w:rPr>
  </w:style>
  <w:style w:type="paragraph" w:styleId="TOC8">
    <w:name w:val="toc 8"/>
    <w:basedOn w:val="a0"/>
    <w:next w:val="a0"/>
    <w:autoRedefine/>
    <w:uiPriority w:val="99"/>
    <w:semiHidden/>
    <w:pPr>
      <w:tabs>
        <w:tab w:val="right" w:pos="8313"/>
      </w:tabs>
      <w:ind w:right="1680"/>
      <w:jc w:val="left"/>
    </w:pPr>
    <w:rPr>
      <w:rFonts w:cs="Miriam"/>
    </w:rPr>
  </w:style>
  <w:style w:type="paragraph" w:styleId="TOC9">
    <w:name w:val="toc 9"/>
    <w:basedOn w:val="a0"/>
    <w:next w:val="a0"/>
    <w:autoRedefine/>
    <w:uiPriority w:val="99"/>
    <w:semiHidden/>
    <w:pPr>
      <w:tabs>
        <w:tab w:val="right" w:pos="8313"/>
      </w:tabs>
      <w:ind w:right="1920"/>
      <w:jc w:val="left"/>
    </w:pPr>
    <w:rPr>
      <w:rFonts w:cs="Miriam"/>
    </w:rPr>
  </w:style>
  <w:style w:type="paragraph" w:customStyle="1" w:styleId="ac">
    <w:name w:val="הערות"/>
    <w:basedOn w:val="a0"/>
    <w:uiPriority w:val="99"/>
    <w:semiHidden/>
    <w:pPr>
      <w:spacing w:line="240" w:lineRule="auto"/>
      <w:ind w:right="284" w:hanging="284"/>
    </w:pPr>
  </w:style>
  <w:style w:type="paragraph" w:customStyle="1" w:styleId="ad">
    <w:name w:val="פרקים"/>
    <w:basedOn w:val="a0"/>
    <w:uiPriority w:val="99"/>
    <w:semiHidden/>
    <w:pPr>
      <w:jc w:val="center"/>
    </w:pPr>
    <w:rPr>
      <w:b/>
      <w:bCs/>
      <w:szCs w:val="36"/>
    </w:rPr>
  </w:style>
  <w:style w:type="paragraph" w:customStyle="1" w:styleId="ae">
    <w:name w:val="ציטטה"/>
    <w:basedOn w:val="a0"/>
    <w:uiPriority w:val="99"/>
    <w:rsid w:val="007E149A"/>
    <w:pPr>
      <w:ind w:left="340"/>
    </w:pPr>
  </w:style>
  <w:style w:type="paragraph" w:customStyle="1" w:styleId="af">
    <w:name w:val="כניסה"/>
    <w:basedOn w:val="a0"/>
    <w:uiPriority w:val="99"/>
    <w:semiHidden/>
    <w:pPr>
      <w:ind w:left="1247" w:right="1304"/>
    </w:pPr>
    <w:rPr>
      <w:rFonts w:cs="David"/>
    </w:rPr>
  </w:style>
  <w:style w:type="paragraph" w:styleId="af0">
    <w:name w:val="Body Text"/>
    <w:basedOn w:val="a0"/>
    <w:link w:val="af1"/>
    <w:uiPriority w:val="99"/>
    <w:semiHidden/>
    <w:pPr>
      <w:spacing w:line="220" w:lineRule="exact"/>
    </w:pPr>
  </w:style>
  <w:style w:type="character" w:customStyle="1" w:styleId="af1">
    <w:name w:val="גוף טקסט תו"/>
    <w:basedOn w:val="a1"/>
    <w:link w:val="af0"/>
    <w:uiPriority w:val="99"/>
    <w:semiHidden/>
    <w:locked/>
    <w:rPr>
      <w:rFonts w:cs="FrankRuehl"/>
      <w:sz w:val="24"/>
      <w:szCs w:val="24"/>
      <w:lang w:bidi="he-IL"/>
    </w:rPr>
  </w:style>
  <w:style w:type="paragraph" w:styleId="af2">
    <w:name w:val="endnote text"/>
    <w:basedOn w:val="a0"/>
    <w:link w:val="af3"/>
    <w:uiPriority w:val="99"/>
    <w:semiHidden/>
  </w:style>
  <w:style w:type="character" w:customStyle="1" w:styleId="af3">
    <w:name w:val="טקסט הערת סיום תו"/>
    <w:basedOn w:val="a1"/>
    <w:link w:val="af2"/>
    <w:uiPriority w:val="99"/>
    <w:semiHidden/>
    <w:locked/>
    <w:rPr>
      <w:rFonts w:cs="FrankRuehl"/>
      <w:lang w:bidi="he-IL"/>
    </w:rPr>
  </w:style>
  <w:style w:type="character" w:styleId="af4">
    <w:name w:val="endnote reference"/>
    <w:basedOn w:val="a1"/>
    <w:uiPriority w:val="99"/>
    <w:semiHidden/>
    <w:rPr>
      <w:rFonts w:cs="Times New Roman"/>
      <w:vertAlign w:val="superscript"/>
    </w:rPr>
  </w:style>
  <w:style w:type="paragraph" w:styleId="21">
    <w:name w:val="Body Text 2"/>
    <w:basedOn w:val="a0"/>
    <w:link w:val="22"/>
    <w:uiPriority w:val="99"/>
    <w:semiHidden/>
    <w:rPr>
      <w:u w:val="single"/>
    </w:rPr>
  </w:style>
  <w:style w:type="character" w:customStyle="1" w:styleId="22">
    <w:name w:val="גוף טקסט 2 תו"/>
    <w:basedOn w:val="a1"/>
    <w:link w:val="21"/>
    <w:uiPriority w:val="99"/>
    <w:semiHidden/>
    <w:locked/>
    <w:rPr>
      <w:rFonts w:cs="FrankRuehl"/>
      <w:sz w:val="24"/>
      <w:szCs w:val="24"/>
      <w:lang w:bidi="he-IL"/>
    </w:rPr>
  </w:style>
  <w:style w:type="paragraph" w:styleId="af5">
    <w:name w:val="Document Map"/>
    <w:basedOn w:val="a0"/>
    <w:link w:val="af6"/>
    <w:uiPriority w:val="99"/>
    <w:semiHidden/>
    <w:pPr>
      <w:shd w:val="clear" w:color="auto" w:fill="000080"/>
    </w:pPr>
    <w:rPr>
      <w:rFonts w:ascii="Tahoma" w:hAnsi="Tahoma" w:cs="Miriam"/>
    </w:rPr>
  </w:style>
  <w:style w:type="character" w:customStyle="1" w:styleId="af6">
    <w:name w:val="מפת מסמך תו"/>
    <w:basedOn w:val="a1"/>
    <w:link w:val="af5"/>
    <w:uiPriority w:val="99"/>
    <w:semiHidden/>
    <w:locked/>
    <w:rPr>
      <w:rFonts w:ascii="Tahoma" w:hAnsi="Tahoma" w:cs="Tahoma"/>
      <w:sz w:val="16"/>
      <w:szCs w:val="16"/>
    </w:rPr>
  </w:style>
  <w:style w:type="character" w:styleId="Hyperlink">
    <w:name w:val="Hyperlink"/>
    <w:basedOn w:val="a1"/>
    <w:uiPriority w:val="99"/>
    <w:semiHidden/>
    <w:rPr>
      <w:rFonts w:cs="Times New Roman"/>
      <w:color w:val="0000FF"/>
      <w:u w:val="single"/>
    </w:rPr>
  </w:style>
  <w:style w:type="paragraph" w:styleId="31">
    <w:name w:val="Body Text 3"/>
    <w:basedOn w:val="a0"/>
    <w:link w:val="32"/>
    <w:uiPriority w:val="99"/>
    <w:semiHidden/>
    <w:rPr>
      <w:szCs w:val="16"/>
    </w:rPr>
  </w:style>
  <w:style w:type="character" w:customStyle="1" w:styleId="32">
    <w:name w:val="גוף טקסט 3 תו"/>
    <w:basedOn w:val="a1"/>
    <w:link w:val="31"/>
    <w:uiPriority w:val="99"/>
    <w:semiHidden/>
    <w:locked/>
    <w:rPr>
      <w:rFonts w:cs="FrankRuehl"/>
      <w:sz w:val="16"/>
      <w:szCs w:val="16"/>
      <w:lang w:bidi="he-IL"/>
    </w:rPr>
  </w:style>
  <w:style w:type="paragraph" w:styleId="af7">
    <w:name w:val="Block Text"/>
    <w:basedOn w:val="a0"/>
    <w:uiPriority w:val="99"/>
    <w:semiHidden/>
    <w:pPr>
      <w:ind w:left="340"/>
    </w:pPr>
  </w:style>
  <w:style w:type="paragraph" w:customStyle="1" w:styleId="af8">
    <w:name w:val="אזכורים"/>
    <w:basedOn w:val="a0"/>
    <w:uiPriority w:val="99"/>
    <w:semiHidden/>
    <w:pPr>
      <w:tabs>
        <w:tab w:val="left" w:pos="567"/>
      </w:tabs>
      <w:spacing w:after="40" w:line="270" w:lineRule="exact"/>
      <w:ind w:right="567" w:hanging="567"/>
    </w:pPr>
  </w:style>
  <w:style w:type="paragraph" w:styleId="23">
    <w:name w:val="Body Text Indent 2"/>
    <w:basedOn w:val="a0"/>
    <w:link w:val="24"/>
    <w:uiPriority w:val="99"/>
    <w:semiHidden/>
    <w:pPr>
      <w:spacing w:line="360" w:lineRule="auto"/>
      <w:ind w:right="720"/>
    </w:pPr>
  </w:style>
  <w:style w:type="character" w:customStyle="1" w:styleId="24">
    <w:name w:val="כניסה בגוף טקסט 2 תו"/>
    <w:basedOn w:val="a1"/>
    <w:link w:val="23"/>
    <w:uiPriority w:val="99"/>
    <w:semiHidden/>
    <w:locked/>
    <w:rPr>
      <w:rFonts w:cs="FrankRuehl"/>
      <w:sz w:val="24"/>
      <w:szCs w:val="24"/>
      <w:lang w:bidi="he-IL"/>
    </w:rPr>
  </w:style>
  <w:style w:type="paragraph" w:customStyle="1" w:styleId="af9">
    <w:name w:val="כותרת פרשת השבוע"/>
    <w:basedOn w:val="1"/>
    <w:autoRedefine/>
    <w:uiPriority w:val="99"/>
    <w:semiHidden/>
    <w:rsid w:val="00594FDA"/>
    <w:rPr>
      <w:rFonts w:cs="FrankRuehl"/>
    </w:rPr>
  </w:style>
  <w:style w:type="paragraph" w:customStyle="1" w:styleId="afa">
    <w:name w:val="כותרת ראשית"/>
    <w:basedOn w:val="2"/>
    <w:uiPriority w:val="99"/>
    <w:semiHidden/>
    <w:rsid w:val="009116EC"/>
    <w:pPr>
      <w:spacing w:before="120"/>
      <w:jc w:val="center"/>
    </w:pPr>
    <w:rPr>
      <w:szCs w:val="32"/>
    </w:rPr>
  </w:style>
  <w:style w:type="paragraph" w:customStyle="1" w:styleId="11">
    <w:name w:val="סגנון1"/>
    <w:basedOn w:val="a0"/>
    <w:autoRedefine/>
    <w:uiPriority w:val="99"/>
    <w:semiHidden/>
    <w:rsid w:val="002118F7"/>
  </w:style>
  <w:style w:type="paragraph" w:customStyle="1" w:styleId="afb">
    <w:name w:val="הדגשה חדש"/>
    <w:basedOn w:val="a0"/>
    <w:link w:val="afc"/>
    <w:autoRedefine/>
    <w:uiPriority w:val="99"/>
    <w:semiHidden/>
    <w:rsid w:val="002118F7"/>
    <w:pPr>
      <w:ind w:left="340"/>
    </w:pPr>
    <w:rPr>
      <w:b/>
      <w:bCs/>
      <w:spacing w:val="16"/>
      <w:sz w:val="26"/>
    </w:rPr>
  </w:style>
  <w:style w:type="character" w:customStyle="1" w:styleId="afc">
    <w:name w:val="הדגשה חדש תו"/>
    <w:link w:val="afb"/>
    <w:uiPriority w:val="99"/>
    <w:locked/>
    <w:rsid w:val="002118F7"/>
    <w:rPr>
      <w:b/>
      <w:spacing w:val="16"/>
      <w:sz w:val="24"/>
      <w:lang w:val="en-US" w:eastAsia="en-US"/>
    </w:rPr>
  </w:style>
  <w:style w:type="paragraph" w:customStyle="1" w:styleId="060">
    <w:name w:val="סגנון ציטטה + לפני:  0.6 ס''מ אחרי:  0 ס''מ"/>
    <w:basedOn w:val="ae"/>
    <w:autoRedefine/>
    <w:uiPriority w:val="99"/>
    <w:semiHidden/>
    <w:rsid w:val="00CB0FF0"/>
  </w:style>
  <w:style w:type="character" w:styleId="FollowedHyperlink">
    <w:name w:val="FollowedHyperlink"/>
    <w:basedOn w:val="a1"/>
    <w:uiPriority w:val="99"/>
    <w:semiHidden/>
    <w:rsid w:val="00AB57B5"/>
    <w:rPr>
      <w:rFonts w:cs="Times New Roman"/>
      <w:color w:val="800080"/>
      <w:u w:val="single"/>
    </w:rPr>
  </w:style>
  <w:style w:type="character" w:styleId="HTMLCite">
    <w:name w:val="HTML Cite"/>
    <w:basedOn w:val="a1"/>
    <w:uiPriority w:val="99"/>
    <w:semiHidden/>
    <w:rsid w:val="00AB57B5"/>
    <w:rPr>
      <w:rFonts w:cs="Times New Roman"/>
      <w:i/>
    </w:rPr>
  </w:style>
  <w:style w:type="character" w:styleId="HTMLCode">
    <w:name w:val="HTML Code"/>
    <w:basedOn w:val="a1"/>
    <w:uiPriority w:val="99"/>
    <w:semiHidden/>
    <w:rsid w:val="00AB57B5"/>
    <w:rPr>
      <w:rFonts w:ascii="Courier New" w:hAnsi="Courier New" w:cs="Times New Roman"/>
      <w:sz w:val="20"/>
    </w:rPr>
  </w:style>
  <w:style w:type="character" w:styleId="HTMLDefinition">
    <w:name w:val="HTML Definition"/>
    <w:basedOn w:val="a1"/>
    <w:uiPriority w:val="99"/>
    <w:semiHidden/>
    <w:rsid w:val="00AB57B5"/>
    <w:rPr>
      <w:rFonts w:cs="Times New Roman"/>
      <w:i/>
    </w:rPr>
  </w:style>
  <w:style w:type="character" w:styleId="HTMLVariable">
    <w:name w:val="HTML Variable"/>
    <w:basedOn w:val="a1"/>
    <w:uiPriority w:val="99"/>
    <w:semiHidden/>
    <w:rsid w:val="00AB57B5"/>
    <w:rPr>
      <w:rFonts w:cs="Times New Roman"/>
      <w:i/>
    </w:rPr>
  </w:style>
  <w:style w:type="paragraph" w:styleId="HTML">
    <w:name w:val="HTML Preformatted"/>
    <w:basedOn w:val="a0"/>
    <w:link w:val="HTML0"/>
    <w:uiPriority w:val="99"/>
    <w:semiHidden/>
    <w:rsid w:val="00AB57B5"/>
    <w:rPr>
      <w:rFonts w:ascii="Courier New" w:hAnsi="Courier New" w:cs="Courier New"/>
      <w:szCs w:val="20"/>
    </w:rPr>
  </w:style>
  <w:style w:type="character" w:customStyle="1" w:styleId="HTML0">
    <w:name w:val="HTML מעוצב מראש תו"/>
    <w:basedOn w:val="a1"/>
    <w:link w:val="HTML"/>
    <w:uiPriority w:val="99"/>
    <w:semiHidden/>
    <w:locked/>
    <w:rPr>
      <w:rFonts w:ascii="Courier New" w:hAnsi="Courier New" w:cs="Courier New"/>
    </w:rPr>
  </w:style>
  <w:style w:type="paragraph" w:styleId="NormalWeb">
    <w:name w:val="Normal (Web)"/>
    <w:basedOn w:val="a0"/>
    <w:uiPriority w:val="99"/>
    <w:semiHidden/>
    <w:rsid w:val="00AB57B5"/>
    <w:rPr>
      <w:rFonts w:cs="Times New Roman"/>
    </w:rPr>
  </w:style>
  <w:style w:type="table" w:styleId="-1">
    <w:name w:val="Table 3D effects 1"/>
    <w:basedOn w:val="a2"/>
    <w:uiPriority w:val="99"/>
    <w:semiHidden/>
    <w:rsid w:val="00AB57B5"/>
    <w:pPr>
      <w:autoSpaceDE w:val="0"/>
      <w:autoSpaceDN w:val="0"/>
      <w:bidi/>
      <w:spacing w:after="120" w:line="300" w:lineRule="exact"/>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
    <w:name w:val="Table 3D effects 2"/>
    <w:basedOn w:val="a2"/>
    <w:uiPriority w:val="99"/>
    <w:semiHidden/>
    <w:rsid w:val="00AB57B5"/>
    <w:pPr>
      <w:autoSpaceDE w:val="0"/>
      <w:autoSpaceDN w:val="0"/>
      <w:bidi/>
      <w:spacing w:after="120" w:line="300" w:lineRule="exact"/>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3D effects 3"/>
    <w:basedOn w:val="a2"/>
    <w:uiPriority w:val="99"/>
    <w:semiHidden/>
    <w:rsid w:val="00AB57B5"/>
    <w:pPr>
      <w:autoSpaceDE w:val="0"/>
      <w:autoSpaceDN w:val="0"/>
      <w:bidi/>
      <w:spacing w:after="120" w:line="300" w:lineRule="exact"/>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d">
    <w:name w:val="Salutation"/>
    <w:basedOn w:val="a0"/>
    <w:next w:val="a0"/>
    <w:link w:val="afe"/>
    <w:uiPriority w:val="99"/>
    <w:semiHidden/>
    <w:rsid w:val="00AB57B5"/>
  </w:style>
  <w:style w:type="character" w:customStyle="1" w:styleId="afe">
    <w:name w:val="ברכה תו"/>
    <w:basedOn w:val="a1"/>
    <w:link w:val="afd"/>
    <w:uiPriority w:val="99"/>
    <w:semiHidden/>
    <w:locked/>
    <w:rPr>
      <w:rFonts w:cs="FrankRuehl"/>
      <w:sz w:val="24"/>
      <w:szCs w:val="24"/>
      <w:lang w:bidi="he-IL"/>
    </w:rPr>
  </w:style>
  <w:style w:type="character" w:styleId="HTML1">
    <w:name w:val="HTML Sample"/>
    <w:basedOn w:val="a1"/>
    <w:uiPriority w:val="99"/>
    <w:semiHidden/>
    <w:rsid w:val="00AB57B5"/>
    <w:rPr>
      <w:rFonts w:ascii="Courier New" w:hAnsi="Courier New" w:cs="Times New Roman"/>
    </w:rPr>
  </w:style>
  <w:style w:type="character" w:styleId="aff">
    <w:name w:val="Emphasis"/>
    <w:basedOn w:val="a1"/>
    <w:uiPriority w:val="99"/>
    <w:qFormat/>
    <w:rsid w:val="00C97609"/>
    <w:rPr>
      <w:rFonts w:ascii="Arial" w:hAnsi="Arial" w:cs="Times New Roman"/>
      <w:spacing w:val="16"/>
      <w:sz w:val="24"/>
    </w:rPr>
  </w:style>
  <w:style w:type="paragraph" w:styleId="aff0">
    <w:name w:val="List Continue"/>
    <w:basedOn w:val="a0"/>
    <w:uiPriority w:val="99"/>
    <w:semiHidden/>
    <w:rsid w:val="00AB57B5"/>
    <w:pPr>
      <w:ind w:left="283"/>
    </w:pPr>
  </w:style>
  <w:style w:type="paragraph" w:styleId="25">
    <w:name w:val="List Continue 2"/>
    <w:basedOn w:val="a0"/>
    <w:uiPriority w:val="99"/>
    <w:semiHidden/>
    <w:rsid w:val="00AB57B5"/>
    <w:pPr>
      <w:ind w:left="566"/>
    </w:pPr>
  </w:style>
  <w:style w:type="paragraph" w:styleId="33">
    <w:name w:val="List Continue 3"/>
    <w:basedOn w:val="a0"/>
    <w:uiPriority w:val="99"/>
    <w:semiHidden/>
    <w:rsid w:val="00AB57B5"/>
    <w:pPr>
      <w:ind w:left="849"/>
    </w:pPr>
  </w:style>
  <w:style w:type="paragraph" w:styleId="41">
    <w:name w:val="List Continue 4"/>
    <w:basedOn w:val="a0"/>
    <w:uiPriority w:val="99"/>
    <w:semiHidden/>
    <w:rsid w:val="00AB57B5"/>
    <w:pPr>
      <w:ind w:left="1132"/>
    </w:pPr>
  </w:style>
  <w:style w:type="paragraph" w:styleId="51">
    <w:name w:val="List Continue 5"/>
    <w:basedOn w:val="a0"/>
    <w:uiPriority w:val="99"/>
    <w:semiHidden/>
    <w:rsid w:val="00AB57B5"/>
    <w:pPr>
      <w:ind w:left="1415"/>
    </w:pPr>
  </w:style>
  <w:style w:type="character" w:styleId="aff1">
    <w:name w:val="Strong"/>
    <w:basedOn w:val="a1"/>
    <w:uiPriority w:val="99"/>
    <w:qFormat/>
    <w:rsid w:val="00AB57B5"/>
    <w:rPr>
      <w:rFonts w:cs="Times New Roman"/>
      <w:b/>
    </w:rPr>
  </w:style>
  <w:style w:type="paragraph" w:styleId="aff2">
    <w:name w:val="Signature"/>
    <w:basedOn w:val="a0"/>
    <w:link w:val="aff3"/>
    <w:uiPriority w:val="99"/>
    <w:semiHidden/>
    <w:rsid w:val="00AB57B5"/>
    <w:pPr>
      <w:ind w:left="4252"/>
    </w:pPr>
  </w:style>
  <w:style w:type="character" w:customStyle="1" w:styleId="aff3">
    <w:name w:val="חתימה תו"/>
    <w:basedOn w:val="a1"/>
    <w:link w:val="aff2"/>
    <w:uiPriority w:val="99"/>
    <w:semiHidden/>
    <w:locked/>
    <w:rPr>
      <w:rFonts w:cs="FrankRuehl"/>
      <w:sz w:val="24"/>
      <w:szCs w:val="24"/>
      <w:lang w:bidi="he-IL"/>
    </w:rPr>
  </w:style>
  <w:style w:type="paragraph" w:styleId="aff4">
    <w:name w:val="E-mail Signature"/>
    <w:basedOn w:val="a0"/>
    <w:link w:val="aff5"/>
    <w:uiPriority w:val="99"/>
    <w:semiHidden/>
    <w:rsid w:val="00AB57B5"/>
  </w:style>
  <w:style w:type="character" w:customStyle="1" w:styleId="aff5">
    <w:name w:val="חתימת דואר אלקטרוני תו"/>
    <w:basedOn w:val="a1"/>
    <w:link w:val="aff4"/>
    <w:uiPriority w:val="99"/>
    <w:semiHidden/>
    <w:locked/>
    <w:rPr>
      <w:rFonts w:cs="FrankRuehl"/>
      <w:sz w:val="24"/>
      <w:szCs w:val="24"/>
      <w:lang w:bidi="he-IL"/>
    </w:rPr>
  </w:style>
  <w:style w:type="table" w:styleId="aff6">
    <w:name w:val="Table Elegant"/>
    <w:basedOn w:val="a2"/>
    <w:uiPriority w:val="99"/>
    <w:semiHidden/>
    <w:rsid w:val="00AB57B5"/>
    <w:pPr>
      <w:autoSpaceDE w:val="0"/>
      <w:autoSpaceDN w:val="0"/>
      <w:bidi/>
      <w:spacing w:after="120" w:line="300" w:lineRule="exact"/>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2">
    <w:name w:val="Table Subtle 1"/>
    <w:basedOn w:val="a2"/>
    <w:uiPriority w:val="99"/>
    <w:semiHidden/>
    <w:rsid w:val="00AB57B5"/>
    <w:pPr>
      <w:autoSpaceDE w:val="0"/>
      <w:autoSpaceDN w:val="0"/>
      <w:bidi/>
      <w:spacing w:after="120" w:line="300" w:lineRule="exact"/>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2"/>
    <w:uiPriority w:val="99"/>
    <w:semiHidden/>
    <w:rsid w:val="00AB57B5"/>
    <w:pPr>
      <w:autoSpaceDE w:val="0"/>
      <w:autoSpaceDN w:val="0"/>
      <w:bidi/>
      <w:spacing w:after="120" w:line="300" w:lineRule="exact"/>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7">
    <w:name w:val="Table Professional"/>
    <w:basedOn w:val="a2"/>
    <w:uiPriority w:val="99"/>
    <w:semiHidden/>
    <w:rsid w:val="00AB57B5"/>
    <w:pPr>
      <w:autoSpaceDE w:val="0"/>
      <w:autoSpaceDN w:val="0"/>
      <w:bidi/>
      <w:spacing w:after="120" w:line="300" w:lineRule="exact"/>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aff8">
    <w:name w:val="Table Contemporary"/>
    <w:basedOn w:val="a2"/>
    <w:uiPriority w:val="99"/>
    <w:semiHidden/>
    <w:rsid w:val="00AB57B5"/>
    <w:pPr>
      <w:autoSpaceDE w:val="0"/>
      <w:autoSpaceDN w:val="0"/>
      <w:bidi/>
      <w:spacing w:after="120" w:line="300" w:lineRule="exact"/>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3">
    <w:name w:val="Table Simple 1"/>
    <w:basedOn w:val="a2"/>
    <w:uiPriority w:val="99"/>
    <w:semiHidden/>
    <w:rsid w:val="00AB57B5"/>
    <w:pPr>
      <w:autoSpaceDE w:val="0"/>
      <w:autoSpaceDN w:val="0"/>
      <w:bidi/>
      <w:spacing w:after="120" w:line="300" w:lineRule="exact"/>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7">
    <w:name w:val="Table Simple 2"/>
    <w:basedOn w:val="a2"/>
    <w:uiPriority w:val="99"/>
    <w:semiHidden/>
    <w:rsid w:val="00AB57B5"/>
    <w:pPr>
      <w:autoSpaceDE w:val="0"/>
      <w:autoSpaceDN w:val="0"/>
      <w:bidi/>
      <w:spacing w:after="120" w:line="300" w:lineRule="exact"/>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4">
    <w:name w:val="Table Simple 3"/>
    <w:basedOn w:val="a2"/>
    <w:uiPriority w:val="99"/>
    <w:semiHidden/>
    <w:rsid w:val="00AB57B5"/>
    <w:pPr>
      <w:autoSpaceDE w:val="0"/>
      <w:autoSpaceDN w:val="0"/>
      <w:bidi/>
      <w:spacing w:after="120" w:line="300" w:lineRule="exact"/>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4">
    <w:name w:val="Table Colorful 1"/>
    <w:basedOn w:val="a2"/>
    <w:uiPriority w:val="99"/>
    <w:semiHidden/>
    <w:rsid w:val="00AB57B5"/>
    <w:pPr>
      <w:autoSpaceDE w:val="0"/>
      <w:autoSpaceDN w:val="0"/>
      <w:bidi/>
      <w:spacing w:after="120" w:line="300" w:lineRule="exact"/>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8">
    <w:name w:val="Table Colorful 2"/>
    <w:basedOn w:val="a2"/>
    <w:uiPriority w:val="99"/>
    <w:semiHidden/>
    <w:rsid w:val="00AB57B5"/>
    <w:pPr>
      <w:autoSpaceDE w:val="0"/>
      <w:autoSpaceDN w:val="0"/>
      <w:bidi/>
      <w:spacing w:after="120" w:line="300" w:lineRule="exact"/>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5">
    <w:name w:val="Table Colorful 3"/>
    <w:basedOn w:val="a2"/>
    <w:uiPriority w:val="99"/>
    <w:semiHidden/>
    <w:rsid w:val="00AB57B5"/>
    <w:pPr>
      <w:autoSpaceDE w:val="0"/>
      <w:autoSpaceDN w:val="0"/>
      <w:bidi/>
      <w:spacing w:after="120" w:line="300" w:lineRule="exact"/>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2"/>
    <w:uiPriority w:val="99"/>
    <w:semiHidden/>
    <w:rsid w:val="00AB57B5"/>
    <w:pPr>
      <w:autoSpaceDE w:val="0"/>
      <w:autoSpaceDN w:val="0"/>
      <w:bidi/>
      <w:spacing w:after="120" w:line="300" w:lineRule="exact"/>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Classic 2"/>
    <w:basedOn w:val="a2"/>
    <w:uiPriority w:val="99"/>
    <w:semiHidden/>
    <w:rsid w:val="00AB57B5"/>
    <w:pPr>
      <w:autoSpaceDE w:val="0"/>
      <w:autoSpaceDN w:val="0"/>
      <w:bidi/>
      <w:spacing w:after="120" w:line="300" w:lineRule="exact"/>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2"/>
    <w:uiPriority w:val="99"/>
    <w:semiHidden/>
    <w:rsid w:val="00AB57B5"/>
    <w:pPr>
      <w:autoSpaceDE w:val="0"/>
      <w:autoSpaceDN w:val="0"/>
      <w:bidi/>
      <w:spacing w:after="120" w:line="300" w:lineRule="exact"/>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2">
    <w:name w:val="Table Classic 4"/>
    <w:basedOn w:val="a2"/>
    <w:uiPriority w:val="99"/>
    <w:semiHidden/>
    <w:rsid w:val="00AB57B5"/>
    <w:pPr>
      <w:autoSpaceDE w:val="0"/>
      <w:autoSpaceDN w:val="0"/>
      <w:bidi/>
      <w:spacing w:after="120" w:line="300" w:lineRule="exact"/>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6">
    <w:name w:val="Table Web 1"/>
    <w:basedOn w:val="a2"/>
    <w:uiPriority w:val="99"/>
    <w:semiHidden/>
    <w:rsid w:val="00AB57B5"/>
    <w:pPr>
      <w:autoSpaceDE w:val="0"/>
      <w:autoSpaceDN w:val="0"/>
      <w:bidi/>
      <w:spacing w:after="120" w:line="300" w:lineRule="exact"/>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a">
    <w:name w:val="Table Web 2"/>
    <w:basedOn w:val="a2"/>
    <w:uiPriority w:val="99"/>
    <w:semiHidden/>
    <w:rsid w:val="00AB57B5"/>
    <w:pPr>
      <w:autoSpaceDE w:val="0"/>
      <w:autoSpaceDN w:val="0"/>
      <w:bidi/>
      <w:spacing w:after="120" w:line="300" w:lineRule="exact"/>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7">
    <w:name w:val="Table Web 3"/>
    <w:basedOn w:val="a2"/>
    <w:uiPriority w:val="99"/>
    <w:semiHidden/>
    <w:rsid w:val="00AB57B5"/>
    <w:pPr>
      <w:autoSpaceDE w:val="0"/>
      <w:autoSpaceDN w:val="0"/>
      <w:bidi/>
      <w:spacing w:after="120" w:line="300" w:lineRule="exact"/>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9">
    <w:name w:val="Table Grid"/>
    <w:basedOn w:val="a2"/>
    <w:uiPriority w:val="99"/>
    <w:semiHidden/>
    <w:rsid w:val="00AB57B5"/>
    <w:pPr>
      <w:autoSpaceDE w:val="0"/>
      <w:autoSpaceDN w:val="0"/>
      <w:bidi/>
      <w:spacing w:after="120" w:line="300" w:lineRule="exact"/>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2"/>
    <w:uiPriority w:val="99"/>
    <w:semiHidden/>
    <w:rsid w:val="00AB57B5"/>
    <w:pPr>
      <w:autoSpaceDE w:val="0"/>
      <w:autoSpaceDN w:val="0"/>
      <w:bidi/>
      <w:spacing w:after="120" w:line="300" w:lineRule="exact"/>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b">
    <w:name w:val="Table Grid 2"/>
    <w:basedOn w:val="a2"/>
    <w:uiPriority w:val="99"/>
    <w:semiHidden/>
    <w:rsid w:val="00AB57B5"/>
    <w:pPr>
      <w:autoSpaceDE w:val="0"/>
      <w:autoSpaceDN w:val="0"/>
      <w:bidi/>
      <w:spacing w:after="120" w:line="300" w:lineRule="exact"/>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8">
    <w:name w:val="Table Grid 3"/>
    <w:basedOn w:val="a2"/>
    <w:uiPriority w:val="99"/>
    <w:semiHidden/>
    <w:rsid w:val="00AB57B5"/>
    <w:pPr>
      <w:autoSpaceDE w:val="0"/>
      <w:autoSpaceDN w:val="0"/>
      <w:bidi/>
      <w:spacing w:after="120" w:line="300" w:lineRule="exact"/>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3">
    <w:name w:val="Table Grid 4"/>
    <w:basedOn w:val="a2"/>
    <w:uiPriority w:val="99"/>
    <w:semiHidden/>
    <w:rsid w:val="00AB57B5"/>
    <w:pPr>
      <w:autoSpaceDE w:val="0"/>
      <w:autoSpaceDN w:val="0"/>
      <w:bidi/>
      <w:spacing w:after="120" w:line="300" w:lineRule="exact"/>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2">
    <w:name w:val="Table Grid 5"/>
    <w:basedOn w:val="a2"/>
    <w:uiPriority w:val="99"/>
    <w:semiHidden/>
    <w:rsid w:val="00AB57B5"/>
    <w:pPr>
      <w:autoSpaceDE w:val="0"/>
      <w:autoSpaceDN w:val="0"/>
      <w:bidi/>
      <w:spacing w:after="120" w:line="300" w:lineRule="exact"/>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2"/>
    <w:uiPriority w:val="99"/>
    <w:semiHidden/>
    <w:rsid w:val="00AB57B5"/>
    <w:pPr>
      <w:autoSpaceDE w:val="0"/>
      <w:autoSpaceDN w:val="0"/>
      <w:bidi/>
      <w:spacing w:after="120" w:line="300" w:lineRule="exact"/>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2"/>
    <w:uiPriority w:val="99"/>
    <w:semiHidden/>
    <w:rsid w:val="00AB57B5"/>
    <w:pPr>
      <w:autoSpaceDE w:val="0"/>
      <w:autoSpaceDN w:val="0"/>
      <w:bidi/>
      <w:spacing w:after="120" w:line="300" w:lineRule="exact"/>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2"/>
    <w:uiPriority w:val="99"/>
    <w:semiHidden/>
    <w:rsid w:val="00AB57B5"/>
    <w:pPr>
      <w:autoSpaceDE w:val="0"/>
      <w:autoSpaceDN w:val="0"/>
      <w:bidi/>
      <w:spacing w:after="120" w:line="300" w:lineRule="exact"/>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affa">
    <w:name w:val="Plain Text"/>
    <w:basedOn w:val="a0"/>
    <w:link w:val="affb"/>
    <w:uiPriority w:val="99"/>
    <w:semiHidden/>
    <w:rsid w:val="00AB57B5"/>
    <w:rPr>
      <w:rFonts w:ascii="Courier New" w:hAnsi="Courier New" w:cs="Courier New"/>
      <w:szCs w:val="20"/>
    </w:rPr>
  </w:style>
  <w:style w:type="character" w:customStyle="1" w:styleId="affb">
    <w:name w:val="טקסט רגיל תו"/>
    <w:basedOn w:val="a1"/>
    <w:link w:val="affa"/>
    <w:uiPriority w:val="99"/>
    <w:semiHidden/>
    <w:locked/>
    <w:rPr>
      <w:rFonts w:ascii="Courier New" w:hAnsi="Courier New" w:cs="Courier New"/>
    </w:rPr>
  </w:style>
  <w:style w:type="paragraph" w:styleId="affc">
    <w:name w:val="Note Heading"/>
    <w:basedOn w:val="a0"/>
    <w:next w:val="a0"/>
    <w:link w:val="affd"/>
    <w:uiPriority w:val="99"/>
    <w:semiHidden/>
    <w:rsid w:val="00AB57B5"/>
  </w:style>
  <w:style w:type="character" w:customStyle="1" w:styleId="affd">
    <w:name w:val="כותרת הערות תו"/>
    <w:basedOn w:val="a1"/>
    <w:link w:val="affc"/>
    <w:uiPriority w:val="99"/>
    <w:semiHidden/>
    <w:locked/>
    <w:rPr>
      <w:rFonts w:cs="FrankRuehl"/>
      <w:sz w:val="24"/>
      <w:szCs w:val="24"/>
      <w:lang w:bidi="he-IL"/>
    </w:rPr>
  </w:style>
  <w:style w:type="paragraph" w:styleId="affe">
    <w:name w:val="Subtitle"/>
    <w:basedOn w:val="a0"/>
    <w:link w:val="afff"/>
    <w:uiPriority w:val="99"/>
    <w:qFormat/>
    <w:rsid w:val="009116EC"/>
    <w:pPr>
      <w:jc w:val="center"/>
      <w:outlineLvl w:val="1"/>
    </w:pPr>
    <w:rPr>
      <w:rFonts w:ascii="Arial" w:hAnsi="Arial"/>
      <w:szCs w:val="28"/>
    </w:rPr>
  </w:style>
  <w:style w:type="character" w:customStyle="1" w:styleId="afff">
    <w:name w:val="כותרת משנה תו"/>
    <w:basedOn w:val="a1"/>
    <w:link w:val="affe"/>
    <w:uiPriority w:val="99"/>
    <w:locked/>
    <w:rPr>
      <w:rFonts w:ascii="Cambria" w:hAnsi="Cambria" w:cs="Times New Roman"/>
      <w:sz w:val="24"/>
      <w:szCs w:val="24"/>
    </w:rPr>
  </w:style>
  <w:style w:type="paragraph" w:styleId="afff0">
    <w:name w:val="Message Header"/>
    <w:basedOn w:val="a0"/>
    <w:link w:val="afff1"/>
    <w:uiPriority w:val="99"/>
    <w:semiHidden/>
    <w:rsid w:val="00AB57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1">
    <w:name w:val="כותרת עליונה של הודעה תו"/>
    <w:basedOn w:val="a1"/>
    <w:link w:val="afff0"/>
    <w:uiPriority w:val="99"/>
    <w:semiHidden/>
    <w:locked/>
    <w:rPr>
      <w:rFonts w:ascii="Cambria" w:hAnsi="Cambria" w:cs="Times New Roman"/>
      <w:sz w:val="24"/>
      <w:szCs w:val="24"/>
      <w:shd w:val="pct20" w:color="auto" w:fill="auto"/>
    </w:rPr>
  </w:style>
  <w:style w:type="paragraph" w:styleId="afff2">
    <w:name w:val="Body Text Indent"/>
    <w:basedOn w:val="a0"/>
    <w:link w:val="afff3"/>
    <w:uiPriority w:val="99"/>
    <w:semiHidden/>
    <w:rsid w:val="00AB57B5"/>
    <w:pPr>
      <w:ind w:left="283"/>
    </w:pPr>
  </w:style>
  <w:style w:type="character" w:customStyle="1" w:styleId="afff3">
    <w:name w:val="כניסה בגוף טקסט תו"/>
    <w:basedOn w:val="a1"/>
    <w:link w:val="afff2"/>
    <w:uiPriority w:val="99"/>
    <w:semiHidden/>
    <w:locked/>
    <w:rPr>
      <w:rFonts w:cs="FrankRuehl"/>
      <w:sz w:val="24"/>
      <w:szCs w:val="24"/>
      <w:lang w:bidi="he-IL"/>
    </w:rPr>
  </w:style>
  <w:style w:type="paragraph" w:styleId="39">
    <w:name w:val="Body Text Indent 3"/>
    <w:basedOn w:val="a0"/>
    <w:link w:val="3a"/>
    <w:uiPriority w:val="99"/>
    <w:semiHidden/>
    <w:rsid w:val="00AB57B5"/>
    <w:pPr>
      <w:ind w:left="283"/>
    </w:pPr>
    <w:rPr>
      <w:sz w:val="16"/>
      <w:szCs w:val="16"/>
    </w:rPr>
  </w:style>
  <w:style w:type="character" w:customStyle="1" w:styleId="3a">
    <w:name w:val="כניסה בגוף טקסט 3 תו"/>
    <w:basedOn w:val="a1"/>
    <w:link w:val="39"/>
    <w:uiPriority w:val="99"/>
    <w:semiHidden/>
    <w:locked/>
    <w:rPr>
      <w:rFonts w:cs="FrankRuehl"/>
      <w:sz w:val="16"/>
      <w:szCs w:val="16"/>
      <w:lang w:bidi="he-IL"/>
    </w:rPr>
  </w:style>
  <w:style w:type="paragraph" w:styleId="afff4">
    <w:name w:val="Normal Indent"/>
    <w:basedOn w:val="a0"/>
    <w:uiPriority w:val="99"/>
    <w:semiHidden/>
    <w:rsid w:val="00AB57B5"/>
    <w:pPr>
      <w:ind w:left="720"/>
    </w:pPr>
  </w:style>
  <w:style w:type="paragraph" w:styleId="afff5">
    <w:name w:val="Body Text First Indent"/>
    <w:basedOn w:val="af0"/>
    <w:link w:val="afff6"/>
    <w:uiPriority w:val="99"/>
    <w:semiHidden/>
    <w:rsid w:val="00AB57B5"/>
    <w:pPr>
      <w:spacing w:line="300" w:lineRule="exact"/>
      <w:ind w:firstLine="210"/>
    </w:pPr>
  </w:style>
  <w:style w:type="character" w:customStyle="1" w:styleId="afff6">
    <w:name w:val="כניסת שורה ראשונה בגוף טקסט תו"/>
    <w:basedOn w:val="af1"/>
    <w:link w:val="afff5"/>
    <w:uiPriority w:val="99"/>
    <w:semiHidden/>
    <w:locked/>
  </w:style>
  <w:style w:type="paragraph" w:styleId="2c">
    <w:name w:val="Body Text First Indent 2"/>
    <w:basedOn w:val="afff2"/>
    <w:link w:val="2d"/>
    <w:uiPriority w:val="99"/>
    <w:semiHidden/>
    <w:rsid w:val="00AB57B5"/>
    <w:pPr>
      <w:ind w:firstLine="210"/>
    </w:pPr>
  </w:style>
  <w:style w:type="character" w:customStyle="1" w:styleId="2d">
    <w:name w:val="כניסת שורה ראשונה בגוף טקסט 2 תו"/>
    <w:basedOn w:val="afff3"/>
    <w:link w:val="2c"/>
    <w:uiPriority w:val="99"/>
    <w:semiHidden/>
    <w:locked/>
  </w:style>
  <w:style w:type="paragraph" w:styleId="HTML2">
    <w:name w:val="HTML Address"/>
    <w:basedOn w:val="a0"/>
    <w:link w:val="HTML3"/>
    <w:uiPriority w:val="99"/>
    <w:semiHidden/>
    <w:rsid w:val="00AB57B5"/>
    <w:rPr>
      <w:i/>
      <w:iCs/>
    </w:rPr>
  </w:style>
  <w:style w:type="character" w:customStyle="1" w:styleId="HTML3">
    <w:name w:val="כתובת HTML תו"/>
    <w:basedOn w:val="a1"/>
    <w:link w:val="HTML2"/>
    <w:uiPriority w:val="99"/>
    <w:semiHidden/>
    <w:locked/>
    <w:rPr>
      <w:rFonts w:cs="FrankRuehl"/>
      <w:i/>
      <w:iCs/>
      <w:sz w:val="24"/>
      <w:szCs w:val="24"/>
      <w:lang w:bidi="he-IL"/>
    </w:rPr>
  </w:style>
  <w:style w:type="paragraph" w:styleId="afff7">
    <w:name w:val="envelope return"/>
    <w:basedOn w:val="a0"/>
    <w:uiPriority w:val="99"/>
    <w:semiHidden/>
    <w:rsid w:val="00AB57B5"/>
    <w:rPr>
      <w:rFonts w:ascii="Arial" w:hAnsi="Arial" w:cs="Arial"/>
      <w:szCs w:val="20"/>
    </w:rPr>
  </w:style>
  <w:style w:type="paragraph" w:styleId="afff8">
    <w:name w:val="envelope address"/>
    <w:basedOn w:val="a0"/>
    <w:uiPriority w:val="99"/>
    <w:semiHidden/>
    <w:rsid w:val="00AB57B5"/>
    <w:pPr>
      <w:framePr w:w="7920" w:h="1980" w:hRule="exact" w:hSpace="180" w:wrap="auto" w:hAnchor="page" w:xAlign="center" w:yAlign="bottom"/>
      <w:ind w:left="2880"/>
    </w:pPr>
    <w:rPr>
      <w:rFonts w:ascii="Arial" w:hAnsi="Arial" w:cs="Arial"/>
    </w:rPr>
  </w:style>
  <w:style w:type="character" w:styleId="HTML4">
    <w:name w:val="HTML Typewriter"/>
    <w:basedOn w:val="a1"/>
    <w:uiPriority w:val="99"/>
    <w:semiHidden/>
    <w:rsid w:val="00AB57B5"/>
    <w:rPr>
      <w:rFonts w:ascii="Courier New" w:hAnsi="Courier New" w:cs="Times New Roman"/>
      <w:sz w:val="20"/>
    </w:rPr>
  </w:style>
  <w:style w:type="character" w:styleId="afff9">
    <w:name w:val="line number"/>
    <w:basedOn w:val="a1"/>
    <w:uiPriority w:val="99"/>
    <w:semiHidden/>
    <w:rsid w:val="00AB57B5"/>
    <w:rPr>
      <w:rFonts w:cs="Times New Roman"/>
    </w:rPr>
  </w:style>
  <w:style w:type="character" w:styleId="HTML5">
    <w:name w:val="HTML Keyboard"/>
    <w:basedOn w:val="a1"/>
    <w:uiPriority w:val="99"/>
    <w:semiHidden/>
    <w:rsid w:val="00AB57B5"/>
    <w:rPr>
      <w:rFonts w:ascii="Courier New" w:hAnsi="Courier New" w:cs="Times New Roman"/>
      <w:sz w:val="20"/>
    </w:rPr>
  </w:style>
  <w:style w:type="table" w:styleId="afffa">
    <w:name w:val="Table Theme"/>
    <w:basedOn w:val="a2"/>
    <w:uiPriority w:val="99"/>
    <w:semiHidden/>
    <w:rsid w:val="00AB57B5"/>
    <w:pPr>
      <w:autoSpaceDE w:val="0"/>
      <w:autoSpaceDN w:val="0"/>
      <w:bidi/>
      <w:spacing w:after="120" w:line="300" w:lineRule="exact"/>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Closing"/>
    <w:basedOn w:val="a0"/>
    <w:link w:val="afffc"/>
    <w:uiPriority w:val="99"/>
    <w:semiHidden/>
    <w:rsid w:val="00AB57B5"/>
    <w:pPr>
      <w:ind w:left="4252"/>
    </w:pPr>
  </w:style>
  <w:style w:type="character" w:customStyle="1" w:styleId="afffc">
    <w:name w:val="סיום תו"/>
    <w:basedOn w:val="a1"/>
    <w:link w:val="afffb"/>
    <w:uiPriority w:val="99"/>
    <w:semiHidden/>
    <w:locked/>
    <w:rPr>
      <w:rFonts w:cs="FrankRuehl"/>
      <w:sz w:val="24"/>
      <w:szCs w:val="24"/>
      <w:lang w:bidi="he-IL"/>
    </w:rPr>
  </w:style>
  <w:style w:type="table" w:styleId="18">
    <w:name w:val="Table Columns 1"/>
    <w:basedOn w:val="a2"/>
    <w:uiPriority w:val="99"/>
    <w:semiHidden/>
    <w:rsid w:val="00AB57B5"/>
    <w:pPr>
      <w:autoSpaceDE w:val="0"/>
      <w:autoSpaceDN w:val="0"/>
      <w:bidi/>
      <w:spacing w:after="120" w:line="300" w:lineRule="exact"/>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e">
    <w:name w:val="Table Columns 2"/>
    <w:basedOn w:val="a2"/>
    <w:uiPriority w:val="99"/>
    <w:semiHidden/>
    <w:rsid w:val="00AB57B5"/>
    <w:pPr>
      <w:autoSpaceDE w:val="0"/>
      <w:autoSpaceDN w:val="0"/>
      <w:bidi/>
      <w:spacing w:after="120" w:line="300" w:lineRule="exact"/>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Columns 3"/>
    <w:basedOn w:val="a2"/>
    <w:uiPriority w:val="99"/>
    <w:semiHidden/>
    <w:rsid w:val="00AB57B5"/>
    <w:pPr>
      <w:autoSpaceDE w:val="0"/>
      <w:autoSpaceDN w:val="0"/>
      <w:bidi/>
      <w:spacing w:after="120" w:line="300" w:lineRule="exact"/>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4">
    <w:name w:val="Table Columns 4"/>
    <w:basedOn w:val="a2"/>
    <w:uiPriority w:val="99"/>
    <w:semiHidden/>
    <w:rsid w:val="00AB57B5"/>
    <w:pPr>
      <w:autoSpaceDE w:val="0"/>
      <w:autoSpaceDN w:val="0"/>
      <w:bidi/>
      <w:spacing w:after="120" w:line="300" w:lineRule="exact"/>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3">
    <w:name w:val="Table Columns 5"/>
    <w:basedOn w:val="a2"/>
    <w:uiPriority w:val="99"/>
    <w:semiHidden/>
    <w:rsid w:val="00AB57B5"/>
    <w:pPr>
      <w:autoSpaceDE w:val="0"/>
      <w:autoSpaceDN w:val="0"/>
      <w:bidi/>
      <w:spacing w:after="120" w:line="300" w:lineRule="exact"/>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HTML6">
    <w:name w:val="HTML Acronym"/>
    <w:basedOn w:val="a1"/>
    <w:uiPriority w:val="99"/>
    <w:semiHidden/>
    <w:rsid w:val="00AB57B5"/>
    <w:rPr>
      <w:rFonts w:cs="Times New Roman"/>
    </w:rPr>
  </w:style>
  <w:style w:type="paragraph" w:styleId="afffd">
    <w:name w:val="List"/>
    <w:basedOn w:val="a0"/>
    <w:uiPriority w:val="99"/>
    <w:semiHidden/>
    <w:rsid w:val="00AB57B5"/>
    <w:pPr>
      <w:ind w:left="283" w:hanging="283"/>
    </w:pPr>
  </w:style>
  <w:style w:type="paragraph" w:styleId="2f">
    <w:name w:val="List 2"/>
    <w:basedOn w:val="a0"/>
    <w:uiPriority w:val="99"/>
    <w:semiHidden/>
    <w:rsid w:val="00AB57B5"/>
    <w:pPr>
      <w:ind w:left="566" w:hanging="283"/>
    </w:pPr>
  </w:style>
  <w:style w:type="paragraph" w:styleId="3c">
    <w:name w:val="List 3"/>
    <w:basedOn w:val="a0"/>
    <w:uiPriority w:val="99"/>
    <w:semiHidden/>
    <w:rsid w:val="00AB57B5"/>
    <w:pPr>
      <w:ind w:left="849" w:hanging="283"/>
    </w:pPr>
  </w:style>
  <w:style w:type="paragraph" w:styleId="45">
    <w:name w:val="List 4"/>
    <w:basedOn w:val="a0"/>
    <w:uiPriority w:val="99"/>
    <w:semiHidden/>
    <w:rsid w:val="00AB57B5"/>
    <w:pPr>
      <w:ind w:left="1132" w:hanging="283"/>
    </w:pPr>
  </w:style>
  <w:style w:type="paragraph" w:styleId="54">
    <w:name w:val="List 5"/>
    <w:basedOn w:val="a0"/>
    <w:uiPriority w:val="99"/>
    <w:semiHidden/>
    <w:rsid w:val="00AB57B5"/>
    <w:pPr>
      <w:ind w:left="1415" w:hanging="283"/>
    </w:pPr>
  </w:style>
  <w:style w:type="table" w:styleId="19">
    <w:name w:val="Table List 1"/>
    <w:basedOn w:val="a2"/>
    <w:uiPriority w:val="99"/>
    <w:semiHidden/>
    <w:rsid w:val="00AB57B5"/>
    <w:pPr>
      <w:autoSpaceDE w:val="0"/>
      <w:autoSpaceDN w:val="0"/>
      <w:bidi/>
      <w:spacing w:after="120" w:line="300" w:lineRule="exact"/>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List 2"/>
    <w:basedOn w:val="a2"/>
    <w:uiPriority w:val="99"/>
    <w:semiHidden/>
    <w:rsid w:val="00AB57B5"/>
    <w:pPr>
      <w:autoSpaceDE w:val="0"/>
      <w:autoSpaceDN w:val="0"/>
      <w:bidi/>
      <w:spacing w:after="120" w:line="300" w:lineRule="exact"/>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List 3"/>
    <w:basedOn w:val="a2"/>
    <w:uiPriority w:val="99"/>
    <w:semiHidden/>
    <w:rsid w:val="00AB57B5"/>
    <w:pPr>
      <w:autoSpaceDE w:val="0"/>
      <w:autoSpaceDN w:val="0"/>
      <w:bidi/>
      <w:spacing w:after="120" w:line="300" w:lineRule="exact"/>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2"/>
    <w:uiPriority w:val="99"/>
    <w:semiHidden/>
    <w:rsid w:val="00AB57B5"/>
    <w:pPr>
      <w:autoSpaceDE w:val="0"/>
      <w:autoSpaceDN w:val="0"/>
      <w:bidi/>
      <w:spacing w:after="120" w:line="300" w:lineRule="exact"/>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2"/>
    <w:uiPriority w:val="99"/>
    <w:semiHidden/>
    <w:rsid w:val="00AB57B5"/>
    <w:pPr>
      <w:autoSpaceDE w:val="0"/>
      <w:autoSpaceDN w:val="0"/>
      <w:bidi/>
      <w:spacing w:after="120" w:line="300" w:lineRule="exact"/>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2"/>
    <w:uiPriority w:val="99"/>
    <w:semiHidden/>
    <w:rsid w:val="00AB57B5"/>
    <w:pPr>
      <w:autoSpaceDE w:val="0"/>
      <w:autoSpaceDN w:val="0"/>
      <w:bidi/>
      <w:spacing w:after="120" w:line="300" w:lineRule="exact"/>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2">
    <w:name w:val="Table List 7"/>
    <w:basedOn w:val="a2"/>
    <w:uiPriority w:val="99"/>
    <w:semiHidden/>
    <w:rsid w:val="00AB57B5"/>
    <w:pPr>
      <w:autoSpaceDE w:val="0"/>
      <w:autoSpaceDN w:val="0"/>
      <w:bidi/>
      <w:spacing w:after="120" w:line="300" w:lineRule="exact"/>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2"/>
    <w:uiPriority w:val="99"/>
    <w:semiHidden/>
    <w:rsid w:val="00AB57B5"/>
    <w:pPr>
      <w:autoSpaceDE w:val="0"/>
      <w:autoSpaceDN w:val="0"/>
      <w:bidi/>
      <w:spacing w:after="120" w:line="300" w:lineRule="exact"/>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e">
    <w:name w:val="List Number"/>
    <w:basedOn w:val="a0"/>
    <w:uiPriority w:val="99"/>
    <w:semiHidden/>
    <w:rsid w:val="00AB57B5"/>
    <w:pPr>
      <w:numPr>
        <w:numId w:val="2"/>
      </w:numPr>
      <w:tabs>
        <w:tab w:val="clear" w:pos="643"/>
        <w:tab w:val="num" w:pos="1492"/>
      </w:tabs>
      <w:ind w:left="360"/>
    </w:pPr>
  </w:style>
  <w:style w:type="paragraph" w:styleId="2f1">
    <w:name w:val="List Number 2"/>
    <w:basedOn w:val="a0"/>
    <w:uiPriority w:val="99"/>
    <w:semiHidden/>
    <w:rsid w:val="00AB57B5"/>
    <w:pPr>
      <w:numPr>
        <w:numId w:val="3"/>
      </w:numPr>
      <w:tabs>
        <w:tab w:val="clear" w:pos="926"/>
        <w:tab w:val="num" w:pos="643"/>
      </w:tabs>
      <w:ind w:left="643"/>
    </w:pPr>
  </w:style>
  <w:style w:type="paragraph" w:styleId="3e">
    <w:name w:val="List Number 3"/>
    <w:basedOn w:val="a0"/>
    <w:uiPriority w:val="99"/>
    <w:semiHidden/>
    <w:rsid w:val="00AB57B5"/>
    <w:pPr>
      <w:numPr>
        <w:numId w:val="4"/>
      </w:numPr>
      <w:tabs>
        <w:tab w:val="clear" w:pos="1209"/>
        <w:tab w:val="num" w:pos="643"/>
        <w:tab w:val="num" w:pos="926"/>
      </w:tabs>
      <w:ind w:left="926"/>
    </w:pPr>
  </w:style>
  <w:style w:type="paragraph" w:styleId="47">
    <w:name w:val="List Number 4"/>
    <w:basedOn w:val="a0"/>
    <w:uiPriority w:val="99"/>
    <w:semiHidden/>
    <w:rsid w:val="00AB57B5"/>
    <w:pPr>
      <w:numPr>
        <w:numId w:val="5"/>
      </w:numPr>
      <w:tabs>
        <w:tab w:val="clear" w:pos="1492"/>
        <w:tab w:val="num" w:pos="926"/>
        <w:tab w:val="num" w:pos="1209"/>
      </w:tabs>
      <w:ind w:left="1209"/>
    </w:pPr>
  </w:style>
  <w:style w:type="paragraph" w:styleId="56">
    <w:name w:val="List Number 5"/>
    <w:basedOn w:val="a0"/>
    <w:uiPriority w:val="99"/>
    <w:semiHidden/>
    <w:rsid w:val="00AB57B5"/>
    <w:pPr>
      <w:numPr>
        <w:numId w:val="6"/>
      </w:numPr>
      <w:tabs>
        <w:tab w:val="clear" w:pos="360"/>
        <w:tab w:val="num" w:pos="1209"/>
        <w:tab w:val="num" w:pos="1492"/>
      </w:tabs>
      <w:ind w:left="1492"/>
    </w:pPr>
  </w:style>
  <w:style w:type="paragraph" w:styleId="affff">
    <w:name w:val="List Bullet"/>
    <w:basedOn w:val="a0"/>
    <w:uiPriority w:val="99"/>
    <w:semiHidden/>
    <w:rsid w:val="00AB57B5"/>
    <w:pPr>
      <w:numPr>
        <w:numId w:val="7"/>
      </w:numPr>
      <w:tabs>
        <w:tab w:val="clear" w:pos="643"/>
        <w:tab w:val="num" w:pos="1492"/>
      </w:tabs>
      <w:ind w:left="360"/>
    </w:pPr>
  </w:style>
  <w:style w:type="paragraph" w:styleId="2f2">
    <w:name w:val="List Bullet 2"/>
    <w:basedOn w:val="a0"/>
    <w:uiPriority w:val="99"/>
    <w:semiHidden/>
    <w:rsid w:val="00AB57B5"/>
    <w:pPr>
      <w:numPr>
        <w:numId w:val="8"/>
      </w:numPr>
      <w:tabs>
        <w:tab w:val="clear" w:pos="926"/>
        <w:tab w:val="num" w:pos="643"/>
      </w:tabs>
      <w:ind w:left="643"/>
    </w:pPr>
  </w:style>
  <w:style w:type="paragraph" w:styleId="3f">
    <w:name w:val="List Bullet 3"/>
    <w:basedOn w:val="a0"/>
    <w:uiPriority w:val="99"/>
    <w:semiHidden/>
    <w:rsid w:val="00AB57B5"/>
    <w:pPr>
      <w:numPr>
        <w:numId w:val="9"/>
      </w:numPr>
      <w:tabs>
        <w:tab w:val="clear" w:pos="1209"/>
        <w:tab w:val="num" w:pos="643"/>
        <w:tab w:val="num" w:pos="926"/>
      </w:tabs>
      <w:ind w:left="926"/>
    </w:pPr>
  </w:style>
  <w:style w:type="paragraph" w:styleId="48">
    <w:name w:val="List Bullet 4"/>
    <w:basedOn w:val="a0"/>
    <w:uiPriority w:val="99"/>
    <w:semiHidden/>
    <w:rsid w:val="00AB57B5"/>
    <w:pPr>
      <w:numPr>
        <w:numId w:val="10"/>
      </w:numPr>
      <w:tabs>
        <w:tab w:val="clear" w:pos="1492"/>
        <w:tab w:val="num" w:pos="926"/>
        <w:tab w:val="num" w:pos="1209"/>
      </w:tabs>
      <w:ind w:left="1209"/>
    </w:pPr>
  </w:style>
  <w:style w:type="paragraph" w:styleId="57">
    <w:name w:val="List Bullet 5"/>
    <w:basedOn w:val="a0"/>
    <w:uiPriority w:val="99"/>
    <w:semiHidden/>
    <w:rsid w:val="00AB57B5"/>
    <w:pPr>
      <w:numPr>
        <w:numId w:val="11"/>
      </w:numPr>
      <w:tabs>
        <w:tab w:val="clear" w:pos="360"/>
        <w:tab w:val="num" w:pos="1080"/>
        <w:tab w:val="num" w:pos="1209"/>
        <w:tab w:val="num" w:pos="1492"/>
      </w:tabs>
      <w:ind w:left="1492"/>
    </w:pPr>
  </w:style>
  <w:style w:type="paragraph" w:styleId="affff0">
    <w:name w:val="Date"/>
    <w:basedOn w:val="a0"/>
    <w:next w:val="a0"/>
    <w:link w:val="affff1"/>
    <w:uiPriority w:val="99"/>
    <w:semiHidden/>
    <w:rsid w:val="00AB57B5"/>
  </w:style>
  <w:style w:type="character" w:customStyle="1" w:styleId="affff1">
    <w:name w:val="תאריך תו"/>
    <w:basedOn w:val="a1"/>
    <w:link w:val="affff0"/>
    <w:uiPriority w:val="99"/>
    <w:semiHidden/>
    <w:locked/>
    <w:rPr>
      <w:rFonts w:cs="FrankRuehl"/>
      <w:sz w:val="24"/>
      <w:szCs w:val="24"/>
      <w:lang w:bidi="he-IL"/>
    </w:rPr>
  </w:style>
  <w:style w:type="paragraph" w:styleId="affff2">
    <w:name w:val="Title"/>
    <w:basedOn w:val="a0"/>
    <w:link w:val="affff3"/>
    <w:uiPriority w:val="99"/>
    <w:qFormat/>
    <w:rsid w:val="00AB57B5"/>
    <w:pPr>
      <w:spacing w:before="240" w:after="60"/>
      <w:jc w:val="center"/>
      <w:outlineLvl w:val="0"/>
    </w:pPr>
    <w:rPr>
      <w:rFonts w:ascii="Arial" w:hAnsi="Arial" w:cs="Arial"/>
      <w:b/>
      <w:bCs/>
      <w:kern w:val="28"/>
      <w:sz w:val="32"/>
      <w:szCs w:val="32"/>
    </w:rPr>
  </w:style>
  <w:style w:type="paragraph" w:customStyle="1" w:styleId="affff4">
    <w:name w:val="מחבר"/>
    <w:basedOn w:val="a0"/>
    <w:uiPriority w:val="99"/>
    <w:semiHidden/>
    <w:rsid w:val="009116EC"/>
    <w:pPr>
      <w:spacing w:before="120" w:after="360" w:line="360" w:lineRule="auto"/>
      <w:jc w:val="center"/>
    </w:pPr>
  </w:style>
  <w:style w:type="character" w:customStyle="1" w:styleId="affff3">
    <w:name w:val="תואר תו"/>
    <w:basedOn w:val="a1"/>
    <w:link w:val="affff2"/>
    <w:uiPriority w:val="99"/>
    <w:locked/>
    <w:rPr>
      <w:rFonts w:ascii="Cambria" w:hAnsi="Cambria" w:cs="Times New Roman"/>
      <w:b/>
      <w:bCs/>
      <w:kern w:val="28"/>
      <w:sz w:val="32"/>
      <w:szCs w:val="32"/>
    </w:rPr>
  </w:style>
  <w:style w:type="paragraph" w:customStyle="1" w:styleId="affff5">
    <w:name w:val="עורכים"/>
    <w:basedOn w:val="a0"/>
    <w:uiPriority w:val="99"/>
    <w:semiHidden/>
    <w:rsid w:val="00393EB8"/>
    <w:pPr>
      <w:spacing w:after="0" w:line="240" w:lineRule="auto"/>
      <w:jc w:val="right"/>
    </w:pPr>
    <w:rPr>
      <w:b/>
      <w:bCs/>
    </w:rPr>
  </w:style>
  <w:style w:type="paragraph" w:customStyle="1" w:styleId="affff6">
    <w:name w:val="עורך לשוני"/>
    <w:basedOn w:val="a0"/>
    <w:autoRedefine/>
    <w:uiPriority w:val="99"/>
    <w:semiHidden/>
    <w:rsid w:val="00393EB8"/>
    <w:pPr>
      <w:spacing w:after="0" w:line="240" w:lineRule="auto"/>
      <w:jc w:val="right"/>
    </w:pPr>
    <w:rPr>
      <w:szCs w:val="20"/>
    </w:rPr>
  </w:style>
  <w:style w:type="character" w:customStyle="1" w:styleId="affff7">
    <w:name w:val="מס גליון"/>
    <w:uiPriority w:val="99"/>
    <w:semiHidden/>
    <w:rsid w:val="00393EB8"/>
    <w:rPr>
      <w:b/>
      <w:sz w:val="24"/>
    </w:rPr>
  </w:style>
  <w:style w:type="paragraph" w:customStyle="1" w:styleId="affff8">
    <w:name w:val="מדינת"/>
    <w:basedOn w:val="3"/>
    <w:autoRedefine/>
    <w:uiPriority w:val="99"/>
    <w:semiHidden/>
    <w:rsid w:val="004375C4"/>
    <w:rPr>
      <w:sz w:val="28"/>
      <w:szCs w:val="28"/>
    </w:rPr>
  </w:style>
  <w:style w:type="paragraph" w:customStyle="1" w:styleId="affff9">
    <w:name w:val="המחלקה"/>
    <w:basedOn w:val="3"/>
    <w:uiPriority w:val="99"/>
    <w:semiHidden/>
    <w:rsid w:val="008908E4"/>
    <w:rPr>
      <w:b w:val="0"/>
      <w:bCs w:val="0"/>
    </w:rPr>
  </w:style>
  <w:style w:type="paragraph" w:customStyle="1" w:styleId="2f3">
    <w:name w:val="ציטוט 2"/>
    <w:basedOn w:val="a0"/>
    <w:link w:val="2f4"/>
    <w:uiPriority w:val="99"/>
    <w:rsid w:val="00955021"/>
    <w:pPr>
      <w:ind w:left="748" w:right="539"/>
    </w:pPr>
  </w:style>
  <w:style w:type="paragraph" w:customStyle="1" w:styleId="affffa">
    <w:name w:val="תו"/>
    <w:basedOn w:val="a0"/>
    <w:uiPriority w:val="99"/>
    <w:semiHidden/>
    <w:rsid w:val="00955021"/>
    <w:pPr>
      <w:autoSpaceDE/>
      <w:autoSpaceDN/>
      <w:bidi w:val="0"/>
      <w:spacing w:after="160" w:line="240" w:lineRule="exact"/>
      <w:jc w:val="left"/>
    </w:pPr>
    <w:rPr>
      <w:rFonts w:ascii="Arial" w:eastAsia="MS Mincho" w:hAnsi="Arial" w:cs="Arial"/>
      <w:sz w:val="20"/>
      <w:szCs w:val="20"/>
      <w:lang w:bidi="ar-SA"/>
    </w:rPr>
  </w:style>
  <w:style w:type="character" w:customStyle="1" w:styleId="1a">
    <w:name w:val="ציטוט1 תו"/>
    <w:link w:val="1b"/>
    <w:uiPriority w:val="99"/>
    <w:locked/>
    <w:rsid w:val="00955021"/>
    <w:rPr>
      <w:sz w:val="24"/>
    </w:rPr>
  </w:style>
  <w:style w:type="paragraph" w:customStyle="1" w:styleId="1b">
    <w:name w:val="ציטוט1"/>
    <w:basedOn w:val="a0"/>
    <w:link w:val="1a"/>
    <w:uiPriority w:val="99"/>
    <w:rsid w:val="00955021"/>
    <w:pPr>
      <w:autoSpaceDE/>
      <w:autoSpaceDN/>
      <w:spacing w:after="0" w:line="480" w:lineRule="auto"/>
      <w:ind w:left="748" w:right="539"/>
    </w:pPr>
    <w:rPr>
      <w:rFonts w:cs="David"/>
      <w:bCs/>
      <w:sz w:val="20"/>
    </w:rPr>
  </w:style>
  <w:style w:type="character" w:customStyle="1" w:styleId="2f4">
    <w:name w:val="ציטוט 2 תו"/>
    <w:link w:val="2f3"/>
    <w:uiPriority w:val="99"/>
    <w:locked/>
    <w:rsid w:val="00955021"/>
    <w:rPr>
      <w:sz w:val="24"/>
    </w:rPr>
  </w:style>
  <w:style w:type="paragraph" w:styleId="affffb">
    <w:name w:val="Balloon Text"/>
    <w:basedOn w:val="a0"/>
    <w:link w:val="affffc"/>
    <w:uiPriority w:val="99"/>
    <w:rsid w:val="00B229BB"/>
    <w:pPr>
      <w:spacing w:after="0" w:line="240" w:lineRule="auto"/>
    </w:pPr>
    <w:rPr>
      <w:rFonts w:ascii="Tahoma" w:hAnsi="Tahoma" w:cs="Tahoma"/>
      <w:sz w:val="16"/>
      <w:szCs w:val="16"/>
    </w:rPr>
  </w:style>
  <w:style w:type="character" w:customStyle="1" w:styleId="affffc">
    <w:name w:val="טקסט בלונים תו"/>
    <w:basedOn w:val="a1"/>
    <w:link w:val="affffb"/>
    <w:uiPriority w:val="99"/>
    <w:locked/>
    <w:rsid w:val="00B229BB"/>
    <w:rPr>
      <w:rFonts w:ascii="Tahoma" w:hAnsi="Tahoma" w:cs="Tahoma"/>
      <w:sz w:val="16"/>
      <w:szCs w:val="16"/>
    </w:rPr>
  </w:style>
  <w:style w:type="numbering" w:styleId="1ai">
    <w:name w:val="Outline List 1"/>
    <w:basedOn w:val="a3"/>
    <w:uiPriority w:val="99"/>
    <w:semiHidden/>
    <w:unhideWhenUsed/>
    <w:pPr>
      <w:numPr>
        <w:numId w:val="23"/>
      </w:numPr>
    </w:pPr>
  </w:style>
  <w:style w:type="numbering" w:styleId="111111">
    <w:name w:val="Outline List 2"/>
    <w:basedOn w:val="a3"/>
    <w:uiPriority w:val="99"/>
    <w:semiHidden/>
    <w:unhideWhenUsed/>
    <w:pPr>
      <w:numPr>
        <w:numId w:val="22"/>
      </w:numPr>
    </w:pPr>
  </w:style>
  <w:style w:type="numbering" w:styleId="a">
    <w:name w:val="Outline List 3"/>
    <w:basedOn w:val="a3"/>
    <w:uiPriority w:val="99"/>
    <w:semiHidden/>
    <w:unhideWhenUsed/>
    <w:pPr>
      <w:numPr>
        <w:numId w:val="24"/>
      </w:numPr>
    </w:pPr>
  </w:style>
</w:styles>
</file>

<file path=word/webSettings.xml><?xml version="1.0" encoding="utf-8"?>
<w:webSettings xmlns:r="http://schemas.openxmlformats.org/officeDocument/2006/relationships" xmlns:w="http://schemas.openxmlformats.org/wordprocessingml/2006/main">
  <w:divs>
    <w:div w:id="1949660255">
      <w:marLeft w:val="0"/>
      <w:marRight w:val="0"/>
      <w:marTop w:val="0"/>
      <w:marBottom w:val="0"/>
      <w:divBdr>
        <w:top w:val="none" w:sz="0" w:space="0" w:color="auto"/>
        <w:left w:val="none" w:sz="0" w:space="0" w:color="auto"/>
        <w:bottom w:val="none" w:sz="0" w:space="0" w:color="auto"/>
        <w:right w:val="none" w:sz="0" w:space="0" w:color="auto"/>
      </w:divBdr>
      <w:divsChild>
        <w:div w:id="1949660256">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at.ac.il/mishpat-ivri" TargetMode="External"/><Relationship Id="rId3" Type="http://schemas.openxmlformats.org/officeDocument/2006/relationships/settings" Target="settings.xml"/><Relationship Id="rId7" Type="http://schemas.openxmlformats.org/officeDocument/2006/relationships/hyperlink" Target="http://www.justice.gov.il/mojheb/tfu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tinyurl.com/Mishpacha"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2031</Words>
  <Characters>10750</Characters>
  <Application>Microsoft Office Word</Application>
  <DocSecurity>0</DocSecurity>
  <Lines>179</Lines>
  <Paragraphs>70</Paragraphs>
  <ScaleCrop>false</ScaleCrop>
  <Company>MOJ</Company>
  <LinksUpToDate>false</LinksUpToDate>
  <CharactersWithSpaces>12711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מדינת ישראל</dc:title>
  <dc:creator>Eliezer Halle</dc:creator>
  <cp:lastModifiedBy>bb bt</cp:lastModifiedBy>
  <cp:revision>2</cp:revision>
  <cp:lastPrinted>2013-06-20T05:07:00Z</cp:lastPrinted>
  <dcterms:created xsi:type="dcterms:W3CDTF">2015-06-09T13:48:00Z</dcterms:created>
  <dcterms:modified xsi:type="dcterms:W3CDTF">2015-06-09T13:48:00Z</dcterms:modified>
</cp:coreProperties>
</file>