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29" w:rsidRPr="0000131B" w:rsidRDefault="004033D8" w:rsidP="00A443CF">
      <w:pPr>
        <w:pStyle w:val="HeadHatzaotHok"/>
        <w:jc w:val="right"/>
        <w:rPr>
          <w:b w:val="0"/>
          <w:bCs w:val="0"/>
          <w:szCs w:val="20"/>
        </w:rPr>
      </w:pPr>
      <w:r w:rsidRPr="0000131B">
        <w:rPr>
          <w:b w:val="0"/>
          <w:bCs w:val="0"/>
          <w:szCs w:val="20"/>
          <w:rtl/>
        </w:rPr>
        <w:t xml:space="preserve">מספר פנימי: </w:t>
      </w:r>
      <w:bookmarkStart w:id="0" w:name="LGS_Internal_ID"/>
      <w:r>
        <w:rPr>
          <w:b w:val="0"/>
          <w:bCs w:val="0"/>
          <w:szCs w:val="20"/>
          <w:rtl/>
        </w:rPr>
        <w:t>562494</w:t>
      </w:r>
      <w:bookmarkEnd w:id="0"/>
    </w:p>
    <w:p w:rsidR="00E13C27" w:rsidRPr="00DB7060" w:rsidRDefault="00E13C27" w:rsidP="00A443CF">
      <w:pPr>
        <w:pStyle w:val="HeadHatzaotHok"/>
        <w:rPr>
          <w:sz w:val="28"/>
          <w:szCs w:val="28"/>
          <w:rtl/>
        </w:rPr>
      </w:pPr>
      <w:r w:rsidRPr="00DB7060">
        <w:rPr>
          <w:sz w:val="28"/>
          <w:szCs w:val="28"/>
          <w:rtl/>
        </w:rPr>
        <w:t xml:space="preserve">הכנסת </w:t>
      </w:r>
      <w:bookmarkStart w:id="1" w:name="LGS_Knesset_Num"/>
      <w:r w:rsidR="001A4FAD">
        <w:rPr>
          <w:sz w:val="28"/>
          <w:szCs w:val="28"/>
          <w:rtl/>
        </w:rPr>
        <w:t>העשרים</w:t>
      </w:r>
      <w:bookmarkEnd w:id="1"/>
    </w:p>
    <w:p w:rsidR="00E13C27" w:rsidRPr="00F67051" w:rsidRDefault="00E13C27" w:rsidP="00E13C27">
      <w:pPr>
        <w:rPr>
          <w:rFonts w:cs="David"/>
          <w:b/>
          <w:bCs/>
          <w:sz w:val="26"/>
          <w:szCs w:val="26"/>
          <w:rtl/>
        </w:rPr>
      </w:pPr>
    </w:p>
    <w:p w:rsidR="00E13C27" w:rsidRDefault="008F6665" w:rsidP="003E381C">
      <w:pPr>
        <w:pStyle w:val="David"/>
        <w:spacing w:line="360" w:lineRule="auto"/>
        <w:ind w:left="3544"/>
        <w:rPr>
          <w:b/>
          <w:bCs/>
          <w:rtl/>
        </w:rPr>
      </w:pPr>
      <w:bookmarkStart w:id="2" w:name="LGS_Initiators_List"/>
      <w:r>
        <w:rPr>
          <w:b/>
          <w:bCs/>
          <w:rtl/>
        </w:rPr>
        <w:t>יוזמת:</w:t>
      </w:r>
      <w:r>
        <w:tab/>
      </w:r>
      <w:r>
        <w:rPr>
          <w:b/>
          <w:bCs/>
          <w:rtl/>
        </w:rPr>
        <w:t xml:space="preserve">      חברת הכנסת</w:t>
      </w:r>
      <w:bookmarkEnd w:id="2"/>
      <w:r w:rsidR="00B35784" w:rsidRPr="00F67051">
        <w:rPr>
          <w:b/>
          <w:bCs/>
        </w:rPr>
        <w:tab/>
      </w:r>
      <w:bookmarkStart w:id="3" w:name="LGS_PM_Names"/>
      <w:r>
        <w:rPr>
          <w:b/>
          <w:bCs/>
          <w:rtl/>
        </w:rPr>
        <w:t>אורלי לוי אבקסיס</w:t>
      </w:r>
      <w:bookmarkEnd w:id="3"/>
    </w:p>
    <w:p w:rsidR="00E13C27" w:rsidRPr="00CF1AA2" w:rsidRDefault="007D585A" w:rsidP="003E381C">
      <w:pPr>
        <w:pStyle w:val="David"/>
        <w:spacing w:line="360" w:lineRule="auto"/>
        <w:ind w:left="3544"/>
        <w:rPr>
          <w:b/>
          <w:bCs/>
          <w:rtl/>
        </w:rPr>
      </w:pPr>
      <w:bookmarkStart w:id="4" w:name="LGS_Join_List"/>
      <w:r>
        <w:rPr>
          <w:rtl/>
        </w:rPr>
        <w:t xml:space="preserve"> </w:t>
      </w:r>
      <w:bookmarkEnd w:id="4"/>
      <w:r w:rsidR="002200A1" w:rsidRPr="00CF1AA2">
        <w:rPr>
          <w:rtl/>
        </w:rPr>
        <w:tab/>
      </w:r>
      <w:bookmarkStart w:id="5" w:name="LGS_PM_NamesJoin"/>
      <w:r>
        <w:rPr>
          <w:rtl/>
        </w:rPr>
        <w:t xml:space="preserve"> </w:t>
      </w:r>
      <w:bookmarkEnd w:id="5"/>
    </w:p>
    <w:p w:rsidR="00E13C27" w:rsidRPr="00E06736" w:rsidRDefault="009F72AE" w:rsidP="00416B4D">
      <w:pPr>
        <w:pStyle w:val="David"/>
        <w:ind w:left="3544"/>
        <w:rPr>
          <w:rtl/>
        </w:rPr>
      </w:pPr>
      <w:r>
        <w:rPr>
          <w:noProof/>
          <w:lang w:eastAsia="en-US"/>
        </w:rPr>
        <w:pict>
          <v:polyline id="Freeform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w:r>
      <w:r w:rsidR="00E13C27" w:rsidRPr="00E06736">
        <w:rPr>
          <w:rtl/>
        </w:rPr>
        <w:tab/>
      </w:r>
      <w:r w:rsidR="00416B4D">
        <w:tab/>
      </w:r>
      <w:r w:rsidR="00FA5E88">
        <w:tab/>
      </w:r>
      <w:r w:rsidR="00E13C27" w:rsidRPr="00E06736">
        <w:rPr>
          <w:rtl/>
        </w:rPr>
        <w:tab/>
      </w:r>
      <w:r w:rsidR="00E06736" w:rsidRPr="00E06736">
        <w:tab/>
      </w:r>
      <w:bookmarkStart w:id="6" w:name="Private_Number"/>
      <w:r w:rsidR="0014195F">
        <w:rPr>
          <w:rtl/>
        </w:rPr>
        <w:t>פ/411/20</w:t>
      </w:r>
      <w:bookmarkEnd w:id="6"/>
      <w:r w:rsidR="00E13C27" w:rsidRPr="00E06736">
        <w:rPr>
          <w:rtl/>
        </w:rPr>
        <w:tab/>
      </w:r>
      <w:r w:rsidR="00E13C27" w:rsidRPr="00E06736">
        <w:rPr>
          <w:rtl/>
        </w:rPr>
        <w:tab/>
      </w:r>
      <w:r w:rsidR="00E13C27" w:rsidRPr="00E06736">
        <w:rPr>
          <w:rtl/>
        </w:rPr>
        <w:tab/>
      </w:r>
    </w:p>
    <w:p w:rsidR="00E13C27" w:rsidRDefault="00E13C27" w:rsidP="00E13C27">
      <w:pPr>
        <w:spacing w:before="0" w:line="360" w:lineRule="auto"/>
        <w:ind w:left="2880" w:firstLine="720"/>
        <w:rPr>
          <w:rFonts w:cs="David"/>
          <w:sz w:val="26"/>
          <w:szCs w:val="26"/>
          <w:rtl/>
        </w:rPr>
      </w:pPr>
    </w:p>
    <w:p w:rsidR="00E13C27" w:rsidRDefault="00A443CF" w:rsidP="00215271">
      <w:pPr>
        <w:pStyle w:val="HeadHatzaotHok"/>
        <w:rPr>
          <w:rtl/>
        </w:rPr>
      </w:pPr>
      <w:bookmarkStart w:id="7" w:name="LGS_Subject"/>
      <w:r>
        <w:rPr>
          <w:rtl/>
        </w:rPr>
        <w:t>הצעת חוק הסכמי קדם נישואים, התשע"ה–2015</w:t>
      </w:r>
      <w:bookmarkEnd w:id="7"/>
    </w:p>
    <w:tbl>
      <w:tblPr>
        <w:bidiVisual/>
        <w:tblW w:w="9638" w:type="dxa"/>
        <w:tblLayout w:type="fixed"/>
        <w:tblCellMar>
          <w:top w:w="57" w:type="dxa"/>
          <w:left w:w="0" w:type="dxa"/>
          <w:bottom w:w="57" w:type="dxa"/>
          <w:right w:w="0" w:type="dxa"/>
        </w:tblCellMar>
        <w:tblLook w:val="01E0"/>
      </w:tblPr>
      <w:tblGrid>
        <w:gridCol w:w="1871"/>
        <w:gridCol w:w="624"/>
        <w:gridCol w:w="624"/>
        <w:gridCol w:w="6519"/>
      </w:tblGrid>
      <w:tr w:rsidR="00571E1A" w:rsidTr="00BB2E5F">
        <w:trPr>
          <w:cantSplit/>
        </w:trPr>
        <w:tc>
          <w:tcPr>
            <w:tcW w:w="1871" w:type="dxa"/>
          </w:tcPr>
          <w:p w:rsidR="00571E1A" w:rsidRDefault="00571E1A" w:rsidP="009760CE">
            <w:pPr>
              <w:pStyle w:val="TableSideHeading"/>
              <w:keepLines w:val="0"/>
            </w:pPr>
            <w:r>
              <w:rPr>
                <w:rtl/>
              </w:rPr>
              <w:t>מטרה</w:t>
            </w:r>
          </w:p>
        </w:tc>
        <w:tc>
          <w:tcPr>
            <w:tcW w:w="624" w:type="dxa"/>
          </w:tcPr>
          <w:p w:rsidR="00571E1A" w:rsidRDefault="00BB2E5F" w:rsidP="00475C4D">
            <w:pPr>
              <w:pStyle w:val="TableText"/>
              <w:keepLines w:val="0"/>
            </w:pPr>
            <w:r>
              <w:rPr>
                <w:rtl/>
              </w:rPr>
              <w:t xml:space="preserve">1. </w:t>
            </w:r>
          </w:p>
        </w:tc>
        <w:tc>
          <w:tcPr>
            <w:tcW w:w="7143" w:type="dxa"/>
            <w:gridSpan w:val="2"/>
          </w:tcPr>
          <w:p w:rsidR="00571E1A" w:rsidRPr="00C34DE2" w:rsidRDefault="00571E1A" w:rsidP="00BB2E5F">
            <w:pPr>
              <w:pStyle w:val="TableBlock"/>
            </w:pPr>
            <w:r>
              <w:rPr>
                <w:rtl/>
              </w:rPr>
              <w:t>מטרת חוק זה לקדם נישואין המושתתים על כבוד הדדי ועל שוויון בין המינים ולמנוע סרבנות גירושין באמצעות חתימת בני הזוג על הסכם קדם נישואין.</w:t>
            </w:r>
          </w:p>
        </w:tc>
      </w:tr>
      <w:tr w:rsidR="00571E1A" w:rsidTr="00BB2E5F">
        <w:trPr>
          <w:cantSplit/>
        </w:trPr>
        <w:tc>
          <w:tcPr>
            <w:tcW w:w="1871" w:type="dxa"/>
          </w:tcPr>
          <w:p w:rsidR="00571E1A" w:rsidRDefault="00571E1A" w:rsidP="009760CE">
            <w:pPr>
              <w:pStyle w:val="TableSideHeading"/>
              <w:keepLines w:val="0"/>
              <w:rPr>
                <w:rtl/>
              </w:rPr>
            </w:pPr>
            <w:r>
              <w:rPr>
                <w:rtl/>
              </w:rPr>
              <w:t>הסכם קדם נישואין</w:t>
            </w:r>
          </w:p>
        </w:tc>
        <w:tc>
          <w:tcPr>
            <w:tcW w:w="624" w:type="dxa"/>
          </w:tcPr>
          <w:p w:rsidR="00571E1A" w:rsidRDefault="00571E1A" w:rsidP="009760CE">
            <w:pPr>
              <w:pStyle w:val="TableText"/>
            </w:pPr>
            <w:r>
              <w:rPr>
                <w:rtl/>
              </w:rPr>
              <w:t>2.</w:t>
            </w:r>
          </w:p>
        </w:tc>
        <w:tc>
          <w:tcPr>
            <w:tcW w:w="7143" w:type="dxa"/>
            <w:gridSpan w:val="2"/>
          </w:tcPr>
          <w:p w:rsidR="00571E1A" w:rsidRPr="00272DDB" w:rsidRDefault="00571E1A" w:rsidP="00BB2E5F">
            <w:pPr>
              <w:pStyle w:val="TableBlock"/>
              <w:rPr>
                <w:rtl/>
              </w:rPr>
            </w:pPr>
            <w:r>
              <w:rPr>
                <w:rtl/>
              </w:rPr>
              <w:t>(א)</w:t>
            </w:r>
            <w:r>
              <w:rPr>
                <w:rtl/>
              </w:rPr>
              <w:tab/>
              <w:t xml:space="preserve">הסכם קדם נישואין </w:t>
            </w:r>
            <w:r w:rsidRPr="009A5BCC">
              <w:rPr>
                <w:rtl/>
              </w:rPr>
              <w:t xml:space="preserve">הוא הסכם </w:t>
            </w:r>
            <w:r>
              <w:rPr>
                <w:rtl/>
              </w:rPr>
              <w:t>הכולל הוראות שמטרתן לאפשר לבני זוג נשואים המעוניינים בכך לסיים את קשר הנישואין בכבוד ולמנוע סרבנות גירושין, בין היתר, בדרכים אלה:</w:t>
            </w:r>
          </w:p>
        </w:tc>
      </w:tr>
      <w:tr w:rsidR="00571E1A" w:rsidTr="00BB2E5F">
        <w:trPr>
          <w:cantSplit/>
        </w:trPr>
        <w:tc>
          <w:tcPr>
            <w:tcW w:w="1871" w:type="dxa"/>
          </w:tcPr>
          <w:p w:rsidR="00571E1A" w:rsidRPr="00BB2E5F" w:rsidRDefault="00571E1A" w:rsidP="00BB2E5F">
            <w:pPr>
              <w:pStyle w:val="TableSideHeading"/>
              <w:ind w:right="0"/>
            </w:pPr>
          </w:p>
        </w:tc>
        <w:tc>
          <w:tcPr>
            <w:tcW w:w="624" w:type="dxa"/>
          </w:tcPr>
          <w:p w:rsidR="00571E1A" w:rsidRPr="00BB2E5F" w:rsidRDefault="00571E1A" w:rsidP="00BB2E5F">
            <w:pPr>
              <w:pStyle w:val="TableText"/>
              <w:ind w:right="0"/>
              <w:jc w:val="both"/>
            </w:pPr>
          </w:p>
        </w:tc>
        <w:tc>
          <w:tcPr>
            <w:tcW w:w="624" w:type="dxa"/>
          </w:tcPr>
          <w:p w:rsidR="00571E1A" w:rsidRPr="00BB2E5F" w:rsidRDefault="00571E1A" w:rsidP="00BB2E5F">
            <w:pPr>
              <w:pStyle w:val="TableText"/>
              <w:ind w:right="0"/>
              <w:jc w:val="both"/>
            </w:pPr>
          </w:p>
        </w:tc>
        <w:tc>
          <w:tcPr>
            <w:tcW w:w="6519" w:type="dxa"/>
          </w:tcPr>
          <w:p w:rsidR="00571E1A" w:rsidRPr="009A5BCC" w:rsidRDefault="00571E1A" w:rsidP="00BB2E5F">
            <w:pPr>
              <w:pStyle w:val="TableBlock"/>
            </w:pPr>
            <w:r w:rsidRPr="009A5BCC">
              <w:rPr>
                <w:rtl/>
              </w:rPr>
              <w:t>(1)</w:t>
            </w:r>
            <w:r w:rsidRPr="009A5BCC">
              <w:rPr>
                <w:rtl/>
              </w:rPr>
              <w:tab/>
            </w:r>
            <w:r>
              <w:rPr>
                <w:rtl/>
              </w:rPr>
              <w:t>איסור התני</w:t>
            </w:r>
            <w:r w:rsidR="009A197F">
              <w:rPr>
                <w:rtl/>
              </w:rPr>
              <w:t>י</w:t>
            </w:r>
            <w:r>
              <w:rPr>
                <w:rtl/>
              </w:rPr>
              <w:t>ת סיום הנישואין בעניינים נלווים, לרבות משמורת הילדים, מזונות הילדים, חינוך הילדים, ענייני ממון וסמכויות שיפוט (בחוק זה – עניינים נלווים);</w:t>
            </w:r>
          </w:p>
        </w:tc>
      </w:tr>
      <w:tr w:rsidR="00571E1A" w:rsidTr="00BB2E5F">
        <w:trPr>
          <w:cantSplit/>
        </w:trPr>
        <w:tc>
          <w:tcPr>
            <w:tcW w:w="1871" w:type="dxa"/>
          </w:tcPr>
          <w:p w:rsidR="00571E1A" w:rsidRPr="00BB2E5F" w:rsidRDefault="00571E1A" w:rsidP="00BB2E5F">
            <w:pPr>
              <w:pStyle w:val="TableSideHeading"/>
              <w:ind w:right="0"/>
            </w:pPr>
          </w:p>
        </w:tc>
        <w:tc>
          <w:tcPr>
            <w:tcW w:w="624" w:type="dxa"/>
          </w:tcPr>
          <w:p w:rsidR="00571E1A" w:rsidRPr="0037629B" w:rsidRDefault="00571E1A" w:rsidP="009760CE">
            <w:pPr>
              <w:pStyle w:val="TableText"/>
            </w:pPr>
          </w:p>
        </w:tc>
        <w:tc>
          <w:tcPr>
            <w:tcW w:w="624" w:type="dxa"/>
          </w:tcPr>
          <w:p w:rsidR="00571E1A" w:rsidRPr="00BB2E5F" w:rsidRDefault="00571E1A" w:rsidP="00BB2E5F">
            <w:pPr>
              <w:pStyle w:val="TableText"/>
              <w:ind w:right="0"/>
              <w:jc w:val="both"/>
            </w:pPr>
          </w:p>
        </w:tc>
        <w:tc>
          <w:tcPr>
            <w:tcW w:w="6519" w:type="dxa"/>
          </w:tcPr>
          <w:p w:rsidR="00571E1A" w:rsidRPr="009A5BCC" w:rsidRDefault="00571E1A" w:rsidP="00BB2E5F">
            <w:pPr>
              <w:pStyle w:val="TableBlock"/>
              <w:rPr>
                <w:rtl/>
              </w:rPr>
            </w:pPr>
            <w:r>
              <w:rPr>
                <w:rtl/>
              </w:rPr>
              <w:t>(2)</w:t>
            </w:r>
            <w:r>
              <w:rPr>
                <w:rtl/>
              </w:rPr>
              <w:tab/>
              <w:t>הבהרה כי אי הסכמה לתנאים או לדרישות בעניינים הנלווים לא תיחשב כשלעצמה כסרבנות גירושין;</w:t>
            </w:r>
          </w:p>
        </w:tc>
      </w:tr>
      <w:tr w:rsidR="00571E1A" w:rsidTr="00BB2E5F">
        <w:trPr>
          <w:cantSplit/>
        </w:trPr>
        <w:tc>
          <w:tcPr>
            <w:tcW w:w="1871" w:type="dxa"/>
          </w:tcPr>
          <w:p w:rsidR="00571E1A" w:rsidRPr="00BB2E5F" w:rsidRDefault="00571E1A" w:rsidP="00BB2E5F">
            <w:pPr>
              <w:pStyle w:val="TableSideHeading"/>
              <w:ind w:right="0"/>
            </w:pPr>
          </w:p>
        </w:tc>
        <w:tc>
          <w:tcPr>
            <w:tcW w:w="624" w:type="dxa"/>
          </w:tcPr>
          <w:p w:rsidR="00571E1A" w:rsidRPr="0037629B" w:rsidRDefault="00571E1A" w:rsidP="009760CE">
            <w:pPr>
              <w:pStyle w:val="TableText"/>
            </w:pPr>
          </w:p>
        </w:tc>
        <w:tc>
          <w:tcPr>
            <w:tcW w:w="624" w:type="dxa"/>
          </w:tcPr>
          <w:p w:rsidR="00571E1A" w:rsidRPr="00BB2E5F" w:rsidRDefault="00571E1A" w:rsidP="00BB2E5F">
            <w:pPr>
              <w:pStyle w:val="TableText"/>
              <w:ind w:right="0"/>
              <w:jc w:val="both"/>
            </w:pPr>
          </w:p>
        </w:tc>
        <w:tc>
          <w:tcPr>
            <w:tcW w:w="6519" w:type="dxa"/>
          </w:tcPr>
          <w:p w:rsidR="00571E1A" w:rsidRPr="009A5BCC" w:rsidRDefault="00571E1A" w:rsidP="00BB2E5F">
            <w:pPr>
              <w:pStyle w:val="TableBlock"/>
              <w:rPr>
                <w:rtl/>
              </w:rPr>
            </w:pPr>
            <w:r>
              <w:rPr>
                <w:rtl/>
              </w:rPr>
              <w:t xml:space="preserve">(3) </w:t>
            </w:r>
            <w:r>
              <w:rPr>
                <w:rtl/>
              </w:rPr>
              <w:tab/>
              <w:t>קביעת תמריץ כספי שישלם בן זוג סרבן לבן הזוג המבקש לסיים את הנישואין עד לסיום הנישואין בפועל.</w:t>
            </w:r>
          </w:p>
        </w:tc>
      </w:tr>
      <w:tr w:rsidR="00571E1A" w:rsidTr="00BB2E5F">
        <w:trPr>
          <w:cantSplit/>
        </w:trPr>
        <w:tc>
          <w:tcPr>
            <w:tcW w:w="1871" w:type="dxa"/>
          </w:tcPr>
          <w:p w:rsidR="00571E1A" w:rsidRDefault="00571E1A" w:rsidP="009760CE">
            <w:pPr>
              <w:pStyle w:val="TableSideHeading"/>
              <w:keepLines w:val="0"/>
              <w:rPr>
                <w:rtl/>
              </w:rPr>
            </w:pPr>
          </w:p>
        </w:tc>
        <w:tc>
          <w:tcPr>
            <w:tcW w:w="624" w:type="dxa"/>
          </w:tcPr>
          <w:p w:rsidR="00571E1A" w:rsidRDefault="00571E1A" w:rsidP="009760CE">
            <w:pPr>
              <w:pStyle w:val="TableText"/>
            </w:pPr>
          </w:p>
        </w:tc>
        <w:tc>
          <w:tcPr>
            <w:tcW w:w="7143" w:type="dxa"/>
            <w:gridSpan w:val="2"/>
          </w:tcPr>
          <w:p w:rsidR="00571E1A" w:rsidRDefault="00571E1A" w:rsidP="00BB2E5F">
            <w:pPr>
              <w:pStyle w:val="TableBlock"/>
              <w:rPr>
                <w:rtl/>
              </w:rPr>
            </w:pPr>
            <w:r>
              <w:rPr>
                <w:rtl/>
              </w:rPr>
              <w:t>(ב)</w:t>
            </w:r>
            <w:r>
              <w:rPr>
                <w:rtl/>
              </w:rPr>
              <w:tab/>
              <w:t xml:space="preserve">הסכם קדם נישואין יכול לכלול הוראות גם בעניינים אלה: </w:t>
            </w:r>
          </w:p>
        </w:tc>
      </w:tr>
      <w:tr w:rsidR="00571E1A" w:rsidTr="00BB2E5F">
        <w:trPr>
          <w:cantSplit/>
        </w:trPr>
        <w:tc>
          <w:tcPr>
            <w:tcW w:w="1871" w:type="dxa"/>
          </w:tcPr>
          <w:p w:rsidR="00571E1A" w:rsidRDefault="00571E1A" w:rsidP="009760CE">
            <w:pPr>
              <w:pStyle w:val="TableSideHeading"/>
            </w:pPr>
          </w:p>
        </w:tc>
        <w:tc>
          <w:tcPr>
            <w:tcW w:w="624" w:type="dxa"/>
          </w:tcPr>
          <w:p w:rsidR="00571E1A" w:rsidRDefault="00571E1A" w:rsidP="009760CE">
            <w:pPr>
              <w:pStyle w:val="TableText"/>
            </w:pPr>
          </w:p>
        </w:tc>
        <w:tc>
          <w:tcPr>
            <w:tcW w:w="624" w:type="dxa"/>
          </w:tcPr>
          <w:p w:rsidR="00571E1A" w:rsidRDefault="00571E1A" w:rsidP="009760CE">
            <w:pPr>
              <w:pStyle w:val="TableText"/>
            </w:pPr>
          </w:p>
        </w:tc>
        <w:tc>
          <w:tcPr>
            <w:tcW w:w="6519" w:type="dxa"/>
          </w:tcPr>
          <w:p w:rsidR="00571E1A" w:rsidRPr="00B310BE" w:rsidRDefault="00571E1A" w:rsidP="00BB2E5F">
            <w:pPr>
              <w:pStyle w:val="TableBlock"/>
            </w:pPr>
            <w:r>
              <w:rPr>
                <w:rtl/>
              </w:rPr>
              <w:t>(1)</w:t>
            </w:r>
            <w:r>
              <w:rPr>
                <w:rtl/>
              </w:rPr>
              <w:tab/>
              <w:t xml:space="preserve">הסדרה שוויונית של יחסי הממון בין בני הזוג </w:t>
            </w:r>
            <w:r w:rsidRPr="00B310BE">
              <w:rPr>
                <w:rtl/>
              </w:rPr>
              <w:t>כמשמעות</w:t>
            </w:r>
            <w:r>
              <w:rPr>
                <w:rtl/>
              </w:rPr>
              <w:t>ה</w:t>
            </w:r>
            <w:r w:rsidRPr="00B310BE">
              <w:rPr>
                <w:rtl/>
              </w:rPr>
              <w:t xml:space="preserve"> בחוק יחסי ממון בין בני זוג, התשל"ג–1973</w:t>
            </w:r>
            <w:r w:rsidR="00222455">
              <w:rPr>
                <w:rStyle w:val="a7"/>
                <w:rFonts w:cs="David"/>
                <w:rtl/>
              </w:rPr>
              <w:footnoteReference w:id="2"/>
            </w:r>
            <w:r>
              <w:rPr>
                <w:rtl/>
              </w:rPr>
              <w:t>;</w:t>
            </w:r>
          </w:p>
        </w:tc>
      </w:tr>
      <w:tr w:rsidR="00571E1A" w:rsidTr="00BB2E5F">
        <w:trPr>
          <w:cantSplit/>
        </w:trPr>
        <w:tc>
          <w:tcPr>
            <w:tcW w:w="1871" w:type="dxa"/>
          </w:tcPr>
          <w:p w:rsidR="00571E1A" w:rsidRDefault="00571E1A" w:rsidP="009760CE">
            <w:pPr>
              <w:pStyle w:val="TableSideHeading"/>
            </w:pPr>
          </w:p>
        </w:tc>
        <w:tc>
          <w:tcPr>
            <w:tcW w:w="624" w:type="dxa"/>
          </w:tcPr>
          <w:p w:rsidR="00571E1A" w:rsidRDefault="00571E1A" w:rsidP="009760CE">
            <w:pPr>
              <w:pStyle w:val="TableText"/>
            </w:pPr>
          </w:p>
        </w:tc>
        <w:tc>
          <w:tcPr>
            <w:tcW w:w="624" w:type="dxa"/>
          </w:tcPr>
          <w:p w:rsidR="00571E1A" w:rsidRDefault="00571E1A" w:rsidP="009760CE">
            <w:pPr>
              <w:pStyle w:val="TableText"/>
            </w:pPr>
          </w:p>
        </w:tc>
        <w:tc>
          <w:tcPr>
            <w:tcW w:w="6519" w:type="dxa"/>
          </w:tcPr>
          <w:p w:rsidR="00571E1A" w:rsidRDefault="00571E1A" w:rsidP="00BB2E5F">
            <w:pPr>
              <w:pStyle w:val="TableBlock"/>
              <w:rPr>
                <w:rtl/>
              </w:rPr>
            </w:pPr>
            <w:r>
              <w:rPr>
                <w:rtl/>
              </w:rPr>
              <w:t>(2)</w:t>
            </w:r>
            <w:r>
              <w:rPr>
                <w:rtl/>
              </w:rPr>
              <w:tab/>
              <w:t>משמורת ילדים ומזונות ילדים.</w:t>
            </w:r>
          </w:p>
        </w:tc>
      </w:tr>
      <w:tr w:rsidR="00571E1A" w:rsidTr="00BB2E5F">
        <w:trPr>
          <w:cantSplit/>
        </w:trPr>
        <w:tc>
          <w:tcPr>
            <w:tcW w:w="1871" w:type="dxa"/>
          </w:tcPr>
          <w:p w:rsidR="00571E1A" w:rsidRDefault="00571E1A" w:rsidP="009760CE">
            <w:pPr>
              <w:pStyle w:val="TableSideHeading"/>
              <w:keepLines w:val="0"/>
              <w:rPr>
                <w:rtl/>
              </w:rPr>
            </w:pPr>
          </w:p>
        </w:tc>
        <w:tc>
          <w:tcPr>
            <w:tcW w:w="624" w:type="dxa"/>
          </w:tcPr>
          <w:p w:rsidR="00571E1A" w:rsidRDefault="00571E1A" w:rsidP="009760CE">
            <w:pPr>
              <w:pStyle w:val="TableText"/>
            </w:pPr>
          </w:p>
        </w:tc>
        <w:tc>
          <w:tcPr>
            <w:tcW w:w="7143" w:type="dxa"/>
            <w:gridSpan w:val="2"/>
          </w:tcPr>
          <w:p w:rsidR="00571E1A" w:rsidRPr="00387DD0" w:rsidRDefault="00571E1A" w:rsidP="00BB2E5F">
            <w:pPr>
              <w:pStyle w:val="TableBlock"/>
              <w:rPr>
                <w:rtl/>
              </w:rPr>
            </w:pPr>
            <w:r>
              <w:rPr>
                <w:rtl/>
              </w:rPr>
              <w:t>(ג)</w:t>
            </w:r>
            <w:r>
              <w:rPr>
                <w:rtl/>
              </w:rPr>
              <w:tab/>
              <w:t>הסכם קדם נישואין לא יתנה על הוראות הדין בעניין סמכות השיפוט ולא יכלול הוראות הקובעות סמכות שיפוט בלעדית.</w:t>
            </w:r>
          </w:p>
        </w:tc>
      </w:tr>
      <w:tr w:rsidR="00571E1A" w:rsidTr="00BB2E5F">
        <w:trPr>
          <w:cantSplit/>
        </w:trPr>
        <w:tc>
          <w:tcPr>
            <w:tcW w:w="1871" w:type="dxa"/>
          </w:tcPr>
          <w:p w:rsidR="00571E1A" w:rsidRDefault="00571E1A" w:rsidP="009760CE">
            <w:pPr>
              <w:pStyle w:val="TableSideHeading"/>
              <w:keepLines w:val="0"/>
            </w:pPr>
            <w:r>
              <w:rPr>
                <w:rFonts w:ascii="Hadasa Roso SL" w:eastAsia="MS Mincho" w:hAnsi="Hadasa Roso SL" w:cs="Hadasa Roso SL"/>
                <w:spacing w:val="1"/>
                <w:sz w:val="17"/>
                <w:szCs w:val="17"/>
              </w:rPr>
              <w:br w:type="page"/>
            </w:r>
          </w:p>
        </w:tc>
        <w:tc>
          <w:tcPr>
            <w:tcW w:w="624" w:type="dxa"/>
          </w:tcPr>
          <w:p w:rsidR="00571E1A" w:rsidRDefault="00571E1A" w:rsidP="009760CE">
            <w:pPr>
              <w:pStyle w:val="TableText"/>
            </w:pPr>
          </w:p>
        </w:tc>
        <w:tc>
          <w:tcPr>
            <w:tcW w:w="7143" w:type="dxa"/>
            <w:gridSpan w:val="2"/>
          </w:tcPr>
          <w:p w:rsidR="00571E1A" w:rsidRPr="0048566E" w:rsidRDefault="00571E1A" w:rsidP="00BB2E5F">
            <w:pPr>
              <w:pStyle w:val="TableBlock"/>
              <w:rPr>
                <w:rtl/>
              </w:rPr>
            </w:pPr>
            <w:r>
              <w:rPr>
                <w:rtl/>
              </w:rPr>
              <w:t>(ד)</w:t>
            </w:r>
            <w:r>
              <w:rPr>
                <w:rtl/>
              </w:rPr>
              <w:tab/>
            </w:r>
            <w:r w:rsidRPr="00387DD0">
              <w:rPr>
                <w:rtl/>
              </w:rPr>
              <w:t>הסכם</w:t>
            </w:r>
            <w:r>
              <w:rPr>
                <w:rtl/>
              </w:rPr>
              <w:t xml:space="preserve"> קדם נישואין</w:t>
            </w:r>
            <w:r w:rsidRPr="00387DD0">
              <w:rPr>
                <w:rtl/>
              </w:rPr>
              <w:t xml:space="preserve"> בין בני זוג ושינוי של הסכם כזה יהיו בכתב.</w:t>
            </w:r>
          </w:p>
        </w:tc>
      </w:tr>
      <w:tr w:rsidR="00571E1A" w:rsidTr="00BB2E5F">
        <w:trPr>
          <w:cantSplit/>
        </w:trPr>
        <w:tc>
          <w:tcPr>
            <w:tcW w:w="1871" w:type="dxa"/>
          </w:tcPr>
          <w:p w:rsidR="00571E1A" w:rsidRDefault="00571E1A" w:rsidP="009760CE">
            <w:pPr>
              <w:pStyle w:val="TableSideHeading"/>
              <w:keepLines w:val="0"/>
              <w:rPr>
                <w:rtl/>
              </w:rPr>
            </w:pPr>
            <w:r>
              <w:rPr>
                <w:rtl/>
              </w:rPr>
              <w:lastRenderedPageBreak/>
              <w:t xml:space="preserve">חתימה על הסכם קדם נישואין לפני הנישואין </w:t>
            </w:r>
          </w:p>
        </w:tc>
        <w:tc>
          <w:tcPr>
            <w:tcW w:w="624" w:type="dxa"/>
          </w:tcPr>
          <w:p w:rsidR="00571E1A" w:rsidRDefault="00571E1A" w:rsidP="009760CE">
            <w:pPr>
              <w:pStyle w:val="TableText"/>
            </w:pPr>
            <w:r>
              <w:rPr>
                <w:rtl/>
              </w:rPr>
              <w:t xml:space="preserve">3. </w:t>
            </w:r>
          </w:p>
        </w:tc>
        <w:tc>
          <w:tcPr>
            <w:tcW w:w="7143" w:type="dxa"/>
            <w:gridSpan w:val="2"/>
          </w:tcPr>
          <w:p w:rsidR="00571E1A" w:rsidRDefault="00AF215E" w:rsidP="00475C4D">
            <w:pPr>
              <w:pStyle w:val="TableBlock"/>
              <w:rPr>
                <w:rtl/>
              </w:rPr>
            </w:pPr>
            <w:r>
              <w:rPr>
                <w:rtl/>
              </w:rPr>
              <w:t>(א)</w:t>
            </w:r>
            <w:r>
              <w:rPr>
                <w:rtl/>
              </w:rPr>
              <w:tab/>
            </w:r>
            <w:r w:rsidR="00571E1A">
              <w:rPr>
                <w:rtl/>
              </w:rPr>
              <w:t>במועד רישום בני זוג לנישואין במועצה הדתית יימסר לבני הזוג מידע בעניין חתימה על הסכם קדם נישואין ונוסחים לדוגמה של הסכמי קדם נישואין, כפי שיקבע שר המשפטים בתקנות</w:t>
            </w:r>
            <w:r w:rsidR="00154668">
              <w:rPr>
                <w:rtl/>
              </w:rPr>
              <w:t>,</w:t>
            </w:r>
            <w:r w:rsidR="00571E1A">
              <w:rPr>
                <w:rtl/>
              </w:rPr>
              <w:t xml:space="preserve"> באישור ועדה משותפת של ועדת החוקה חוק ומשפט והוועדה לקידום מעמד האישה של הכנסת. </w:t>
            </w:r>
          </w:p>
        </w:tc>
      </w:tr>
      <w:tr w:rsidR="00571E1A" w:rsidTr="00BB2E5F">
        <w:trPr>
          <w:cantSplit/>
        </w:trPr>
        <w:tc>
          <w:tcPr>
            <w:tcW w:w="1871" w:type="dxa"/>
          </w:tcPr>
          <w:p w:rsidR="00571E1A" w:rsidRDefault="00571E1A" w:rsidP="009760CE">
            <w:pPr>
              <w:pStyle w:val="TableSideHeading"/>
              <w:keepLines w:val="0"/>
              <w:rPr>
                <w:rtl/>
              </w:rPr>
            </w:pPr>
          </w:p>
        </w:tc>
        <w:tc>
          <w:tcPr>
            <w:tcW w:w="624" w:type="dxa"/>
          </w:tcPr>
          <w:p w:rsidR="00571E1A" w:rsidRDefault="00571E1A" w:rsidP="009760CE">
            <w:pPr>
              <w:pStyle w:val="TableText"/>
            </w:pPr>
          </w:p>
        </w:tc>
        <w:tc>
          <w:tcPr>
            <w:tcW w:w="7143" w:type="dxa"/>
            <w:gridSpan w:val="2"/>
          </w:tcPr>
          <w:p w:rsidR="00571E1A" w:rsidRDefault="00AF215E" w:rsidP="00154668">
            <w:pPr>
              <w:pStyle w:val="TableBlock"/>
              <w:rPr>
                <w:rtl/>
              </w:rPr>
            </w:pPr>
            <w:r>
              <w:rPr>
                <w:rtl/>
              </w:rPr>
              <w:t>ב)</w:t>
            </w:r>
            <w:r>
              <w:rPr>
                <w:rtl/>
              </w:rPr>
              <w:tab/>
            </w:r>
            <w:r w:rsidR="00571E1A">
              <w:rPr>
                <w:rtl/>
              </w:rPr>
              <w:t xml:space="preserve">חתימה על </w:t>
            </w:r>
            <w:r w:rsidR="00571E1A" w:rsidRPr="00387DD0">
              <w:rPr>
                <w:rtl/>
              </w:rPr>
              <w:t xml:space="preserve">הסכם </w:t>
            </w:r>
            <w:r w:rsidR="00571E1A">
              <w:rPr>
                <w:rtl/>
              </w:rPr>
              <w:t>קדם נישואין</w:t>
            </w:r>
            <w:r w:rsidR="00571E1A" w:rsidRPr="00387DD0">
              <w:rPr>
                <w:rtl/>
              </w:rPr>
              <w:t xml:space="preserve"> לפני הנישואין או בשעת עריכתם,</w:t>
            </w:r>
            <w:r w:rsidR="00571E1A">
              <w:rPr>
                <w:rtl/>
              </w:rPr>
              <w:t xml:space="preserve"> טעונה אימות</w:t>
            </w:r>
            <w:r w:rsidR="00DA1EDF">
              <w:rPr>
                <w:rtl/>
              </w:rPr>
              <w:t>ת</w:t>
            </w:r>
            <w:r w:rsidR="00571E1A">
              <w:rPr>
                <w:rtl/>
              </w:rPr>
              <w:t xml:space="preserve"> של </w:t>
            </w:r>
            <w:r w:rsidR="00571E1A" w:rsidRPr="00387DD0">
              <w:rPr>
                <w:rtl/>
              </w:rPr>
              <w:t>רושם נישואין</w:t>
            </w:r>
            <w:r w:rsidR="00571E1A">
              <w:rPr>
                <w:rtl/>
              </w:rPr>
              <w:t xml:space="preserve"> או נוטריון </w:t>
            </w:r>
            <w:r w:rsidR="00571E1A" w:rsidRPr="00387DD0">
              <w:rPr>
                <w:rtl/>
              </w:rPr>
              <w:t xml:space="preserve">לפי חוק הנוטריונים, </w:t>
            </w:r>
            <w:r w:rsidR="00571E1A">
              <w:rPr>
                <w:rtl/>
              </w:rPr>
              <w:t>ה</w:t>
            </w:r>
            <w:r w:rsidR="00571E1A" w:rsidRPr="00387DD0">
              <w:rPr>
                <w:rtl/>
              </w:rPr>
              <w:t>תשל"ו</w:t>
            </w:r>
            <w:r w:rsidR="00154668">
              <w:rPr>
                <w:rtl/>
              </w:rPr>
              <w:t>–</w:t>
            </w:r>
            <w:r w:rsidR="00571E1A" w:rsidRPr="00387DD0">
              <w:rPr>
                <w:rtl/>
              </w:rPr>
              <w:t>1976</w:t>
            </w:r>
            <w:r w:rsidR="00571E1A" w:rsidRPr="00BB2E5F">
              <w:rPr>
                <w:rStyle w:val="a7"/>
                <w:rFonts w:cs="David"/>
                <w:rtl/>
              </w:rPr>
              <w:footnoteReference w:id="3"/>
            </w:r>
            <w:r w:rsidR="00215271">
              <w:rPr>
                <w:rtl/>
              </w:rPr>
              <w:t>,</w:t>
            </w:r>
            <w:r w:rsidR="00571E1A">
              <w:rPr>
                <w:rtl/>
              </w:rPr>
              <w:t xml:space="preserve"> או אישור ב</w:t>
            </w:r>
            <w:r w:rsidR="00571E1A" w:rsidRPr="00387DD0">
              <w:rPr>
                <w:rtl/>
              </w:rPr>
              <w:t>בית המשפט לעני</w:t>
            </w:r>
            <w:r>
              <w:rPr>
                <w:rtl/>
              </w:rPr>
              <w:t>י</w:t>
            </w:r>
            <w:r w:rsidR="00571E1A" w:rsidRPr="00387DD0">
              <w:rPr>
                <w:rtl/>
              </w:rPr>
              <w:t xml:space="preserve">ני משפחה (להלן – בית המשפט) או </w:t>
            </w:r>
            <w:r w:rsidR="00571E1A">
              <w:rPr>
                <w:rtl/>
              </w:rPr>
              <w:t>ב</w:t>
            </w:r>
            <w:r w:rsidR="00571E1A" w:rsidRPr="00387DD0">
              <w:rPr>
                <w:rtl/>
              </w:rPr>
              <w:t>בית הדין הדתי שלו סמכות השיפוט בענייני נישואין וגירושין של בני הזוג (להלן – בית הדין)</w:t>
            </w:r>
            <w:r w:rsidR="00571E1A">
              <w:rPr>
                <w:rtl/>
              </w:rPr>
              <w:t xml:space="preserve">. </w:t>
            </w:r>
          </w:p>
        </w:tc>
      </w:tr>
      <w:tr w:rsidR="00571E1A" w:rsidTr="00BB2E5F">
        <w:trPr>
          <w:cantSplit/>
        </w:trPr>
        <w:tc>
          <w:tcPr>
            <w:tcW w:w="1871" w:type="dxa"/>
          </w:tcPr>
          <w:p w:rsidR="00571E1A" w:rsidRDefault="00571E1A" w:rsidP="009760CE">
            <w:pPr>
              <w:pStyle w:val="TableSideHeading"/>
              <w:keepLines w:val="0"/>
              <w:rPr>
                <w:rtl/>
              </w:rPr>
            </w:pPr>
          </w:p>
        </w:tc>
        <w:tc>
          <w:tcPr>
            <w:tcW w:w="624" w:type="dxa"/>
          </w:tcPr>
          <w:p w:rsidR="00571E1A" w:rsidRDefault="00571E1A" w:rsidP="009760CE">
            <w:pPr>
              <w:pStyle w:val="TableText"/>
            </w:pPr>
          </w:p>
        </w:tc>
        <w:tc>
          <w:tcPr>
            <w:tcW w:w="7143" w:type="dxa"/>
            <w:gridSpan w:val="2"/>
          </w:tcPr>
          <w:p w:rsidR="00571E1A" w:rsidRDefault="00AF215E" w:rsidP="00475C4D">
            <w:pPr>
              <w:pStyle w:val="TableBlock"/>
              <w:rPr>
                <w:rtl/>
              </w:rPr>
            </w:pPr>
            <w:r>
              <w:rPr>
                <w:rtl/>
              </w:rPr>
              <w:t>(ג)</w:t>
            </w:r>
            <w:r>
              <w:rPr>
                <w:rtl/>
              </w:rPr>
              <w:tab/>
            </w:r>
            <w:r w:rsidR="00571E1A">
              <w:rPr>
                <w:rtl/>
              </w:rPr>
              <w:t>רושם הנישואין, הנוטריון, בית המשפט או בית הדין יאמתו או יאשרו את ההסכם, לפי העני</w:t>
            </w:r>
            <w:r>
              <w:rPr>
                <w:rtl/>
              </w:rPr>
              <w:t>י</w:t>
            </w:r>
            <w:r w:rsidR="00571E1A">
              <w:rPr>
                <w:rtl/>
              </w:rPr>
              <w:t xml:space="preserve">ן, </w:t>
            </w:r>
            <w:r w:rsidR="00571E1A" w:rsidRPr="00387DD0">
              <w:rPr>
                <w:rtl/>
              </w:rPr>
              <w:t>לאחר שנוכח</w:t>
            </w:r>
            <w:r w:rsidR="00571E1A">
              <w:rPr>
                <w:rtl/>
              </w:rPr>
              <w:t>ו</w:t>
            </w:r>
            <w:r w:rsidR="00571E1A" w:rsidRPr="00387DD0">
              <w:rPr>
                <w:rtl/>
              </w:rPr>
              <w:t xml:space="preserve"> </w:t>
            </w:r>
            <w:r w:rsidR="00571E1A">
              <w:rPr>
                <w:rtl/>
              </w:rPr>
              <w:t xml:space="preserve">כי ההסכם הוא הסכם קדם נישואין כמשמעותו בסעיף 2 לחוק זה וכי </w:t>
            </w:r>
            <w:r w:rsidR="00571E1A" w:rsidRPr="00387DD0">
              <w:rPr>
                <w:rtl/>
              </w:rPr>
              <w:t>בני הזוג עשו את ההסכם בהסכמה ח</w:t>
            </w:r>
            <w:r w:rsidR="00571E1A">
              <w:rPr>
                <w:rtl/>
              </w:rPr>
              <w:t>ו</w:t>
            </w:r>
            <w:r w:rsidR="00571E1A" w:rsidRPr="00387DD0">
              <w:rPr>
                <w:rtl/>
              </w:rPr>
              <w:t>פשית ובהבינם את משמעותו ואת תוצאותיו</w:t>
            </w:r>
            <w:r w:rsidR="00571E1A">
              <w:rPr>
                <w:rtl/>
              </w:rPr>
              <w:t xml:space="preserve">. </w:t>
            </w:r>
          </w:p>
        </w:tc>
      </w:tr>
      <w:tr w:rsidR="00571E1A" w:rsidTr="00BB2E5F">
        <w:trPr>
          <w:cantSplit/>
        </w:trPr>
        <w:tc>
          <w:tcPr>
            <w:tcW w:w="1871" w:type="dxa"/>
          </w:tcPr>
          <w:p w:rsidR="00571E1A" w:rsidRDefault="00571E1A" w:rsidP="009760CE">
            <w:pPr>
              <w:pStyle w:val="TableSideHeading"/>
              <w:keepLines w:val="0"/>
              <w:rPr>
                <w:rtl/>
              </w:rPr>
            </w:pPr>
            <w:r>
              <w:rPr>
                <w:rtl/>
              </w:rPr>
              <w:t xml:space="preserve">ויתור על הסכם קדם נישואין </w:t>
            </w:r>
          </w:p>
        </w:tc>
        <w:tc>
          <w:tcPr>
            <w:tcW w:w="624" w:type="dxa"/>
          </w:tcPr>
          <w:p w:rsidR="00571E1A" w:rsidRDefault="00571E1A" w:rsidP="009760CE">
            <w:pPr>
              <w:pStyle w:val="TableText"/>
              <w:rPr>
                <w:rtl/>
              </w:rPr>
            </w:pPr>
            <w:r>
              <w:rPr>
                <w:rtl/>
              </w:rPr>
              <w:t xml:space="preserve">4. </w:t>
            </w:r>
          </w:p>
        </w:tc>
        <w:tc>
          <w:tcPr>
            <w:tcW w:w="7143" w:type="dxa"/>
            <w:gridSpan w:val="2"/>
          </w:tcPr>
          <w:p w:rsidR="00571E1A" w:rsidRPr="00387DD0" w:rsidRDefault="00571E1A" w:rsidP="00BB2E5F">
            <w:pPr>
              <w:pStyle w:val="TableBlock"/>
              <w:rPr>
                <w:rtl/>
              </w:rPr>
            </w:pPr>
            <w:r w:rsidRPr="00387DD0">
              <w:rPr>
                <w:rtl/>
              </w:rPr>
              <w:t>(</w:t>
            </w:r>
            <w:r>
              <w:rPr>
                <w:rtl/>
              </w:rPr>
              <w:t>א</w:t>
            </w:r>
            <w:r w:rsidRPr="00387DD0">
              <w:rPr>
                <w:rtl/>
              </w:rPr>
              <w:t>)</w:t>
            </w:r>
            <w:r w:rsidRPr="00387DD0">
              <w:rPr>
                <w:rtl/>
              </w:rPr>
              <w:tab/>
            </w:r>
            <w:r>
              <w:rPr>
                <w:rtl/>
              </w:rPr>
              <w:t xml:space="preserve">בני זוג שבחרו שלא לחתום על הסכם קדם נישואין לפני הנישואין או בשעת עריכתם, יחתמו בפני רושם הנישואין על טופס ויתור בנוסח שקבע השר בתקנות (בסעיף זה – ויתור), באישור ועדת החוקה חוק ומשפט של הכנסת; רושם הנישואין יאמת את טופס הוויתור </w:t>
            </w:r>
            <w:r w:rsidRPr="00387DD0">
              <w:rPr>
                <w:rtl/>
              </w:rPr>
              <w:t xml:space="preserve">לאחר שנוכח </w:t>
            </w:r>
            <w:r>
              <w:rPr>
                <w:rtl/>
              </w:rPr>
              <w:t xml:space="preserve">כי </w:t>
            </w:r>
            <w:r w:rsidRPr="00387DD0">
              <w:rPr>
                <w:rtl/>
              </w:rPr>
              <w:t xml:space="preserve">בני הזוג </w:t>
            </w:r>
            <w:r>
              <w:rPr>
                <w:rtl/>
              </w:rPr>
              <w:t xml:space="preserve">ויתרו כאמור </w:t>
            </w:r>
            <w:r w:rsidRPr="00387DD0">
              <w:rPr>
                <w:rtl/>
              </w:rPr>
              <w:t>בהבינם את משמעות</w:t>
            </w:r>
            <w:r>
              <w:rPr>
                <w:rtl/>
              </w:rPr>
              <w:t xml:space="preserve"> הוויתור </w:t>
            </w:r>
            <w:r w:rsidRPr="00387DD0">
              <w:rPr>
                <w:rtl/>
              </w:rPr>
              <w:t>ואת תוצאותיו</w:t>
            </w:r>
            <w:r>
              <w:rPr>
                <w:rtl/>
              </w:rPr>
              <w:t xml:space="preserve">. </w:t>
            </w:r>
          </w:p>
        </w:tc>
      </w:tr>
      <w:tr w:rsidR="00571E1A" w:rsidTr="00BB2E5F">
        <w:trPr>
          <w:cantSplit/>
        </w:trPr>
        <w:tc>
          <w:tcPr>
            <w:tcW w:w="1871" w:type="dxa"/>
          </w:tcPr>
          <w:p w:rsidR="00571E1A" w:rsidRDefault="00571E1A" w:rsidP="009760CE">
            <w:pPr>
              <w:pStyle w:val="TableSideHeading"/>
              <w:keepLines w:val="0"/>
              <w:rPr>
                <w:rtl/>
              </w:rPr>
            </w:pPr>
          </w:p>
        </w:tc>
        <w:tc>
          <w:tcPr>
            <w:tcW w:w="624" w:type="dxa"/>
          </w:tcPr>
          <w:p w:rsidR="00571E1A" w:rsidRDefault="00571E1A" w:rsidP="009760CE">
            <w:pPr>
              <w:pStyle w:val="TableText"/>
              <w:rPr>
                <w:rtl/>
              </w:rPr>
            </w:pPr>
          </w:p>
        </w:tc>
        <w:tc>
          <w:tcPr>
            <w:tcW w:w="7143" w:type="dxa"/>
            <w:gridSpan w:val="2"/>
          </w:tcPr>
          <w:p w:rsidR="00571E1A" w:rsidRPr="00387DD0" w:rsidRDefault="00571E1A" w:rsidP="00BB2E5F">
            <w:pPr>
              <w:pStyle w:val="TableBlock"/>
              <w:rPr>
                <w:rtl/>
              </w:rPr>
            </w:pPr>
            <w:r>
              <w:rPr>
                <w:rtl/>
              </w:rPr>
              <w:t>(ב)</w:t>
            </w:r>
            <w:r>
              <w:rPr>
                <w:rtl/>
              </w:rPr>
              <w:tab/>
              <w:t xml:space="preserve">אין בוויתור לפי סעיף זה כדי לפגוע בזכויות של כל אחד מבני הזוג לפי כל דין. </w:t>
            </w:r>
          </w:p>
        </w:tc>
      </w:tr>
      <w:tr w:rsidR="00571E1A" w:rsidTr="00BB2E5F">
        <w:trPr>
          <w:cantSplit/>
        </w:trPr>
        <w:tc>
          <w:tcPr>
            <w:tcW w:w="1871" w:type="dxa"/>
          </w:tcPr>
          <w:p w:rsidR="00571E1A" w:rsidRDefault="00571E1A" w:rsidP="009760CE">
            <w:pPr>
              <w:pStyle w:val="TableSideHeading"/>
              <w:keepLines w:val="0"/>
              <w:rPr>
                <w:rtl/>
              </w:rPr>
            </w:pPr>
            <w:r>
              <w:rPr>
                <w:rtl/>
              </w:rPr>
              <w:t xml:space="preserve">אישור הסכם קדם נישואין ושינויו לאחר הנישואין </w:t>
            </w:r>
          </w:p>
        </w:tc>
        <w:tc>
          <w:tcPr>
            <w:tcW w:w="624" w:type="dxa"/>
          </w:tcPr>
          <w:p w:rsidR="00571E1A" w:rsidRDefault="00571E1A" w:rsidP="009760CE">
            <w:pPr>
              <w:pStyle w:val="TableText"/>
            </w:pPr>
            <w:r>
              <w:rPr>
                <w:rtl/>
              </w:rPr>
              <w:t>5.</w:t>
            </w:r>
          </w:p>
        </w:tc>
        <w:tc>
          <w:tcPr>
            <w:tcW w:w="7143" w:type="dxa"/>
            <w:gridSpan w:val="2"/>
          </w:tcPr>
          <w:p w:rsidR="00571E1A" w:rsidRPr="00387DD0" w:rsidRDefault="00571E1A" w:rsidP="00BB2E5F">
            <w:pPr>
              <w:pStyle w:val="TableBlock"/>
              <w:rPr>
                <w:rtl/>
              </w:rPr>
            </w:pPr>
            <w:r w:rsidRPr="00387DD0">
              <w:rPr>
                <w:rtl/>
              </w:rPr>
              <w:t>(א)</w:t>
            </w:r>
            <w:r w:rsidRPr="00387DD0">
              <w:rPr>
                <w:rtl/>
              </w:rPr>
              <w:tab/>
            </w:r>
            <w:r>
              <w:rPr>
                <w:rtl/>
              </w:rPr>
              <w:t xml:space="preserve">חתימה של בני זוג נשואים על </w:t>
            </w:r>
            <w:r w:rsidRPr="00387DD0">
              <w:rPr>
                <w:rtl/>
              </w:rPr>
              <w:t xml:space="preserve">הסכם </w:t>
            </w:r>
            <w:r>
              <w:rPr>
                <w:rtl/>
              </w:rPr>
              <w:t>קדם נישואין</w:t>
            </w:r>
            <w:r w:rsidRPr="00387DD0">
              <w:rPr>
                <w:rtl/>
              </w:rPr>
              <w:t xml:space="preserve"> </w:t>
            </w:r>
            <w:r>
              <w:rPr>
                <w:rtl/>
              </w:rPr>
              <w:t xml:space="preserve">ושינוי של הסכם כאמור טעונים אישור </w:t>
            </w:r>
            <w:r w:rsidRPr="00387DD0">
              <w:rPr>
                <w:rtl/>
              </w:rPr>
              <w:t>בית המשפט או בית הדין</w:t>
            </w:r>
            <w:r>
              <w:rPr>
                <w:rtl/>
              </w:rPr>
              <w:t>.</w:t>
            </w:r>
            <w:r w:rsidRPr="00387DD0">
              <w:rPr>
                <w:rtl/>
              </w:rPr>
              <w:t xml:space="preserve"> </w:t>
            </w:r>
          </w:p>
        </w:tc>
      </w:tr>
      <w:tr w:rsidR="00571E1A" w:rsidTr="00BB2E5F">
        <w:trPr>
          <w:cantSplit/>
        </w:trPr>
        <w:tc>
          <w:tcPr>
            <w:tcW w:w="1871" w:type="dxa"/>
          </w:tcPr>
          <w:p w:rsidR="00571E1A" w:rsidRDefault="00571E1A" w:rsidP="009760CE">
            <w:pPr>
              <w:pStyle w:val="TableSideHeading"/>
              <w:keepLines w:val="0"/>
              <w:rPr>
                <w:rtl/>
              </w:rPr>
            </w:pPr>
          </w:p>
        </w:tc>
        <w:tc>
          <w:tcPr>
            <w:tcW w:w="624" w:type="dxa"/>
          </w:tcPr>
          <w:p w:rsidR="00571E1A" w:rsidRDefault="00571E1A" w:rsidP="009760CE">
            <w:pPr>
              <w:pStyle w:val="TableText"/>
              <w:rPr>
                <w:rtl/>
              </w:rPr>
            </w:pPr>
          </w:p>
        </w:tc>
        <w:tc>
          <w:tcPr>
            <w:tcW w:w="7143" w:type="dxa"/>
            <w:gridSpan w:val="2"/>
          </w:tcPr>
          <w:p w:rsidR="00571E1A" w:rsidRPr="00387DD0" w:rsidRDefault="00571E1A" w:rsidP="00BB2E5F">
            <w:pPr>
              <w:pStyle w:val="TableBlock"/>
              <w:rPr>
                <w:rtl/>
              </w:rPr>
            </w:pPr>
            <w:r w:rsidRPr="00387DD0">
              <w:rPr>
                <w:rtl/>
              </w:rPr>
              <w:t>(ב)</w:t>
            </w:r>
            <w:r w:rsidRPr="00387DD0">
              <w:rPr>
                <w:rtl/>
              </w:rPr>
              <w:tab/>
              <w:t xml:space="preserve">האישור לא יינתן אלא לאחר שנוכח בית המשפט או בית הדין, </w:t>
            </w:r>
            <w:r>
              <w:rPr>
                <w:rtl/>
              </w:rPr>
              <w:t xml:space="preserve">כי ההסכם הוא הסכם קדם נישואין כמשמעותו בסעיף 2 לחוק זה וכי </w:t>
            </w:r>
            <w:r w:rsidRPr="00387DD0">
              <w:rPr>
                <w:rtl/>
              </w:rPr>
              <w:t>בני הזוג עשו את ההסכם או את השינוי בהסכמה ח</w:t>
            </w:r>
            <w:r>
              <w:rPr>
                <w:rtl/>
              </w:rPr>
              <w:t>ו</w:t>
            </w:r>
            <w:r w:rsidRPr="00387DD0">
              <w:rPr>
                <w:rtl/>
              </w:rPr>
              <w:t>פשית ובהבינם את משמעותו ואת תוצאותיו.</w:t>
            </w:r>
          </w:p>
        </w:tc>
      </w:tr>
      <w:tr w:rsidR="00571E1A" w:rsidTr="00BB2E5F">
        <w:trPr>
          <w:cantSplit/>
        </w:trPr>
        <w:tc>
          <w:tcPr>
            <w:tcW w:w="1871" w:type="dxa"/>
          </w:tcPr>
          <w:p w:rsidR="00571E1A" w:rsidRDefault="00571E1A" w:rsidP="009760CE">
            <w:pPr>
              <w:pStyle w:val="TableSideHeading"/>
              <w:keepLines w:val="0"/>
              <w:rPr>
                <w:rtl/>
              </w:rPr>
            </w:pPr>
            <w:r>
              <w:rPr>
                <w:rtl/>
              </w:rPr>
              <w:t xml:space="preserve">תיקון חוק הנוטריונים </w:t>
            </w:r>
          </w:p>
        </w:tc>
        <w:tc>
          <w:tcPr>
            <w:tcW w:w="624" w:type="dxa"/>
          </w:tcPr>
          <w:p w:rsidR="00571E1A" w:rsidRDefault="00571E1A" w:rsidP="009760CE">
            <w:pPr>
              <w:pStyle w:val="TableText"/>
              <w:rPr>
                <w:rtl/>
              </w:rPr>
            </w:pPr>
            <w:r>
              <w:rPr>
                <w:rtl/>
              </w:rPr>
              <w:t>6</w:t>
            </w:r>
            <w:r w:rsidRPr="00272DDB">
              <w:rPr>
                <w:rtl/>
              </w:rPr>
              <w:t>.</w:t>
            </w:r>
            <w:r>
              <w:rPr>
                <w:rtl/>
              </w:rPr>
              <w:t xml:space="preserve"> </w:t>
            </w:r>
          </w:p>
        </w:tc>
        <w:tc>
          <w:tcPr>
            <w:tcW w:w="7143" w:type="dxa"/>
            <w:gridSpan w:val="2"/>
          </w:tcPr>
          <w:p w:rsidR="00571E1A" w:rsidRDefault="00571E1A" w:rsidP="00154668">
            <w:pPr>
              <w:pStyle w:val="TableBlock"/>
              <w:rPr>
                <w:rtl/>
              </w:rPr>
            </w:pPr>
            <w:r>
              <w:rPr>
                <w:rtl/>
              </w:rPr>
              <w:t>בחוק הנוטריונים, התשל"ו–</w:t>
            </w:r>
            <w:r w:rsidR="00154668">
              <w:rPr>
                <w:rtl/>
              </w:rPr>
              <w:t>1976</w:t>
            </w:r>
            <w:r w:rsidR="003E381C">
              <w:rPr>
                <w:rStyle w:val="a7"/>
                <w:rFonts w:cs="David"/>
                <w:rtl/>
              </w:rPr>
              <w:footnoteReference w:id="4"/>
            </w:r>
            <w:r>
              <w:rPr>
                <w:rtl/>
              </w:rPr>
              <w:t>, בסעיף 7(11), אחרי "בין בני זוג" יבוא "</w:t>
            </w:r>
            <w:r w:rsidRPr="00CE32BA">
              <w:rPr>
                <w:rtl/>
              </w:rPr>
              <w:t>או הסכם קדם נישואין</w:t>
            </w:r>
            <w:r>
              <w:rPr>
                <w:rtl/>
              </w:rPr>
              <w:t>".</w:t>
            </w:r>
          </w:p>
        </w:tc>
      </w:tr>
    </w:tbl>
    <w:p w:rsidR="002D1EE3" w:rsidRDefault="002D1EE3" w:rsidP="002D1EE3">
      <w:pPr>
        <w:pStyle w:val="HeadDivreiHesber"/>
        <w:rPr>
          <w:rtl/>
        </w:rPr>
      </w:pPr>
      <w:r w:rsidRPr="0027450A">
        <w:rPr>
          <w:rtl/>
        </w:rPr>
        <w:t>דברי הסבר</w:t>
      </w:r>
    </w:p>
    <w:p w:rsidR="00571E1A" w:rsidRPr="000A468A" w:rsidRDefault="00571E1A" w:rsidP="00571E1A">
      <w:pPr>
        <w:pStyle w:val="Hesber"/>
        <w:rPr>
          <w:rtl/>
        </w:rPr>
      </w:pPr>
      <w:r w:rsidRPr="000A468A">
        <w:rPr>
          <w:rtl/>
        </w:rPr>
        <w:t>התלות ההדדית של בני זוג אחד ברצונו של השני בהליך הגירושין על פי הדין הדתי עלולה</w:t>
      </w:r>
      <w:r>
        <w:rPr>
          <w:rtl/>
        </w:rPr>
        <w:t xml:space="preserve"> להביא</w:t>
      </w:r>
      <w:r w:rsidRPr="000A468A">
        <w:rPr>
          <w:rtl/>
        </w:rPr>
        <w:t xml:space="preserve"> </w:t>
      </w:r>
      <w:r w:rsidRPr="000A468A">
        <w:rPr>
          <w:rtl/>
        </w:rPr>
        <w:lastRenderedPageBreak/>
        <w:t>להתמשכות הליכי הגירושין ולסחטנות של אחד מבני הזוג את רעהו. מטרת הצעת חוק זו היא למנוע תופעה</w:t>
      </w:r>
      <w:r>
        <w:rPr>
          <w:rtl/>
        </w:rPr>
        <w:t xml:space="preserve"> שלילית</w:t>
      </w:r>
      <w:r w:rsidRPr="000A468A">
        <w:rPr>
          <w:rtl/>
        </w:rPr>
        <w:t xml:space="preserve"> זו ולהסדיר מראש את יחסי בני הזוג בעת משבר עתידי, באמצעות חתימה על הסכם קדם נישואים.</w:t>
      </w:r>
    </w:p>
    <w:p w:rsidR="00571E1A" w:rsidRDefault="00571E1A" w:rsidP="00571E1A">
      <w:pPr>
        <w:pStyle w:val="Hesber"/>
        <w:ind w:firstLine="0"/>
        <w:rPr>
          <w:rtl/>
        </w:rPr>
      </w:pPr>
      <w:r w:rsidRPr="000A468A">
        <w:rPr>
          <w:rtl/>
        </w:rPr>
        <w:t xml:space="preserve">הסכם קדם נישואים </w:t>
      </w:r>
      <w:r>
        <w:rPr>
          <w:rtl/>
        </w:rPr>
        <w:t>הוא</w:t>
      </w:r>
      <w:r w:rsidRPr="000A468A">
        <w:rPr>
          <w:rtl/>
        </w:rPr>
        <w:t xml:space="preserve"> הסכם הנחתם טרם הנישואים או אחרי</w:t>
      </w:r>
      <w:r w:rsidR="00BB27F5">
        <w:rPr>
          <w:rtl/>
        </w:rPr>
        <w:t>הם</w:t>
      </w:r>
      <w:r w:rsidRPr="000A468A">
        <w:rPr>
          <w:rtl/>
        </w:rPr>
        <w:t xml:space="preserve"> ועוסק במניעת סרבנות גט</w:t>
      </w:r>
      <w:r>
        <w:rPr>
          <w:rtl/>
        </w:rPr>
        <w:t>.</w:t>
      </w:r>
      <w:r w:rsidRPr="000A468A">
        <w:rPr>
          <w:rtl/>
        </w:rPr>
        <w:t xml:space="preserve"> למרות הוכחת יעילותם של הסכמי קדם נישואים במניעת סרבנות גט, זוגות</w:t>
      </w:r>
      <w:r>
        <w:rPr>
          <w:rtl/>
        </w:rPr>
        <w:t xml:space="preserve"> רבים</w:t>
      </w:r>
      <w:r w:rsidRPr="000A468A">
        <w:rPr>
          <w:rtl/>
        </w:rPr>
        <w:t xml:space="preserve"> נמנעים מלחתום עליהם. </w:t>
      </w:r>
    </w:p>
    <w:p w:rsidR="00571E1A" w:rsidRDefault="00571E1A" w:rsidP="00571E1A">
      <w:pPr>
        <w:pStyle w:val="Hesber"/>
        <w:ind w:firstLine="0"/>
        <w:rPr>
          <w:rtl/>
        </w:rPr>
      </w:pPr>
      <w:r w:rsidRPr="00361517">
        <w:rPr>
          <w:rtl/>
        </w:rPr>
        <w:t>לפיכך, מוצע כי ההסכם י</w:t>
      </w:r>
      <w:r w:rsidR="00BB27F5">
        <w:rPr>
          <w:rtl/>
        </w:rPr>
        <w:t>י</w:t>
      </w:r>
      <w:r w:rsidRPr="00361517">
        <w:rPr>
          <w:rtl/>
        </w:rPr>
        <w:t>קבע כנורמה בחוק, כאשר בני הזוג יוכלו לבחור את ההסכם הרצוי להם, בתנאי שהוא כולל את ההוראות הבאות: איסור התנ</w:t>
      </w:r>
      <w:r w:rsidR="00BB27F5">
        <w:rPr>
          <w:rtl/>
        </w:rPr>
        <w:t>י</w:t>
      </w:r>
      <w:r w:rsidRPr="00361517">
        <w:rPr>
          <w:rtl/>
        </w:rPr>
        <w:t>ית סיום הנישואין בעניינים הנלווים לנישואין (משמורת הילדים, מזונות הילדים, חינוך הילדים, ענייני ממון</w:t>
      </w:r>
      <w:r w:rsidR="00BB27F5">
        <w:rPr>
          <w:rtl/>
        </w:rPr>
        <w:t>,</w:t>
      </w:r>
      <w:r w:rsidRPr="00361517">
        <w:rPr>
          <w:rtl/>
        </w:rPr>
        <w:t xml:space="preserve"> סמכויות שיפוט וכדומה); הבהרה כי אי הסכמה לתנאים או לדרישות בעניינים הנלווים לא תיחשב כשלעצמה כסרבנות גירושין; קביעת תמריץ כספי שישלם בן זוג סרבן לבן הזוג המבקש לסיים את הנישואין עד לסיום הנישואין בפועל. בני הזוג רשאים לכלול בהסכם קדם הנישואין גם הוראות הנוגעות להסדרה שוויונית של יחסי הממון בין בני הזוג, משמורת ילדים ומזונות ילדים. עוד מוצע לקבוע כי הסכם קדם נישואין לא יתנה על הוראות הדין בעניין סמכות השיפוט ולא יכלול הוראות הקובעות סמכות שיפוט בלעדית.</w:t>
      </w:r>
    </w:p>
    <w:p w:rsidR="00571E1A" w:rsidRDefault="00571E1A" w:rsidP="00BB2E5F">
      <w:pPr>
        <w:pStyle w:val="Hesber"/>
        <w:rPr>
          <w:rtl/>
        </w:rPr>
      </w:pPr>
      <w:r>
        <w:rPr>
          <w:rtl/>
        </w:rPr>
        <w:t xml:space="preserve">על </w:t>
      </w:r>
      <w:r w:rsidRPr="000A468A">
        <w:rPr>
          <w:rtl/>
        </w:rPr>
        <w:t>פי המנגנון המוצע, בבואם של בני זוג להירשם לנישואין יציע להם רושם הנישואין לחתום על הסכם קדם נישואין בנוסחים לדוגמה שי</w:t>
      </w:r>
      <w:r w:rsidR="00E60CA5">
        <w:rPr>
          <w:rtl/>
        </w:rPr>
        <w:t>י</w:t>
      </w:r>
      <w:r w:rsidRPr="000A468A">
        <w:rPr>
          <w:rtl/>
        </w:rPr>
        <w:t>קבעו על ידי שר המשפטים בתקנות</w:t>
      </w:r>
      <w:r>
        <w:rPr>
          <w:rtl/>
        </w:rPr>
        <w:t>,</w:t>
      </w:r>
      <w:r w:rsidRPr="000A468A">
        <w:rPr>
          <w:rtl/>
        </w:rPr>
        <w:t xml:space="preserve"> באישור ועדה משותפת של ועדת החוקה חוק ומשפט והוועדה לקידום מעמד הא</w:t>
      </w:r>
      <w:r>
        <w:rPr>
          <w:rtl/>
        </w:rPr>
        <w:t>י</w:t>
      </w:r>
      <w:r w:rsidRPr="000A468A">
        <w:rPr>
          <w:rtl/>
        </w:rPr>
        <w:t xml:space="preserve">שה של הכנסת. בני </w:t>
      </w:r>
      <w:r>
        <w:rPr>
          <w:rtl/>
        </w:rPr>
        <w:t>ה</w:t>
      </w:r>
      <w:r w:rsidRPr="000A468A">
        <w:rPr>
          <w:rtl/>
        </w:rPr>
        <w:t xml:space="preserve">זוג </w:t>
      </w:r>
      <w:r>
        <w:rPr>
          <w:rtl/>
        </w:rPr>
        <w:t xml:space="preserve">יוכלו </w:t>
      </w:r>
      <w:r w:rsidRPr="000A468A">
        <w:rPr>
          <w:rtl/>
        </w:rPr>
        <w:t xml:space="preserve">לבחור נוסח הסכם קדם נישואים </w:t>
      </w:r>
      <w:r>
        <w:rPr>
          <w:rtl/>
        </w:rPr>
        <w:t xml:space="preserve">אשר תואם את </w:t>
      </w:r>
      <w:r w:rsidRPr="000A468A">
        <w:rPr>
          <w:rtl/>
        </w:rPr>
        <w:t xml:space="preserve">השקפת עולמם. </w:t>
      </w:r>
      <w:r w:rsidR="00E60CA5">
        <w:rPr>
          <w:rtl/>
        </w:rPr>
        <w:t xml:space="preserve">אם </w:t>
      </w:r>
      <w:r w:rsidRPr="000A468A">
        <w:rPr>
          <w:rtl/>
        </w:rPr>
        <w:t>בני הזוג י</w:t>
      </w:r>
      <w:r>
        <w:rPr>
          <w:rtl/>
        </w:rPr>
        <w:t>ו</w:t>
      </w:r>
      <w:r w:rsidRPr="000A468A">
        <w:rPr>
          <w:rtl/>
        </w:rPr>
        <w:t xml:space="preserve">ותרו על זכותם </w:t>
      </w:r>
      <w:r>
        <w:rPr>
          <w:rtl/>
        </w:rPr>
        <w:t>לחתום על הסכם קדם נישואין</w:t>
      </w:r>
      <w:r w:rsidRPr="000A468A">
        <w:rPr>
          <w:rtl/>
        </w:rPr>
        <w:t xml:space="preserve">, </w:t>
      </w:r>
      <w:r>
        <w:rPr>
          <w:rtl/>
        </w:rPr>
        <w:t xml:space="preserve">הם </w:t>
      </w:r>
      <w:r w:rsidRPr="000A468A">
        <w:rPr>
          <w:rtl/>
        </w:rPr>
        <w:t>יידרשו לחתום על טופס ויתור אצל רושם הנישואים</w:t>
      </w:r>
      <w:r>
        <w:rPr>
          <w:rtl/>
        </w:rPr>
        <w:t>.</w:t>
      </w:r>
      <w:r w:rsidRPr="000A468A">
        <w:rPr>
          <w:rtl/>
        </w:rPr>
        <w:t xml:space="preserve"> </w:t>
      </w:r>
      <w:r>
        <w:rPr>
          <w:rtl/>
        </w:rPr>
        <w:t xml:space="preserve">מוצע להבהיר כי חתימה על ויתור </w:t>
      </w:r>
      <w:r w:rsidRPr="000A468A">
        <w:rPr>
          <w:rtl/>
        </w:rPr>
        <w:t xml:space="preserve">במקרה זה לא </w:t>
      </w:r>
      <w:r>
        <w:rPr>
          <w:rtl/>
        </w:rPr>
        <w:t>ת</w:t>
      </w:r>
      <w:r w:rsidRPr="000A468A">
        <w:rPr>
          <w:rtl/>
        </w:rPr>
        <w:t xml:space="preserve">פגע </w:t>
      </w:r>
      <w:r>
        <w:rPr>
          <w:rtl/>
        </w:rPr>
        <w:t>ב</w:t>
      </w:r>
      <w:r w:rsidRPr="000A468A">
        <w:rPr>
          <w:rtl/>
        </w:rPr>
        <w:t>זכויותיהם לפי כל דין.</w:t>
      </w:r>
    </w:p>
    <w:p w:rsidR="00571E1A" w:rsidRDefault="00571E1A" w:rsidP="00571E1A">
      <w:pPr>
        <w:pStyle w:val="Hesber"/>
        <w:rPr>
          <w:rtl/>
        </w:rPr>
      </w:pPr>
      <w:r>
        <w:rPr>
          <w:rtl/>
        </w:rPr>
        <w:t>אישור או אימות ההסכם ייעשו על ידי רושם נישואין, נוטריון, בית המשפט לענ</w:t>
      </w:r>
      <w:r w:rsidR="00E60CA5">
        <w:rPr>
          <w:rtl/>
        </w:rPr>
        <w:t>י</w:t>
      </w:r>
      <w:r>
        <w:rPr>
          <w:rtl/>
        </w:rPr>
        <w:t>יני משפחה או בית הדין הדתי, בהתאם למודל הקיים בחוק יחסי ממון</w:t>
      </w:r>
      <w:r w:rsidR="00E60CA5">
        <w:rPr>
          <w:rtl/>
        </w:rPr>
        <w:t xml:space="preserve"> בין בני זוג, התשל"ג–1973</w:t>
      </w:r>
      <w:r>
        <w:rPr>
          <w:rtl/>
        </w:rPr>
        <w:t xml:space="preserve">. חתימה של בני זוג נשואים על </w:t>
      </w:r>
      <w:r w:rsidRPr="00387DD0">
        <w:rPr>
          <w:rtl/>
        </w:rPr>
        <w:t xml:space="preserve">הסכם </w:t>
      </w:r>
      <w:r>
        <w:rPr>
          <w:rtl/>
        </w:rPr>
        <w:t>קדם נישואין</w:t>
      </w:r>
      <w:r w:rsidRPr="00387DD0">
        <w:rPr>
          <w:rtl/>
        </w:rPr>
        <w:t xml:space="preserve"> </w:t>
      </w:r>
      <w:r>
        <w:rPr>
          <w:rtl/>
        </w:rPr>
        <w:t xml:space="preserve">ושינוי של הסכם כאמור יאושרו על ידי </w:t>
      </w:r>
      <w:r w:rsidRPr="00387DD0">
        <w:rPr>
          <w:rtl/>
        </w:rPr>
        <w:t>בית המשפט או בית הדין</w:t>
      </w:r>
      <w:r>
        <w:rPr>
          <w:rtl/>
        </w:rPr>
        <w:t>.</w:t>
      </w:r>
      <w:r w:rsidRPr="00387DD0">
        <w:rPr>
          <w:rtl/>
        </w:rPr>
        <w:t xml:space="preserve"> </w:t>
      </w:r>
      <w:r>
        <w:rPr>
          <w:rtl/>
        </w:rPr>
        <w:t xml:space="preserve">אישור או אימות ההסכם או שינוי בו יעשו לאחר שהגורם המתאים </w:t>
      </w:r>
      <w:r w:rsidRPr="00387DD0">
        <w:rPr>
          <w:rtl/>
        </w:rPr>
        <w:t xml:space="preserve">נוכח </w:t>
      </w:r>
      <w:r>
        <w:rPr>
          <w:rtl/>
        </w:rPr>
        <w:t xml:space="preserve">כי ההסכם הוא אכן הסכם קדם נישואין, כמשמעותו בחוק המוצע, וכי </w:t>
      </w:r>
      <w:r w:rsidRPr="00387DD0">
        <w:rPr>
          <w:rtl/>
        </w:rPr>
        <w:t>בני הזוג עשו את ההסכם בהסכמה ח</w:t>
      </w:r>
      <w:r>
        <w:rPr>
          <w:rtl/>
        </w:rPr>
        <w:t>ו</w:t>
      </w:r>
      <w:r w:rsidRPr="00387DD0">
        <w:rPr>
          <w:rtl/>
        </w:rPr>
        <w:t>פשית ובהבינם את משמעותו ואת תוצאותיו</w:t>
      </w:r>
      <w:r>
        <w:rPr>
          <w:rtl/>
        </w:rPr>
        <w:t xml:space="preserve">. </w:t>
      </w:r>
      <w:r w:rsidRPr="000A468A">
        <w:rPr>
          <w:rtl/>
        </w:rPr>
        <w:t xml:space="preserve">אין בהסדר </w:t>
      </w:r>
      <w:r>
        <w:rPr>
          <w:rtl/>
        </w:rPr>
        <w:t>המוצע</w:t>
      </w:r>
      <w:r w:rsidRPr="000A468A">
        <w:rPr>
          <w:rtl/>
        </w:rPr>
        <w:t xml:space="preserve"> משום קביעת סמכות בנושא סמכות הדיון בגירושים או בעניינים הכרוכים בתביעת הגירושים, ואין בה משום פגיעה בסמכותם ובריבונותם של בתי הדין ה</w:t>
      </w:r>
      <w:r>
        <w:rPr>
          <w:rtl/>
        </w:rPr>
        <w:t>דתיי</w:t>
      </w:r>
      <w:r w:rsidRPr="000A468A">
        <w:rPr>
          <w:rtl/>
        </w:rPr>
        <w:t>ם. בנוסף</w:t>
      </w:r>
      <w:r>
        <w:rPr>
          <w:rtl/>
        </w:rPr>
        <w:t>,</w:t>
      </w:r>
      <w:r w:rsidRPr="000A468A">
        <w:rPr>
          <w:rtl/>
        </w:rPr>
        <w:t xml:space="preserve"> הצעה זו אינה </w:t>
      </w:r>
      <w:r>
        <w:rPr>
          <w:rtl/>
        </w:rPr>
        <w:t>סותרת את</w:t>
      </w:r>
      <w:r w:rsidRPr="000A468A">
        <w:rPr>
          <w:rtl/>
        </w:rPr>
        <w:t xml:space="preserve"> </w:t>
      </w:r>
      <w:r>
        <w:rPr>
          <w:rtl/>
        </w:rPr>
        <w:t>ה</w:t>
      </w:r>
      <w:r w:rsidRPr="000A468A">
        <w:rPr>
          <w:rtl/>
        </w:rPr>
        <w:t>הלכה</w:t>
      </w:r>
      <w:r>
        <w:rPr>
          <w:rtl/>
        </w:rPr>
        <w:t>. ההצעה</w:t>
      </w:r>
      <w:r w:rsidRPr="000A468A">
        <w:rPr>
          <w:rtl/>
        </w:rPr>
        <w:t xml:space="preserve"> מסדירה בחוק נוהג קיים של חתימה על הסכמי קדם נישואים, </w:t>
      </w:r>
      <w:r>
        <w:rPr>
          <w:rtl/>
        </w:rPr>
        <w:t>בדומה להסדרה הקיימת</w:t>
      </w:r>
      <w:r w:rsidRPr="000A468A">
        <w:rPr>
          <w:rtl/>
        </w:rPr>
        <w:t xml:space="preserve"> </w:t>
      </w:r>
      <w:r>
        <w:rPr>
          <w:rtl/>
        </w:rPr>
        <w:t>ב</w:t>
      </w:r>
      <w:r w:rsidRPr="000A468A">
        <w:rPr>
          <w:rtl/>
        </w:rPr>
        <w:t xml:space="preserve">חוק יחסי ממון </w:t>
      </w:r>
      <w:r w:rsidR="00E60CA5">
        <w:rPr>
          <w:rtl/>
        </w:rPr>
        <w:t>בין בני זוג, התשל"ג–1973</w:t>
      </w:r>
      <w:r>
        <w:rPr>
          <w:rtl/>
        </w:rPr>
        <w:t>.</w:t>
      </w:r>
    </w:p>
    <w:p w:rsidR="00571E1A" w:rsidRDefault="00571E1A" w:rsidP="00571E1A">
      <w:pPr>
        <w:pStyle w:val="Hesber"/>
        <w:rPr>
          <w:rtl/>
        </w:rPr>
      </w:pPr>
      <w:r w:rsidRPr="000A468A">
        <w:rPr>
          <w:rtl/>
        </w:rPr>
        <w:t xml:space="preserve">ההצעה </w:t>
      </w:r>
      <w:r>
        <w:rPr>
          <w:rtl/>
        </w:rPr>
        <w:t xml:space="preserve">נוסחה בסיוע </w:t>
      </w:r>
      <w:r w:rsidRPr="000A468A">
        <w:rPr>
          <w:rtl/>
        </w:rPr>
        <w:t>ארגון "מבוי סתום" למען נשים עגונות ומסורבות גט וארגון "נעמת".</w:t>
      </w:r>
    </w:p>
    <w:p w:rsidR="00CA3996" w:rsidRDefault="00776485" w:rsidP="00776485">
      <w:pPr>
        <w:pStyle w:val="Hesber"/>
        <w:rPr>
          <w:rtl/>
        </w:rPr>
      </w:pPr>
      <w:r>
        <w:rPr>
          <w:rtl/>
        </w:rPr>
        <w:t>הצע</w:t>
      </w:r>
      <w:r w:rsidR="00CA3996">
        <w:rPr>
          <w:rtl/>
        </w:rPr>
        <w:t>ת חוק דומ</w:t>
      </w:r>
      <w:r>
        <w:rPr>
          <w:rtl/>
        </w:rPr>
        <w:t>ה</w:t>
      </w:r>
      <w:r w:rsidR="00CA3996">
        <w:rPr>
          <w:rtl/>
        </w:rPr>
        <w:t xml:space="preserve"> בעיקר</w:t>
      </w:r>
      <w:r>
        <w:rPr>
          <w:rtl/>
        </w:rPr>
        <w:t>ה</w:t>
      </w:r>
      <w:r w:rsidR="00CA3996">
        <w:rPr>
          <w:rtl/>
        </w:rPr>
        <w:t xml:space="preserve"> הונחו על שולחן הכנסת התשע-עשרה על ידי חברת </w:t>
      </w:r>
      <w:r>
        <w:rPr>
          <w:rtl/>
        </w:rPr>
        <w:t>הכנסת גילה גמליאל (פ/2144/19).</w:t>
      </w:r>
    </w:p>
    <w:p w:rsidR="00571E1A" w:rsidRDefault="00571E1A" w:rsidP="00215271">
      <w:pPr>
        <w:pStyle w:val="Hesber"/>
        <w:rPr>
          <w:rtl/>
        </w:rPr>
      </w:pPr>
      <w:r>
        <w:rPr>
          <w:rtl/>
        </w:rPr>
        <w:t>הצע</w:t>
      </w:r>
      <w:r w:rsidR="00776485">
        <w:rPr>
          <w:rtl/>
        </w:rPr>
        <w:t>ו</w:t>
      </w:r>
      <w:r>
        <w:rPr>
          <w:rtl/>
        </w:rPr>
        <w:t>ת חוק זה</w:t>
      </w:r>
      <w:r w:rsidR="00776485">
        <w:rPr>
          <w:rtl/>
        </w:rPr>
        <w:t>ות</w:t>
      </w:r>
      <w:r>
        <w:rPr>
          <w:rtl/>
        </w:rPr>
        <w:t xml:space="preserve"> הונח</w:t>
      </w:r>
      <w:r w:rsidR="00776485">
        <w:rPr>
          <w:rtl/>
        </w:rPr>
        <w:t>ו</w:t>
      </w:r>
      <w:r>
        <w:rPr>
          <w:rtl/>
        </w:rPr>
        <w:t xml:space="preserve"> על שולחן הכנסת ה</w:t>
      </w:r>
      <w:r w:rsidR="00CA3996">
        <w:rPr>
          <w:rtl/>
        </w:rPr>
        <w:t>תשע-עשרה</w:t>
      </w:r>
      <w:r>
        <w:rPr>
          <w:sz w:val="26"/>
          <w:rtl/>
        </w:rPr>
        <w:t xml:space="preserve"> על ידי חברת הכנסת אורלי לוי</w:t>
      </w:r>
      <w:r w:rsidR="00215271">
        <w:rPr>
          <w:sz w:val="26"/>
          <w:rtl/>
        </w:rPr>
        <w:t xml:space="preserve"> </w:t>
      </w:r>
      <w:r>
        <w:rPr>
          <w:sz w:val="26"/>
          <w:rtl/>
        </w:rPr>
        <w:t>אבקסיס</w:t>
      </w:r>
      <w:r w:rsidR="00CA3996">
        <w:rPr>
          <w:sz w:val="26"/>
          <w:rtl/>
        </w:rPr>
        <w:t xml:space="preserve"> וקבוצת חברי הכנסת </w:t>
      </w:r>
      <w:r w:rsidR="00CA3996">
        <w:rPr>
          <w:rtl/>
        </w:rPr>
        <w:t>(</w:t>
      </w:r>
      <w:bookmarkStart w:id="8" w:name="LawNum"/>
      <w:r w:rsidR="00CA3996" w:rsidRPr="00FC704B">
        <w:rPr>
          <w:sz w:val="26"/>
          <w:rtl/>
        </w:rPr>
        <w:t>פ/1638/19</w:t>
      </w:r>
      <w:bookmarkEnd w:id="8"/>
      <w:r w:rsidR="00CA3996">
        <w:rPr>
          <w:sz w:val="26"/>
          <w:rtl/>
        </w:rPr>
        <w:t>)</w:t>
      </w:r>
      <w:r w:rsidR="00776485">
        <w:rPr>
          <w:sz w:val="26"/>
          <w:rtl/>
        </w:rPr>
        <w:t xml:space="preserve"> ועל ידי חבר הכנסת דב ליפמן (פ/1997/19).</w:t>
      </w:r>
    </w:p>
    <w:p w:rsidR="00154668" w:rsidRPr="0022704F" w:rsidRDefault="00154668" w:rsidP="00827469">
      <w:pPr>
        <w:spacing w:before="0" w:line="360" w:lineRule="auto"/>
        <w:ind w:left="340" w:firstLine="0"/>
        <w:rPr>
          <w:rFonts w:cs="David"/>
          <w:snapToGrid w:val="0"/>
          <w:spacing w:val="0"/>
          <w:sz w:val="20"/>
          <w:szCs w:val="26"/>
          <w:rtl/>
        </w:rPr>
      </w:pPr>
      <w:r w:rsidRPr="0022704F">
        <w:rPr>
          <w:rFonts w:cs="David"/>
          <w:snapToGrid w:val="0"/>
          <w:spacing w:val="0"/>
          <w:sz w:val="20"/>
          <w:szCs w:val="26"/>
          <w:rtl/>
        </w:rPr>
        <w:t>---------------------------------</w:t>
      </w:r>
    </w:p>
    <w:p w:rsidR="00154668" w:rsidRPr="0022704F" w:rsidRDefault="00154668" w:rsidP="00827469">
      <w:pPr>
        <w:spacing w:before="0" w:line="360" w:lineRule="auto"/>
        <w:ind w:left="340" w:firstLine="0"/>
        <w:rPr>
          <w:rFonts w:cs="David"/>
          <w:snapToGrid w:val="0"/>
          <w:spacing w:val="0"/>
          <w:sz w:val="20"/>
          <w:szCs w:val="26"/>
          <w:rtl/>
        </w:rPr>
      </w:pPr>
      <w:r w:rsidRPr="0022704F">
        <w:rPr>
          <w:rFonts w:cs="David"/>
          <w:snapToGrid w:val="0"/>
          <w:spacing w:val="0"/>
          <w:sz w:val="20"/>
          <w:szCs w:val="26"/>
          <w:rtl/>
        </w:rPr>
        <w:t>הוגשה ליו"ר הכנסת והסגנים</w:t>
      </w:r>
    </w:p>
    <w:p w:rsidR="00154668" w:rsidRPr="0022704F" w:rsidRDefault="00154668" w:rsidP="00827469">
      <w:pPr>
        <w:spacing w:before="0" w:line="360" w:lineRule="auto"/>
        <w:ind w:left="340" w:firstLine="0"/>
        <w:rPr>
          <w:rFonts w:cs="David"/>
          <w:snapToGrid w:val="0"/>
          <w:spacing w:val="0"/>
          <w:sz w:val="20"/>
          <w:szCs w:val="26"/>
          <w:rtl/>
        </w:rPr>
      </w:pPr>
      <w:r w:rsidRPr="0022704F">
        <w:rPr>
          <w:rFonts w:cs="David"/>
          <w:snapToGrid w:val="0"/>
          <w:spacing w:val="0"/>
          <w:sz w:val="20"/>
          <w:szCs w:val="26"/>
          <w:rtl/>
        </w:rPr>
        <w:t>והונחה על שולחן הכנסת ביום</w:t>
      </w:r>
    </w:p>
    <w:p w:rsidR="00E13C27" w:rsidRPr="00154668" w:rsidRDefault="00154668" w:rsidP="00154668">
      <w:pPr>
        <w:spacing w:before="0" w:line="360" w:lineRule="auto"/>
        <w:ind w:left="340" w:firstLine="0"/>
        <w:rPr>
          <w:rFonts w:cs="David"/>
          <w:snapToGrid w:val="0"/>
          <w:spacing w:val="0"/>
          <w:sz w:val="20"/>
          <w:szCs w:val="26"/>
          <w:rtl/>
        </w:rPr>
      </w:pPr>
      <w:r>
        <w:rPr>
          <w:rFonts w:cs="David"/>
          <w:snapToGrid w:val="0"/>
          <w:spacing w:val="0"/>
          <w:sz w:val="20"/>
          <w:szCs w:val="26"/>
          <w:rtl/>
        </w:rPr>
        <w:t>ט"ו באייר התשע"ה</w:t>
      </w:r>
      <w:r w:rsidRPr="00935520">
        <w:rPr>
          <w:rFonts w:cs="David"/>
          <w:snapToGrid w:val="0"/>
          <w:spacing w:val="0"/>
          <w:sz w:val="20"/>
          <w:szCs w:val="26"/>
          <w:rtl/>
        </w:rPr>
        <w:t xml:space="preserve"> – </w:t>
      </w:r>
      <w:r>
        <w:rPr>
          <w:rFonts w:cs="David"/>
          <w:snapToGrid w:val="0"/>
          <w:spacing w:val="0"/>
          <w:sz w:val="20"/>
          <w:szCs w:val="26"/>
          <w:rtl/>
        </w:rPr>
        <w:t>4</w:t>
      </w:r>
      <w:r w:rsidRPr="00935520">
        <w:rPr>
          <w:rFonts w:cs="David"/>
          <w:snapToGrid w:val="0"/>
          <w:spacing w:val="0"/>
          <w:sz w:val="20"/>
          <w:szCs w:val="26"/>
          <w:rtl/>
        </w:rPr>
        <w:t>.</w:t>
      </w:r>
      <w:r>
        <w:rPr>
          <w:rFonts w:cs="David"/>
          <w:snapToGrid w:val="0"/>
          <w:spacing w:val="0"/>
          <w:sz w:val="20"/>
          <w:szCs w:val="26"/>
          <w:rtl/>
        </w:rPr>
        <w:t>5</w:t>
      </w:r>
      <w:r w:rsidRPr="00935520">
        <w:rPr>
          <w:rFonts w:cs="David"/>
          <w:snapToGrid w:val="0"/>
          <w:spacing w:val="0"/>
          <w:sz w:val="20"/>
          <w:szCs w:val="26"/>
          <w:rtl/>
        </w:rPr>
        <w:t>.</w:t>
      </w:r>
      <w:r>
        <w:rPr>
          <w:rFonts w:cs="David"/>
          <w:snapToGrid w:val="0"/>
          <w:spacing w:val="0"/>
          <w:sz w:val="20"/>
          <w:szCs w:val="26"/>
          <w:rtl/>
        </w:rPr>
        <w:t>15</w:t>
      </w:r>
    </w:p>
    <w:sectPr w:rsidR="00E13C27" w:rsidRPr="00154668"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2AE" w:rsidRDefault="009F72AE">
      <w:r>
        <w:separator/>
      </w:r>
    </w:p>
  </w:endnote>
  <w:endnote w:type="continuationSeparator" w:id="0">
    <w:p w:rsidR="009F72AE" w:rsidRDefault="009F7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23" w:rsidRDefault="001A0623" w:rsidP="001207F8">
    <w:pPr>
      <w:pStyle w:val="ab"/>
      <w:framePr w:wrap="around" w:vAnchor="text" w:hAnchor="text" w:xAlign="center" w:y="1"/>
      <w:rPr>
        <w:rStyle w:val="af"/>
        <w:rFonts w:cs="Hadasa Roso SL"/>
      </w:rPr>
    </w:pPr>
    <w:r>
      <w:rPr>
        <w:rStyle w:val="af"/>
        <w:rFonts w:cs="Hadasa Roso SL"/>
      </w:rPr>
      <w:fldChar w:fldCharType="begin"/>
    </w:r>
    <w:r>
      <w:rPr>
        <w:rStyle w:val="af"/>
        <w:rFonts w:cs="Hadasa Roso SL"/>
      </w:rPr>
      <w:instrText xml:space="preserve">PAGE  </w:instrText>
    </w:r>
    <w:r>
      <w:rPr>
        <w:rStyle w:val="af"/>
        <w:rFonts w:cs="Hadasa Roso SL"/>
      </w:rPr>
      <w:fldChar w:fldCharType="end"/>
    </w:r>
  </w:p>
  <w:p w:rsidR="001A0623" w:rsidRDefault="001A062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23" w:rsidRDefault="001A0623" w:rsidP="001207F8">
    <w:pPr>
      <w:pStyle w:val="ab"/>
      <w:framePr w:wrap="around" w:vAnchor="text" w:hAnchor="text" w:xAlign="center" w:y="1"/>
      <w:rPr>
        <w:rStyle w:val="af"/>
        <w:rFonts w:cs="Hadasa Roso SL"/>
      </w:rPr>
    </w:pPr>
    <w:r>
      <w:rPr>
        <w:rStyle w:val="af"/>
        <w:rFonts w:cs="Hadasa Roso SL"/>
      </w:rPr>
      <w:fldChar w:fldCharType="begin"/>
    </w:r>
    <w:r>
      <w:rPr>
        <w:rStyle w:val="af"/>
        <w:rFonts w:cs="Hadasa Roso SL"/>
      </w:rPr>
      <w:instrText xml:space="preserve">PAGE  </w:instrText>
    </w:r>
    <w:r>
      <w:rPr>
        <w:rStyle w:val="af"/>
        <w:rFonts w:cs="Hadasa Roso SL"/>
      </w:rPr>
      <w:fldChar w:fldCharType="separate"/>
    </w:r>
    <w:r w:rsidR="00C33B6F">
      <w:rPr>
        <w:rStyle w:val="af"/>
        <w:rFonts w:cs="Hadasa Roso SL"/>
        <w:noProof/>
        <w:rtl/>
      </w:rPr>
      <w:t>2</w:t>
    </w:r>
    <w:r>
      <w:rPr>
        <w:rStyle w:val="af"/>
        <w:rFonts w:cs="Hadasa Roso SL"/>
      </w:rPr>
      <w:fldChar w:fldCharType="end"/>
    </w:r>
  </w:p>
  <w:p w:rsidR="001A0623" w:rsidRDefault="001A062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2AE" w:rsidRDefault="009F72AE">
      <w:r>
        <w:separator/>
      </w:r>
    </w:p>
  </w:footnote>
  <w:footnote w:type="continuationSeparator" w:id="0">
    <w:p w:rsidR="009F72AE" w:rsidRDefault="009F72AE">
      <w:r>
        <w:continuationSeparator/>
      </w:r>
    </w:p>
  </w:footnote>
  <w:footnote w:type="continuationNotice" w:id="1">
    <w:p w:rsidR="009F72AE" w:rsidRDefault="009F72AE"/>
  </w:footnote>
  <w:footnote w:id="2">
    <w:p w:rsidR="00000000" w:rsidRDefault="00222455">
      <w:pPr>
        <w:pStyle w:val="a5"/>
      </w:pPr>
      <w:r>
        <w:rPr>
          <w:rStyle w:val="a7"/>
          <w:rFonts w:cs="David"/>
        </w:rPr>
        <w:footnoteRef/>
      </w:r>
      <w:r>
        <w:rPr>
          <w:rtl/>
        </w:rPr>
        <w:t xml:space="preserve"> ס"ח התשל"ג</w:t>
      </w:r>
      <w:r w:rsidR="003E381C">
        <w:rPr>
          <w:rtl/>
        </w:rPr>
        <w:t>,</w:t>
      </w:r>
      <w:r>
        <w:rPr>
          <w:rtl/>
        </w:rPr>
        <w:t xml:space="preserve"> עמ' 267.</w:t>
      </w:r>
    </w:p>
  </w:footnote>
  <w:footnote w:id="3">
    <w:p w:rsidR="00000000" w:rsidRDefault="00571E1A" w:rsidP="00571E1A">
      <w:pPr>
        <w:pStyle w:val="a5"/>
      </w:pPr>
      <w:r>
        <w:rPr>
          <w:rStyle w:val="a7"/>
          <w:rFonts w:cs="David"/>
        </w:rPr>
        <w:footnoteRef/>
      </w:r>
      <w:r>
        <w:rPr>
          <w:rtl/>
        </w:rPr>
        <w:t xml:space="preserve"> ס"ח התשל"ו, עמ' 196. </w:t>
      </w:r>
    </w:p>
  </w:footnote>
  <w:footnote w:id="4">
    <w:p w:rsidR="00000000" w:rsidRDefault="003E381C">
      <w:pPr>
        <w:pStyle w:val="a5"/>
      </w:pPr>
      <w:r>
        <w:rPr>
          <w:rStyle w:val="a7"/>
          <w:rFonts w:cs="David"/>
        </w:rPr>
        <w:footnoteRef/>
      </w:r>
      <w:r>
        <w:rPr>
          <w:rtl/>
        </w:rPr>
        <w:t xml:space="preserve"> ס"ח התשל"ו, עמ' 196.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5CAE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E88A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DA1E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5C858E4"/>
    <w:multiLevelType w:val="hybridMultilevel"/>
    <w:tmpl w:val="882C6ED4"/>
    <w:lvl w:ilvl="0" w:tplc="4112A21E">
      <w:start w:val="1"/>
      <w:numFmt w:val="hebrew1"/>
      <w:lvlRestart w:val="0"/>
      <w:lvlText w:val="(%1)"/>
      <w:lvlJc w:val="left"/>
      <w:pPr>
        <w:tabs>
          <w:tab w:val="num" w:pos="624"/>
        </w:tabs>
      </w:pPr>
      <w:rPr>
        <w:rFonts w:cs="Times New Roman" w:hint="default"/>
      </w:rPr>
    </w:lvl>
    <w:lvl w:ilvl="1" w:tplc="49082BE6">
      <w:start w:val="1"/>
      <w:numFmt w:val="decimal"/>
      <w:lvlRestart w:val="0"/>
      <w:lvlText w:val="(%2)"/>
      <w:lvlJc w:val="left"/>
      <w:pPr>
        <w:tabs>
          <w:tab w:val="num" w:pos="1704"/>
        </w:tabs>
        <w:ind w:left="1080"/>
      </w:pPr>
      <w:rPr>
        <w:rFonts w:cs="Times New Roman" w:hint="default"/>
      </w:rPr>
    </w:lvl>
    <w:lvl w:ilvl="2" w:tplc="48C06176">
      <w:start w:val="1"/>
      <w:numFmt w:val="decimal"/>
      <w:lvlRestart w:val="0"/>
      <w:lvlText w:val="(%3)"/>
      <w:lvlJc w:val="left"/>
      <w:pPr>
        <w:tabs>
          <w:tab w:val="num" w:pos="2604"/>
        </w:tabs>
        <w:ind w:left="19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0002"/>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
  <w:docVars>
    <w:docVar w:name="OriginalName" w:val="tmp482240lsCopyOriginal.docx"/>
    <w:docVar w:name="StartMode" w:val="2"/>
  </w:docVars>
  <w:rsids>
    <w:rsidRoot w:val="00DB7060"/>
    <w:rsid w:val="0000131B"/>
    <w:rsid w:val="00015B27"/>
    <w:rsid w:val="0007681A"/>
    <w:rsid w:val="000A468A"/>
    <w:rsid w:val="000A542E"/>
    <w:rsid w:val="00102B6B"/>
    <w:rsid w:val="001052D4"/>
    <w:rsid w:val="0010644B"/>
    <w:rsid w:val="001207F8"/>
    <w:rsid w:val="00121924"/>
    <w:rsid w:val="001279A8"/>
    <w:rsid w:val="0014195F"/>
    <w:rsid w:val="00152609"/>
    <w:rsid w:val="00153E1B"/>
    <w:rsid w:val="00154668"/>
    <w:rsid w:val="001A0623"/>
    <w:rsid w:val="001A4FAD"/>
    <w:rsid w:val="001C23B0"/>
    <w:rsid w:val="00203A7F"/>
    <w:rsid w:val="00215271"/>
    <w:rsid w:val="002200A1"/>
    <w:rsid w:val="00222455"/>
    <w:rsid w:val="0022704F"/>
    <w:rsid w:val="002362BF"/>
    <w:rsid w:val="00241B97"/>
    <w:rsid w:val="00246756"/>
    <w:rsid w:val="00251E58"/>
    <w:rsid w:val="00254605"/>
    <w:rsid w:val="002728B4"/>
    <w:rsid w:val="00272DDB"/>
    <w:rsid w:val="0027450A"/>
    <w:rsid w:val="0027600C"/>
    <w:rsid w:val="00292712"/>
    <w:rsid w:val="002A487D"/>
    <w:rsid w:val="002C2E29"/>
    <w:rsid w:val="002D1EE3"/>
    <w:rsid w:val="002F1D80"/>
    <w:rsid w:val="003232A2"/>
    <w:rsid w:val="00325C14"/>
    <w:rsid w:val="00361517"/>
    <w:rsid w:val="003710F6"/>
    <w:rsid w:val="0037629B"/>
    <w:rsid w:val="00386E88"/>
    <w:rsid w:val="00387DD0"/>
    <w:rsid w:val="00396585"/>
    <w:rsid w:val="003D74A0"/>
    <w:rsid w:val="003E381C"/>
    <w:rsid w:val="004033D8"/>
    <w:rsid w:val="004073F0"/>
    <w:rsid w:val="00412A7D"/>
    <w:rsid w:val="00416B4D"/>
    <w:rsid w:val="00417CFC"/>
    <w:rsid w:val="00475C4D"/>
    <w:rsid w:val="0048566E"/>
    <w:rsid w:val="004B24ED"/>
    <w:rsid w:val="004D2D82"/>
    <w:rsid w:val="004D3876"/>
    <w:rsid w:val="004E4552"/>
    <w:rsid w:val="00553C9D"/>
    <w:rsid w:val="00562A66"/>
    <w:rsid w:val="00571E1A"/>
    <w:rsid w:val="005B064E"/>
    <w:rsid w:val="005D51AE"/>
    <w:rsid w:val="0062674B"/>
    <w:rsid w:val="006363B2"/>
    <w:rsid w:val="00644940"/>
    <w:rsid w:val="00661DC7"/>
    <w:rsid w:val="006818A9"/>
    <w:rsid w:val="006A2D81"/>
    <w:rsid w:val="006C1D0D"/>
    <w:rsid w:val="0070601E"/>
    <w:rsid w:val="00712C72"/>
    <w:rsid w:val="00735FE9"/>
    <w:rsid w:val="00763CAA"/>
    <w:rsid w:val="00765F66"/>
    <w:rsid w:val="00776485"/>
    <w:rsid w:val="007C3FA6"/>
    <w:rsid w:val="007D585A"/>
    <w:rsid w:val="007D5A12"/>
    <w:rsid w:val="007E59F9"/>
    <w:rsid w:val="00810BCD"/>
    <w:rsid w:val="00812C98"/>
    <w:rsid w:val="00814D92"/>
    <w:rsid w:val="00827469"/>
    <w:rsid w:val="0083181D"/>
    <w:rsid w:val="00874BBC"/>
    <w:rsid w:val="00892135"/>
    <w:rsid w:val="00895449"/>
    <w:rsid w:val="00897879"/>
    <w:rsid w:val="008A6870"/>
    <w:rsid w:val="008C2DDC"/>
    <w:rsid w:val="008C7516"/>
    <w:rsid w:val="008E6EC7"/>
    <w:rsid w:val="008F0D63"/>
    <w:rsid w:val="008F2C35"/>
    <w:rsid w:val="008F6665"/>
    <w:rsid w:val="0091204F"/>
    <w:rsid w:val="009203DB"/>
    <w:rsid w:val="00923CD4"/>
    <w:rsid w:val="00935520"/>
    <w:rsid w:val="00943386"/>
    <w:rsid w:val="009456B6"/>
    <w:rsid w:val="00957589"/>
    <w:rsid w:val="00966D06"/>
    <w:rsid w:val="009760CE"/>
    <w:rsid w:val="00976A20"/>
    <w:rsid w:val="00982412"/>
    <w:rsid w:val="00983A8D"/>
    <w:rsid w:val="009A197F"/>
    <w:rsid w:val="009A522E"/>
    <w:rsid w:val="009A5BCC"/>
    <w:rsid w:val="009A7257"/>
    <w:rsid w:val="009D6E0A"/>
    <w:rsid w:val="009F72AE"/>
    <w:rsid w:val="00A14672"/>
    <w:rsid w:val="00A26BD6"/>
    <w:rsid w:val="00A443CF"/>
    <w:rsid w:val="00A63A89"/>
    <w:rsid w:val="00A6611D"/>
    <w:rsid w:val="00A82CB7"/>
    <w:rsid w:val="00AA2F03"/>
    <w:rsid w:val="00AC36F7"/>
    <w:rsid w:val="00AC63A4"/>
    <w:rsid w:val="00AD239E"/>
    <w:rsid w:val="00AF215E"/>
    <w:rsid w:val="00B10265"/>
    <w:rsid w:val="00B21211"/>
    <w:rsid w:val="00B310BE"/>
    <w:rsid w:val="00B35784"/>
    <w:rsid w:val="00B733A7"/>
    <w:rsid w:val="00B83F7B"/>
    <w:rsid w:val="00B975AD"/>
    <w:rsid w:val="00BA78D9"/>
    <w:rsid w:val="00BB27F5"/>
    <w:rsid w:val="00BB2E5F"/>
    <w:rsid w:val="00BC45FB"/>
    <w:rsid w:val="00BF148D"/>
    <w:rsid w:val="00C23B1A"/>
    <w:rsid w:val="00C310EB"/>
    <w:rsid w:val="00C33B6F"/>
    <w:rsid w:val="00C34DE2"/>
    <w:rsid w:val="00C9176A"/>
    <w:rsid w:val="00CA3996"/>
    <w:rsid w:val="00CE0888"/>
    <w:rsid w:val="00CE32BA"/>
    <w:rsid w:val="00CF1AA2"/>
    <w:rsid w:val="00D63620"/>
    <w:rsid w:val="00D8410D"/>
    <w:rsid w:val="00D867D7"/>
    <w:rsid w:val="00DA1EDF"/>
    <w:rsid w:val="00DB7060"/>
    <w:rsid w:val="00DE3153"/>
    <w:rsid w:val="00E06736"/>
    <w:rsid w:val="00E13C27"/>
    <w:rsid w:val="00E33BBD"/>
    <w:rsid w:val="00E45103"/>
    <w:rsid w:val="00E60CA5"/>
    <w:rsid w:val="00E665B9"/>
    <w:rsid w:val="00EA01E6"/>
    <w:rsid w:val="00EA3DE8"/>
    <w:rsid w:val="00EA758F"/>
    <w:rsid w:val="00ED4A6F"/>
    <w:rsid w:val="00EF3A3A"/>
    <w:rsid w:val="00F628D6"/>
    <w:rsid w:val="00F67051"/>
    <w:rsid w:val="00FA5E88"/>
    <w:rsid w:val="00FC704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E5F"/>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customStyle="1" w:styleId="Cover1-Reshumot">
    <w:name w:val="Cover 1-Reshumot"/>
    <w:basedOn w:val="a"/>
    <w:rsid w:val="00BB2E5F"/>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rsid w:val="00BB2E5F"/>
    <w:rPr>
      <w:sz w:val="36"/>
      <w:szCs w:val="52"/>
    </w:rPr>
  </w:style>
  <w:style w:type="paragraph" w:customStyle="1" w:styleId="Cover3-Haknesset">
    <w:name w:val="Cover 3-Haknesset"/>
    <w:basedOn w:val="Cover1-Reshumot"/>
    <w:rsid w:val="00BB2E5F"/>
    <w:rPr>
      <w:b/>
      <w:bCs/>
      <w:spacing w:val="60"/>
    </w:rPr>
  </w:style>
  <w:style w:type="paragraph" w:customStyle="1" w:styleId="Cover4-Date">
    <w:name w:val="Cover 4-Date"/>
    <w:basedOn w:val="a"/>
    <w:rsid w:val="00BB2E5F"/>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B2E5F"/>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a"/>
    <w:rsid w:val="00BB2E5F"/>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HeadHatzaotHok4Futer">
    <w:name w:val="Head HatzaotHok4Futer"/>
    <w:basedOn w:val="HeadHatzaotHok"/>
    <w:rsid w:val="00BB2E5F"/>
    <w:pPr>
      <w:spacing w:before="120" w:after="120"/>
    </w:pPr>
    <w:rPr>
      <w:color w:val="FF0000"/>
      <w:w w:val="80"/>
    </w:rPr>
  </w:style>
  <w:style w:type="paragraph" w:styleId="a3">
    <w:name w:val="endnote text"/>
    <w:basedOn w:val="a"/>
    <w:link w:val="a4"/>
    <w:uiPriority w:val="99"/>
    <w:semiHidden/>
    <w:rsid w:val="00BB2E5F"/>
    <w:pPr>
      <w:ind w:left="227" w:hanging="227"/>
    </w:pPr>
    <w:rPr>
      <w:sz w:val="14"/>
      <w:szCs w:val="22"/>
    </w:rPr>
  </w:style>
  <w:style w:type="character" w:customStyle="1" w:styleId="a4">
    <w:name w:val="טקסט הערת סיום תו"/>
    <w:basedOn w:val="a0"/>
    <w:link w:val="a3"/>
    <w:uiPriority w:val="99"/>
    <w:semiHidden/>
    <w:rPr>
      <w:rFonts w:ascii="Hadasa Roso SL" w:hAnsi="Hadasa Roso SL" w:cs="Hadasa Roso SL"/>
      <w:color w:val="000000"/>
      <w:spacing w:val="1"/>
      <w:lang w:eastAsia="ja-JP"/>
    </w:rPr>
  </w:style>
  <w:style w:type="paragraph" w:customStyle="1" w:styleId="TableText">
    <w:name w:val="Table Text"/>
    <w:basedOn w:val="a"/>
    <w:rsid w:val="00BB2E5F"/>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rsid w:val="00BB2E5F"/>
  </w:style>
  <w:style w:type="paragraph" w:customStyle="1" w:styleId="TableBlock">
    <w:name w:val="Table Block"/>
    <w:basedOn w:val="TableText"/>
    <w:rsid w:val="00BB2E5F"/>
    <w:pPr>
      <w:ind w:right="0"/>
      <w:jc w:val="both"/>
    </w:pPr>
  </w:style>
  <w:style w:type="paragraph" w:customStyle="1" w:styleId="TableHead">
    <w:name w:val="Table Head"/>
    <w:basedOn w:val="TableText"/>
    <w:rsid w:val="00BB2E5F"/>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B2E5F"/>
  </w:style>
  <w:style w:type="paragraph" w:customStyle="1" w:styleId="Hesber">
    <w:name w:val="Hesber"/>
    <w:basedOn w:val="a"/>
    <w:rsid w:val="00BB2E5F"/>
    <w:pPr>
      <w:snapToGrid w:val="0"/>
      <w:spacing w:before="0" w:line="360" w:lineRule="auto"/>
    </w:pPr>
    <w:rPr>
      <w:rFonts w:ascii="Arial" w:eastAsia="Arial Unicode MS" w:hAnsi="Arial" w:cs="David"/>
      <w:spacing w:val="0"/>
      <w:sz w:val="20"/>
      <w:szCs w:val="26"/>
    </w:rPr>
  </w:style>
  <w:style w:type="paragraph" w:styleId="a5">
    <w:name w:val="footnote text"/>
    <w:basedOn w:val="a"/>
    <w:link w:val="a6"/>
    <w:autoRedefine/>
    <w:uiPriority w:val="99"/>
    <w:semiHidden/>
    <w:rsid w:val="00BB2E5F"/>
    <w:pPr>
      <w:snapToGrid w:val="0"/>
      <w:spacing w:before="0" w:line="240" w:lineRule="auto"/>
      <w:ind w:left="227" w:hanging="227"/>
      <w:jc w:val="left"/>
    </w:pPr>
    <w:rPr>
      <w:rFonts w:ascii="Arial" w:eastAsia="Arial Unicode MS" w:hAnsi="Arial" w:cs="David"/>
      <w:spacing w:val="0"/>
      <w:sz w:val="14"/>
      <w:szCs w:val="20"/>
    </w:rPr>
  </w:style>
  <w:style w:type="character" w:customStyle="1" w:styleId="a6">
    <w:name w:val="טקסט הערת שוליים תו"/>
    <w:basedOn w:val="a0"/>
    <w:link w:val="a5"/>
    <w:uiPriority w:val="99"/>
    <w:semiHidden/>
    <w:locked/>
    <w:rsid w:val="00571E1A"/>
    <w:rPr>
      <w:rFonts w:ascii="Arial" w:eastAsia="Arial Unicode MS" w:hAnsi="Arial"/>
      <w:color w:val="000000"/>
      <w:sz w:val="14"/>
      <w:lang w:eastAsia="ja-JP"/>
    </w:rPr>
  </w:style>
  <w:style w:type="character" w:styleId="a7">
    <w:name w:val="footnote reference"/>
    <w:basedOn w:val="a0"/>
    <w:uiPriority w:val="99"/>
    <w:rsid w:val="00BB2E5F"/>
    <w:rPr>
      <w:rFonts w:cs="Times New Roman"/>
      <w:vertAlign w:val="superscript"/>
    </w:rPr>
  </w:style>
  <w:style w:type="paragraph" w:customStyle="1" w:styleId="HesberHeading">
    <w:name w:val="Hesber Heading"/>
    <w:basedOn w:val="Hesber"/>
    <w:rsid w:val="00BB2E5F"/>
    <w:pPr>
      <w:tabs>
        <w:tab w:val="left" w:pos="624"/>
        <w:tab w:val="left" w:pos="1247"/>
      </w:tabs>
      <w:ind w:firstLine="0"/>
    </w:pPr>
    <w:rPr>
      <w:b/>
      <w:bCs/>
    </w:rPr>
  </w:style>
  <w:style w:type="paragraph" w:customStyle="1" w:styleId="HesberWriters">
    <w:name w:val="Hesber Writers"/>
    <w:basedOn w:val="Hesber"/>
    <w:rsid w:val="00BB2E5F"/>
    <w:pPr>
      <w:spacing w:before="120" w:after="6000"/>
      <w:ind w:left="1418" w:firstLine="0"/>
      <w:jc w:val="right"/>
    </w:pPr>
    <w:rPr>
      <w:b/>
      <w:bCs/>
    </w:rPr>
  </w:style>
  <w:style w:type="paragraph" w:customStyle="1" w:styleId="Hesber1st">
    <w:name w:val="Hesber 1st"/>
    <w:basedOn w:val="Hesber"/>
    <w:rsid w:val="00BB2E5F"/>
    <w:pPr>
      <w:tabs>
        <w:tab w:val="left" w:pos="680"/>
        <w:tab w:val="left" w:pos="1020"/>
      </w:tabs>
      <w:ind w:firstLine="0"/>
    </w:pPr>
  </w:style>
  <w:style w:type="character" w:styleId="a8">
    <w:name w:val="endnote reference"/>
    <w:basedOn w:val="a0"/>
    <w:uiPriority w:val="99"/>
    <w:semiHidden/>
    <w:rsid w:val="00BB2E5F"/>
    <w:rPr>
      <w:rFonts w:cs="Times New Roman"/>
      <w:vertAlign w:val="superscript"/>
    </w:rPr>
  </w:style>
  <w:style w:type="paragraph" w:customStyle="1" w:styleId="TableBlockOutdent">
    <w:name w:val="Table BlockOutdent"/>
    <w:basedOn w:val="TableBlock"/>
    <w:rsid w:val="00BB2E5F"/>
    <w:pPr>
      <w:ind w:left="624" w:hanging="624"/>
    </w:pPr>
  </w:style>
  <w:style w:type="paragraph" w:styleId="a9">
    <w:name w:val="header"/>
    <w:basedOn w:val="a"/>
    <w:link w:val="aa"/>
    <w:uiPriority w:val="99"/>
    <w:rsid w:val="00BB2E5F"/>
    <w:pPr>
      <w:tabs>
        <w:tab w:val="center" w:pos="4153"/>
        <w:tab w:val="right" w:pos="8306"/>
      </w:tabs>
    </w:pPr>
  </w:style>
  <w:style w:type="character" w:customStyle="1" w:styleId="aa">
    <w:name w:val="כותרת עליונה תו"/>
    <w:basedOn w:val="a0"/>
    <w:link w:val="a9"/>
    <w:uiPriority w:val="99"/>
    <w:semiHidden/>
    <w:rPr>
      <w:rFonts w:ascii="Hadasa Roso SL" w:hAnsi="Hadasa Roso SL" w:cs="Hadasa Roso SL"/>
      <w:color w:val="000000"/>
      <w:spacing w:val="1"/>
      <w:sz w:val="17"/>
      <w:szCs w:val="17"/>
      <w:lang w:eastAsia="ja-JP"/>
    </w:rPr>
  </w:style>
  <w:style w:type="paragraph" w:styleId="ab">
    <w:name w:val="footer"/>
    <w:basedOn w:val="a"/>
    <w:link w:val="ac"/>
    <w:uiPriority w:val="99"/>
    <w:rsid w:val="00BB2E5F"/>
    <w:pPr>
      <w:tabs>
        <w:tab w:val="center" w:pos="4153"/>
        <w:tab w:val="right" w:pos="8306"/>
      </w:tabs>
    </w:pPr>
  </w:style>
  <w:style w:type="character" w:customStyle="1" w:styleId="ac">
    <w:name w:val="כותרת תחתונה תו"/>
    <w:basedOn w:val="a0"/>
    <w:link w:val="ab"/>
    <w:uiPriority w:val="99"/>
    <w:semiHidden/>
    <w:rPr>
      <w:rFonts w:ascii="Hadasa Roso SL" w:hAnsi="Hadasa Roso SL" w:cs="Hadasa Roso SL"/>
      <w:color w:val="000000"/>
      <w:spacing w:val="1"/>
      <w:sz w:val="17"/>
      <w:szCs w:val="17"/>
      <w:lang w:eastAsia="ja-JP"/>
    </w:rPr>
  </w:style>
  <w:style w:type="paragraph" w:customStyle="1" w:styleId="HeadDivreiHesber">
    <w:name w:val="Head DivreiHesber"/>
    <w:basedOn w:val="a"/>
    <w:rsid w:val="00BB2E5F"/>
    <w:pPr>
      <w:snapToGrid w:val="0"/>
      <w:spacing w:before="360" w:after="120" w:line="360" w:lineRule="auto"/>
      <w:ind w:firstLine="0"/>
      <w:jc w:val="center"/>
    </w:pPr>
    <w:rPr>
      <w:rFonts w:ascii="Arial" w:eastAsia="Arial Unicode MS" w:hAnsi="Arial" w:cs="David"/>
      <w:b/>
      <w:spacing w:val="40"/>
      <w:sz w:val="20"/>
      <w:szCs w:val="26"/>
    </w:rPr>
  </w:style>
  <w:style w:type="paragraph" w:customStyle="1" w:styleId="Ragil">
    <w:name w:val="Ragil"/>
    <w:basedOn w:val="a"/>
    <w:rsid w:val="00BB2E5F"/>
    <w:pPr>
      <w:snapToGrid w:val="0"/>
      <w:spacing w:before="0" w:line="360" w:lineRule="auto"/>
      <w:jc w:val="left"/>
    </w:pPr>
    <w:rPr>
      <w:rFonts w:ascii="Arial" w:eastAsia="Arial Unicode MS" w:hAnsi="Arial" w:cs="David"/>
      <w:spacing w:val="0"/>
      <w:sz w:val="20"/>
      <w:szCs w:val="26"/>
    </w:rPr>
  </w:style>
  <w:style w:type="paragraph" w:styleId="ad">
    <w:name w:val="Title"/>
    <w:basedOn w:val="a"/>
    <w:link w:val="ae"/>
    <w:uiPriority w:val="10"/>
    <w:qFormat/>
    <w:rsid w:val="00943386"/>
    <w:pPr>
      <w:jc w:val="center"/>
    </w:pPr>
    <w:rPr>
      <w:rFonts w:cs="David"/>
      <w:b/>
      <w:bCs/>
      <w:sz w:val="28"/>
      <w:szCs w:val="28"/>
      <w:u w:val="single"/>
    </w:rPr>
  </w:style>
  <w:style w:type="character" w:customStyle="1" w:styleId="ae">
    <w:name w:val="תואר תו"/>
    <w:basedOn w:val="a0"/>
    <w:link w:val="ad"/>
    <w:uiPriority w:val="10"/>
    <w:rPr>
      <w:rFonts w:asciiTheme="majorHAnsi" w:eastAsiaTheme="majorEastAsia" w:hAnsiTheme="majorHAnsi" w:cstheme="majorBidi"/>
      <w:b/>
      <w:bCs/>
      <w:color w:val="000000"/>
      <w:spacing w:val="1"/>
      <w:kern w:val="28"/>
      <w:sz w:val="32"/>
      <w:szCs w:val="32"/>
      <w:lang w:eastAsia="ja-JP"/>
    </w:rPr>
  </w:style>
  <w:style w:type="character" w:styleId="af">
    <w:name w:val="page number"/>
    <w:basedOn w:val="a0"/>
    <w:uiPriority w:val="99"/>
    <w:rsid w:val="00BB2E5F"/>
    <w:rPr>
      <w:rFonts w:cs="Times New Roman"/>
    </w:rPr>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f0">
    <w:name w:val="Balloon Text"/>
    <w:basedOn w:val="a"/>
    <w:link w:val="af1"/>
    <w:uiPriority w:val="99"/>
    <w:semiHidden/>
    <w:unhideWhenUsed/>
    <w:rsid w:val="00325C14"/>
    <w:pPr>
      <w:spacing w:before="0" w:line="240" w:lineRule="auto"/>
    </w:pPr>
    <w:rPr>
      <w:rFonts w:ascii="Tahoma" w:hAnsi="Tahoma" w:cs="Tahoma"/>
      <w:sz w:val="16"/>
      <w:szCs w:val="16"/>
    </w:rPr>
  </w:style>
  <w:style w:type="character" w:customStyle="1" w:styleId="af1">
    <w:name w:val="טקסט בלונים תו"/>
    <w:basedOn w:val="a0"/>
    <w:link w:val="af0"/>
    <w:uiPriority w:val="99"/>
    <w:semiHidden/>
    <w:locked/>
    <w:rsid w:val="00325C14"/>
    <w:rPr>
      <w:rFonts w:ascii="Tahoma" w:hAnsi="Tahoma" w:cs="Tahoma"/>
      <w:color w:val="000000"/>
      <w:spacing w:val="1"/>
      <w:sz w:val="16"/>
      <w:szCs w:val="16"/>
      <w:lang w:eastAsia="ja-JP"/>
    </w:rPr>
  </w:style>
</w:styles>
</file>

<file path=word/webSettings.xml><?xml version="1.0" encoding="utf-8"?>
<w:webSettings xmlns:r="http://schemas.openxmlformats.org/officeDocument/2006/relationships" xmlns:w="http://schemas.openxmlformats.org/wordprocessingml/2006/main">
  <w:divs>
    <w:div w:id="2051756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62309-2BBC-4226-A22E-CCAE7A8E1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2EF99F-AF66-42CF-BFCD-AB43AB9C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4799</Characters>
  <Application>Microsoft Office Word</Application>
  <DocSecurity>0</DocSecurity>
  <Lines>79</Lines>
  <Paragraphs>31</Paragraphs>
  <ScaleCrop>false</ScaleCrop>
  <Company>Knesset</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לתיקון פקודת הנישואין והגירושין (הסכמי קדם נישואים), התשע"ה2015</dc:title>
  <dc:creator>מיקה צור</dc:creator>
  <cp:lastModifiedBy>bb bt</cp:lastModifiedBy>
  <cp:revision>2</cp:revision>
  <cp:lastPrinted>2015-05-03T11:10:00Z</cp:lastPrinted>
  <dcterms:created xsi:type="dcterms:W3CDTF">2015-06-09T11:33:00Z</dcterms:created>
  <dcterms:modified xsi:type="dcterms:W3CDTF">2015-06-09T11:33:00Z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0354fdee-f711-4d2a-9cf2-2d1c4d9ac92a</vt:lpwstr>
  </property>
  <property fmtid="{D5CDD505-2E9C-101B-9397-08002B2CF9AE}" pid="4" name="SanhedrinDocumentType">
    <vt:r8>10</vt:r8>
  </property>
  <property fmtid="{D5CDD505-2E9C-101B-9397-08002B2CF9AE}" pid="5" name="SanhedrinItemID">
    <vt:r8>562494</vt:r8>
  </property>
  <property fmtid="{D5CDD505-2E9C-101B-9397-08002B2CF9AE}" pid="6" name="Autonumber">
    <vt:lpwstr>305147</vt:lpwstr>
  </property>
  <property fmtid="{D5CDD505-2E9C-101B-9397-08002B2CF9AE}" pid="7" name="title">
    <vt:lpwstr>הצעת חוק לתיקון פקודת הנישואין והגירושין (הסכמי קדם נישואים), התשע"ה2015</vt:lpwstr>
  </property>
  <property fmtid="{D5CDD505-2E9C-101B-9397-08002B2CF9AE}" pid="8" name="SDAuthor">
    <vt:lpwstr>בן צדוק</vt:lpwstr>
  </property>
  <property fmtid="{D5CDD505-2E9C-101B-9397-08002B2CF9AE}" pid="9" name="SDDocDate">
    <vt:lpwstr>2015-04-01T16:40:37+03:00</vt:lpwstr>
  </property>
  <property fmtid="{D5CDD505-2E9C-101B-9397-08002B2CF9AE}" pid="10" name="LSITEMID">
    <vt:lpwstr>562494</vt:lpwstr>
  </property>
  <property fmtid="{D5CDD505-2E9C-101B-9397-08002B2CF9AE}" pid="11" name="LSSUBJECT">
    <vt:lpwstr>הצעת חוק לתיקון פקודת הנישואין והגירושין (הסכמי קדם נישואים), התשע"ה2015</vt:lpwstr>
  </property>
  <property fmtid="{D5CDD505-2E9C-101B-9397-08002B2CF9AE}" pid="12" name="LSKNESSETID">
    <vt:lpwstr>20</vt:lpwstr>
  </property>
  <property fmtid="{D5CDD505-2E9C-101B-9397-08002B2CF9AE}" pid="13" name="USNAME">
    <vt:lpwstr> </vt:lpwstr>
  </property>
  <property fmtid="{D5CDD505-2E9C-101B-9397-08002B2CF9AE}" pid="14" name="DTCOUNTER">
    <vt:lpwstr>846639</vt:lpwstr>
  </property>
  <property fmtid="{D5CDD505-2E9C-101B-9397-08002B2CF9AE}" pid="15" name="תאריך הנחה">
    <vt:lpwstr>05/04/2015</vt:lpwstr>
  </property>
  <property fmtid="{D5CDD505-2E9C-101B-9397-08002B2CF9AE}" pid="16" name="PLACE_DATE">
    <vt:lpwstr>04/05/2015 00:00:00</vt:lpwstr>
  </property>
  <property fmtid="{D5CDD505-2E9C-101B-9397-08002B2CF9AE}" pid="17" name="VAADA">
    <vt:lpwstr/>
  </property>
  <property fmtid="{D5CDD505-2E9C-101B-9397-08002B2CF9AE}" pid="18" name="YOZEMHATZAA_CHAKLIST">
    <vt:lpwstr>אורלי לוי אבקסיס</vt:lpwstr>
  </property>
  <property fmtid="{D5CDD505-2E9C-101B-9397-08002B2CF9AE}" pid="19" name="YOZEMID">
    <vt:lpwstr>000012952</vt:lpwstr>
  </property>
  <property fmtid="{D5CDD505-2E9C-101B-9397-08002B2CF9AE}" pid="20" name="PROPOSER">
    <vt:lpwstr/>
  </property>
  <property fmtid="{D5CDD505-2E9C-101B-9397-08002B2CF9AE}" pid="21" name="PROPOSERID">
    <vt:lpwstr/>
  </property>
  <property fmtid="{D5CDD505-2E9C-101B-9397-08002B2CF9AE}" pid="22" name="MISHATZAATCHOK">
    <vt:lpwstr>פ/411/20</vt:lpwstr>
  </property>
</Properties>
</file>