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6B" w:rsidRPr="00DB7060" w:rsidRDefault="00FA3D6B" w:rsidP="00FA3D6B">
      <w:pPr>
        <w:pStyle w:val="HeadHatzaotHok"/>
        <w:rPr>
          <w:sz w:val="28"/>
          <w:szCs w:val="28"/>
          <w:rtl/>
        </w:rPr>
      </w:pPr>
      <w:r w:rsidRPr="00DB7060">
        <w:rPr>
          <w:sz w:val="28"/>
          <w:szCs w:val="28"/>
          <w:rtl/>
        </w:rPr>
        <w:t xml:space="preserve">הכנסת </w:t>
      </w:r>
      <w:bookmarkStart w:id="0" w:name="KnessetNum"/>
      <w:r w:rsidRPr="00B40CC0">
        <w:rPr>
          <w:sz w:val="28"/>
          <w:szCs w:val="28"/>
          <w:rtl/>
        </w:rPr>
        <w:t>השמונה-עשרה</w:t>
      </w:r>
      <w:bookmarkEnd w:id="0"/>
    </w:p>
    <w:p w:rsidR="00FA3D6B" w:rsidRDefault="00FA3D6B" w:rsidP="00FA3D6B">
      <w:pPr>
        <w:rPr>
          <w:rFonts w:cs="David"/>
          <w:sz w:val="26"/>
          <w:szCs w:val="26"/>
          <w:rtl/>
        </w:rPr>
      </w:pPr>
    </w:p>
    <w:p w:rsidR="00FA3D6B" w:rsidRPr="00A056C1" w:rsidRDefault="00A056C1" w:rsidP="00FA3D6B">
      <w:pPr>
        <w:pStyle w:val="David"/>
        <w:ind w:left="2880" w:firstLine="720"/>
        <w:rPr>
          <w:b/>
          <w:bCs/>
        </w:rPr>
      </w:pPr>
      <w:bookmarkStart w:id="1" w:name="MKsSingleOrMulti"/>
      <w:r>
        <w:rPr>
          <w:b/>
          <w:bCs/>
          <w:rtl/>
        </w:rPr>
        <w:t>יוזמים:</w:t>
      </w:r>
      <w:r>
        <w:rPr>
          <w:b/>
          <w:bCs/>
          <w:rtl/>
        </w:rPr>
        <w:tab/>
      </w:r>
      <w:r w:rsidR="00FA3D6B" w:rsidRPr="00A056C1">
        <w:rPr>
          <w:b/>
          <w:bCs/>
          <w:rtl/>
        </w:rPr>
        <w:t xml:space="preserve">  חברי הכנסת</w:t>
      </w:r>
      <w:r>
        <w:rPr>
          <w:b/>
          <w:bCs/>
        </w:rPr>
        <w:tab/>
      </w:r>
      <w:r w:rsidR="00FA3D6B" w:rsidRPr="00A056C1">
        <w:rPr>
          <w:b/>
          <w:bCs/>
          <w:rtl/>
        </w:rPr>
        <w:t>זהבה גלאון</w:t>
      </w:r>
    </w:p>
    <w:p w:rsidR="00FA3D6B" w:rsidRPr="00125B64" w:rsidRDefault="00A056C1" w:rsidP="00FA3D6B">
      <w:pPr>
        <w:pStyle w:val="David"/>
        <w:ind w:left="2880" w:firstLine="720"/>
        <w:rPr>
          <w:b/>
          <w:bCs/>
        </w:rPr>
      </w:pPr>
      <w:r>
        <w:rPr>
          <w:b/>
          <w:bCs/>
        </w:rPr>
        <w:tab/>
      </w:r>
      <w:r>
        <w:rPr>
          <w:b/>
          <w:bCs/>
        </w:rPr>
        <w:tab/>
      </w:r>
      <w:r>
        <w:rPr>
          <w:b/>
          <w:bCs/>
        </w:rPr>
        <w:tab/>
      </w:r>
      <w:r w:rsidR="00FA3D6B" w:rsidRPr="00125B64">
        <w:rPr>
          <w:b/>
          <w:bCs/>
        </w:rPr>
        <w:tab/>
      </w:r>
      <w:r w:rsidR="00FA3D6B">
        <w:rPr>
          <w:b/>
          <w:bCs/>
          <w:rtl/>
        </w:rPr>
        <w:t>ניצן הורוביץ</w:t>
      </w:r>
    </w:p>
    <w:p w:rsidR="00FA3D6B" w:rsidRDefault="00A056C1" w:rsidP="00FA3D6B">
      <w:pPr>
        <w:pStyle w:val="David"/>
        <w:ind w:left="2880" w:firstLine="720"/>
        <w:rPr>
          <w:b/>
          <w:bCs/>
          <w:rtl/>
        </w:rPr>
      </w:pPr>
      <w:r>
        <w:rPr>
          <w:b/>
          <w:bCs/>
        </w:rPr>
        <w:tab/>
      </w:r>
      <w:r>
        <w:rPr>
          <w:b/>
          <w:bCs/>
        </w:rPr>
        <w:tab/>
      </w:r>
      <w:r>
        <w:rPr>
          <w:b/>
          <w:bCs/>
        </w:rPr>
        <w:tab/>
      </w:r>
      <w:r w:rsidR="00FA3D6B" w:rsidRPr="00125B64">
        <w:rPr>
          <w:b/>
          <w:bCs/>
        </w:rPr>
        <w:tab/>
      </w:r>
      <w:r w:rsidR="00FA3D6B">
        <w:rPr>
          <w:b/>
          <w:bCs/>
          <w:rtl/>
        </w:rPr>
        <w:t>אורית זוארץ</w:t>
      </w:r>
    </w:p>
    <w:p w:rsidR="00A056C1" w:rsidRPr="00125B64" w:rsidRDefault="00A056C1" w:rsidP="00FA3D6B">
      <w:pPr>
        <w:pStyle w:val="David"/>
        <w:ind w:left="2880" w:firstLine="720"/>
        <w:rPr>
          <w:b/>
          <w:bCs/>
        </w:rPr>
      </w:pPr>
    </w:p>
    <w:p w:rsidR="00FA3D6B" w:rsidRPr="00A056C1" w:rsidRDefault="0010166C" w:rsidP="00FA3D6B">
      <w:pPr>
        <w:pStyle w:val="David"/>
        <w:ind w:left="2880" w:firstLine="720"/>
      </w:pPr>
      <w:r>
        <w:rPr>
          <w:noProof/>
          <w:lang w:eastAsia="en-US"/>
        </w:rPr>
        <w:pict>
          <v:line id="_x0000_s1026" style="position:absolute;left:0;text-align:left;z-index:251658240" from="-13.65pt,3.1pt" to="286.35pt,3.1pt">
            <w10:wrap anchorx="page"/>
          </v:line>
        </w:pict>
      </w:r>
      <w:r w:rsidR="00A056C1" w:rsidRPr="00A056C1">
        <w:rPr>
          <w:rtl/>
        </w:rPr>
        <w:t>מצטרפים:</w:t>
      </w:r>
      <w:r w:rsidR="00FA3D6B" w:rsidRPr="00A056C1">
        <w:tab/>
      </w:r>
      <w:r w:rsidR="00A056C1" w:rsidRPr="00A056C1">
        <w:rPr>
          <w:rtl/>
        </w:rPr>
        <w:t>חברי הכנסת</w:t>
      </w:r>
      <w:r w:rsidR="00A056C1" w:rsidRPr="00A056C1">
        <w:tab/>
      </w:r>
      <w:r w:rsidR="00FA3D6B" w:rsidRPr="00A056C1">
        <w:rPr>
          <w:rtl/>
        </w:rPr>
        <w:t>אילן גילאון</w:t>
      </w:r>
    </w:p>
    <w:p w:rsidR="00FA3D6B" w:rsidRPr="00E55861" w:rsidRDefault="00FA3D6B" w:rsidP="00FA3D6B">
      <w:pPr>
        <w:ind w:left="2880" w:firstLine="720"/>
        <w:rPr>
          <w:rFonts w:cs="David"/>
          <w:sz w:val="26"/>
          <w:szCs w:val="26"/>
        </w:rPr>
      </w:pPr>
      <w:r>
        <w:rPr>
          <w:rFonts w:cs="David"/>
          <w:sz w:val="26"/>
          <w:szCs w:val="26"/>
        </w:rPr>
        <w:tab/>
      </w:r>
      <w:r>
        <w:rPr>
          <w:rFonts w:cs="David"/>
          <w:sz w:val="26"/>
          <w:szCs w:val="26"/>
        </w:rPr>
        <w:tab/>
      </w:r>
      <w:r w:rsidRPr="00E55861">
        <w:rPr>
          <w:rFonts w:cs="David"/>
          <w:sz w:val="26"/>
          <w:szCs w:val="26"/>
        </w:rPr>
        <w:tab/>
      </w:r>
      <w:r w:rsidRPr="00E55861">
        <w:rPr>
          <w:rFonts w:cs="David"/>
          <w:sz w:val="26"/>
          <w:szCs w:val="26"/>
        </w:rPr>
        <w:tab/>
      </w:r>
      <w:r>
        <w:rPr>
          <w:rFonts w:cs="David"/>
          <w:sz w:val="26"/>
          <w:szCs w:val="26"/>
          <w:rtl/>
        </w:rPr>
        <w:t>דב חנין</w:t>
      </w:r>
    </w:p>
    <w:p w:rsidR="00FA3D6B" w:rsidRPr="00E55861" w:rsidRDefault="00A056C1" w:rsidP="00A056C1">
      <w:pPr>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sidR="00FA3D6B" w:rsidRPr="00E55861">
        <w:rPr>
          <w:rFonts w:cs="David"/>
          <w:sz w:val="26"/>
          <w:szCs w:val="26"/>
        </w:rPr>
        <w:tab/>
      </w:r>
      <w:r w:rsidR="00FA3D6B" w:rsidRPr="00E55861">
        <w:rPr>
          <w:rFonts w:cs="David"/>
          <w:sz w:val="26"/>
          <w:szCs w:val="26"/>
        </w:rPr>
        <w:tab/>
      </w:r>
      <w:r w:rsidR="00FA3D6B" w:rsidRPr="00E55861">
        <w:rPr>
          <w:rFonts w:cs="David"/>
          <w:sz w:val="26"/>
          <w:szCs w:val="26"/>
        </w:rPr>
        <w:tab/>
      </w:r>
      <w:r w:rsidR="00FA3D6B" w:rsidRPr="00E55861">
        <w:rPr>
          <w:rFonts w:cs="David"/>
          <w:sz w:val="26"/>
          <w:szCs w:val="26"/>
        </w:rPr>
        <w:tab/>
      </w:r>
      <w:r w:rsidR="00FA3D6B" w:rsidRPr="00E55861">
        <w:rPr>
          <w:rFonts w:cs="David"/>
          <w:sz w:val="26"/>
          <w:szCs w:val="26"/>
        </w:rPr>
        <w:tab/>
      </w:r>
      <w:r w:rsidR="00FA3D6B">
        <w:rPr>
          <w:rFonts w:cs="David"/>
          <w:sz w:val="26"/>
          <w:szCs w:val="26"/>
          <w:rtl/>
        </w:rPr>
        <w:t>יוחנן פלסנר</w:t>
      </w:r>
    </w:p>
    <w:p w:rsidR="00FA3D6B" w:rsidRDefault="00A056C1" w:rsidP="00A056C1">
      <w:pPr>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sidR="00FA3D6B" w:rsidRPr="00E55861">
        <w:rPr>
          <w:rFonts w:cs="David"/>
          <w:sz w:val="26"/>
          <w:szCs w:val="26"/>
        </w:rPr>
        <w:tab/>
      </w:r>
      <w:r w:rsidR="00FA3D6B" w:rsidRPr="00E55861">
        <w:rPr>
          <w:rFonts w:cs="David"/>
          <w:sz w:val="26"/>
          <w:szCs w:val="26"/>
        </w:rPr>
        <w:tab/>
      </w:r>
      <w:r w:rsidR="00FA3D6B" w:rsidRPr="00E55861">
        <w:rPr>
          <w:rFonts w:cs="David"/>
          <w:sz w:val="26"/>
          <w:szCs w:val="26"/>
        </w:rPr>
        <w:tab/>
      </w:r>
      <w:r w:rsidR="00FA3D6B" w:rsidRPr="00E55861">
        <w:rPr>
          <w:rFonts w:cs="David"/>
          <w:sz w:val="26"/>
          <w:szCs w:val="26"/>
        </w:rPr>
        <w:tab/>
      </w:r>
      <w:r w:rsidR="00FA3D6B" w:rsidRPr="00E55861">
        <w:rPr>
          <w:rFonts w:cs="David"/>
          <w:sz w:val="26"/>
          <w:szCs w:val="26"/>
        </w:rPr>
        <w:tab/>
      </w:r>
      <w:r w:rsidR="00FA3D6B">
        <w:rPr>
          <w:rFonts w:cs="David"/>
          <w:sz w:val="26"/>
          <w:szCs w:val="26"/>
          <w:rtl/>
        </w:rPr>
        <w:t>נחמן שי</w:t>
      </w:r>
    </w:p>
    <w:p w:rsidR="00FA3D6B" w:rsidRPr="00B40CC0" w:rsidRDefault="00FA3D6B" w:rsidP="00A056C1">
      <w:pPr>
        <w:ind w:left="2160" w:firstLine="720"/>
        <w:rPr>
          <w:rFonts w:cs="David"/>
          <w:sz w:val="26"/>
          <w:szCs w:val="26"/>
          <w:rtl/>
        </w:rPr>
      </w:pPr>
      <w:r>
        <w:rPr>
          <w:rFonts w:cs="David"/>
          <w:sz w:val="26"/>
          <w:szCs w:val="26"/>
          <w:rtl/>
        </w:rPr>
        <w:t xml:space="preserve">                                                       </w:t>
      </w:r>
      <w:r>
        <w:rPr>
          <w:rFonts w:cs="David"/>
          <w:sz w:val="26"/>
          <w:szCs w:val="26"/>
        </w:rPr>
        <w:tab/>
      </w:r>
      <w:r w:rsidRPr="00B40CC0">
        <w:rPr>
          <w:rFonts w:cs="David"/>
          <w:sz w:val="26"/>
          <w:szCs w:val="26"/>
          <w:rtl/>
        </w:rPr>
        <w:t>מרינה סולודקין</w:t>
      </w:r>
    </w:p>
    <w:p w:rsidR="00FA3D6B" w:rsidRPr="00B40CC0" w:rsidRDefault="00A056C1" w:rsidP="00A056C1">
      <w:pPr>
        <w:rPr>
          <w:rFonts w:cs="David"/>
          <w:sz w:val="26"/>
          <w:szCs w:val="26"/>
          <w:rtl/>
        </w:rPr>
      </w:pPr>
      <w:r>
        <w:rPr>
          <w:rFonts w:cs="David"/>
          <w:sz w:val="26"/>
          <w:szCs w:val="26"/>
          <w:rtl/>
        </w:rPr>
        <w:tab/>
      </w:r>
      <w:r>
        <w:rPr>
          <w:rFonts w:cs="David"/>
          <w:sz w:val="26"/>
          <w:szCs w:val="26"/>
          <w:rtl/>
        </w:rPr>
        <w:tab/>
      </w:r>
      <w:r>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Pr>
          <w:rFonts w:cs="David"/>
          <w:sz w:val="26"/>
          <w:szCs w:val="26"/>
          <w:rtl/>
        </w:rPr>
        <w:t xml:space="preserve">            </w:t>
      </w:r>
      <w:r w:rsidR="00FA3D6B" w:rsidRPr="00B40CC0">
        <w:rPr>
          <w:rFonts w:cs="David"/>
          <w:sz w:val="26"/>
          <w:szCs w:val="26"/>
          <w:rtl/>
        </w:rPr>
        <w:t>עינת וילף</w:t>
      </w:r>
    </w:p>
    <w:p w:rsidR="00FA3D6B" w:rsidRDefault="00A056C1" w:rsidP="00A056C1">
      <w:pPr>
        <w:rPr>
          <w:rFonts w:cs="David"/>
          <w:sz w:val="26"/>
          <w:szCs w:val="26"/>
          <w:rtl/>
        </w:rPr>
      </w:pPr>
      <w:r>
        <w:rPr>
          <w:rFonts w:cs="David"/>
          <w:sz w:val="26"/>
          <w:szCs w:val="26"/>
          <w:rtl/>
        </w:rPr>
        <w:tab/>
      </w:r>
      <w:r>
        <w:rPr>
          <w:rFonts w:cs="David"/>
          <w:sz w:val="26"/>
          <w:szCs w:val="26"/>
          <w:rtl/>
        </w:rPr>
        <w:tab/>
      </w:r>
      <w:r>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sidRPr="00B40CC0">
        <w:rPr>
          <w:rFonts w:cs="David"/>
          <w:sz w:val="26"/>
          <w:szCs w:val="26"/>
          <w:rtl/>
        </w:rPr>
        <w:tab/>
      </w:r>
      <w:r w:rsidR="00FA3D6B">
        <w:rPr>
          <w:rFonts w:cs="David"/>
          <w:sz w:val="26"/>
          <w:szCs w:val="26"/>
          <w:rtl/>
        </w:rPr>
        <w:t xml:space="preserve">            </w:t>
      </w:r>
      <w:r w:rsidR="00FA3D6B" w:rsidRPr="00B40CC0">
        <w:rPr>
          <w:rFonts w:cs="David"/>
          <w:sz w:val="26"/>
          <w:szCs w:val="26"/>
          <w:rtl/>
        </w:rPr>
        <w:t>אבישי ברוורמן</w:t>
      </w:r>
    </w:p>
    <w:p w:rsidR="00883C6C" w:rsidRDefault="00883C6C" w:rsidP="00A056C1">
      <w:pPr>
        <w:rPr>
          <w:rFonts w:cs="David"/>
          <w:sz w:val="26"/>
          <w:szCs w:val="26"/>
          <w:rtl/>
        </w:rPr>
      </w:pPr>
    </w:p>
    <w:p w:rsidR="00FA3D6B" w:rsidRDefault="00FA3D6B" w:rsidP="00FA3D6B">
      <w:pPr>
        <w:ind w:left="2880" w:firstLine="720"/>
        <w:rPr>
          <w:rFonts w:cs="David"/>
          <w:sz w:val="26"/>
          <w:szCs w:val="26"/>
          <w:rtl/>
        </w:rPr>
      </w:pPr>
      <w:r>
        <w:rPr>
          <w:rFonts w:cs="David"/>
          <w:sz w:val="26"/>
          <w:szCs w:val="26"/>
          <w:rtl/>
        </w:rPr>
        <w:tab/>
      </w:r>
      <w:r w:rsidR="00A056C1">
        <w:rPr>
          <w:rFonts w:cs="David"/>
          <w:sz w:val="26"/>
          <w:szCs w:val="26"/>
          <w:rtl/>
        </w:rPr>
        <w:tab/>
      </w:r>
      <w:r w:rsidR="00A056C1">
        <w:rPr>
          <w:rFonts w:cs="David"/>
          <w:sz w:val="26"/>
          <w:szCs w:val="26"/>
          <w:rtl/>
        </w:rPr>
        <w:tab/>
      </w:r>
      <w:r w:rsidR="00A056C1">
        <w:rPr>
          <w:rFonts w:cs="David"/>
          <w:sz w:val="26"/>
          <w:szCs w:val="26"/>
          <w:rtl/>
        </w:rPr>
        <w:tab/>
        <w:t>פ/3669/18</w:t>
      </w:r>
      <w:r>
        <w:rPr>
          <w:rFonts w:cs="David"/>
          <w:sz w:val="26"/>
          <w:szCs w:val="26"/>
          <w:rtl/>
        </w:rPr>
        <w:tab/>
      </w:r>
      <w:r>
        <w:rPr>
          <w:rFonts w:cs="David"/>
          <w:sz w:val="26"/>
          <w:szCs w:val="26"/>
          <w:rtl/>
        </w:rPr>
        <w:tab/>
      </w:r>
      <w:r w:rsidR="0010166C">
        <w:rPr>
          <w:noProof/>
          <w:lang w:eastAsia="en-US"/>
        </w:rPr>
        <w:pict>
          <v:line id="_x0000_s1027" style="position:absolute;left:0;text-align:left;z-index:251657216;mso-position-horizontal-relative:text;mso-position-vertical-relative:text"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p>
    <w:p w:rsidR="00FA3D6B" w:rsidRDefault="00FA3D6B" w:rsidP="00FA3D6B">
      <w:pPr>
        <w:pStyle w:val="HeadHatzaotHok"/>
        <w:tabs>
          <w:tab w:val="left" w:pos="4071"/>
          <w:tab w:val="center" w:pos="4819"/>
        </w:tabs>
        <w:spacing w:before="0"/>
        <w:rPr>
          <w:sz w:val="26"/>
          <w:rtl/>
        </w:rPr>
      </w:pPr>
      <w:bookmarkStart w:id="2" w:name="Title"/>
      <w:bookmarkEnd w:id="1"/>
      <w:r w:rsidRPr="00985B40">
        <w:rPr>
          <w:sz w:val="26"/>
          <w:rtl/>
        </w:rPr>
        <w:t xml:space="preserve">הצעת חוק שיפוט בעניני התרת נישואין (מקרים מיוחדים וסמכות בין-לאומית) (תיקון </w:t>
      </w:r>
      <w:r>
        <w:rPr>
          <w:sz w:val="26"/>
          <w:rtl/>
        </w:rPr>
        <w:t>–</w:t>
      </w:r>
      <w:r w:rsidRPr="00985B40">
        <w:rPr>
          <w:sz w:val="26"/>
          <w:rtl/>
        </w:rPr>
        <w:t xml:space="preserve"> התרת נישואין אזרחיים), התשע"ב</w:t>
      </w:r>
      <w:r>
        <w:rPr>
          <w:sz w:val="26"/>
          <w:rtl/>
        </w:rPr>
        <w:t>–</w:t>
      </w:r>
      <w:r w:rsidRPr="00985B40">
        <w:rPr>
          <w:sz w:val="26"/>
          <w:rtl/>
        </w:rPr>
        <w:t>2011</w:t>
      </w:r>
      <w:bookmarkEnd w:id="2"/>
    </w:p>
    <w:p w:rsidR="00A056C1" w:rsidRDefault="00A056C1" w:rsidP="00FA3D6B">
      <w:pPr>
        <w:pStyle w:val="HeadHatzaotHok"/>
        <w:tabs>
          <w:tab w:val="left" w:pos="4071"/>
          <w:tab w:val="center" w:pos="4819"/>
        </w:tabs>
        <w:spacing w:before="0"/>
        <w:rPr>
          <w:sz w:val="26"/>
          <w:rtl/>
        </w:rPr>
      </w:pPr>
    </w:p>
    <w:tbl>
      <w:tblPr>
        <w:bidiVisual/>
        <w:tblW w:w="9638" w:type="dxa"/>
        <w:tblLayout w:type="fixed"/>
        <w:tblCellMar>
          <w:top w:w="57" w:type="dxa"/>
          <w:left w:w="0" w:type="dxa"/>
          <w:bottom w:w="57" w:type="dxa"/>
          <w:right w:w="0" w:type="dxa"/>
        </w:tblCellMar>
        <w:tblLook w:val="01E0"/>
      </w:tblPr>
      <w:tblGrid>
        <w:gridCol w:w="1870"/>
        <w:gridCol w:w="624"/>
        <w:gridCol w:w="624"/>
        <w:gridCol w:w="6520"/>
      </w:tblGrid>
      <w:tr w:rsidR="00A056C1" w:rsidTr="00A056C1">
        <w:trPr>
          <w:cantSplit/>
          <w:trHeight w:val="60"/>
        </w:trPr>
        <w:tc>
          <w:tcPr>
            <w:tcW w:w="1870" w:type="dxa"/>
          </w:tcPr>
          <w:p w:rsidR="00A056C1" w:rsidRPr="00486BAF" w:rsidRDefault="00A056C1" w:rsidP="00A056C1">
            <w:pPr>
              <w:pStyle w:val="TableSideHeading"/>
              <w:rPr>
                <w:rtl/>
              </w:rPr>
            </w:pPr>
            <w:r>
              <w:rPr>
                <w:rtl/>
              </w:rPr>
              <w:t>תיקון סעיף 1</w:t>
            </w:r>
            <w:r w:rsidRPr="00486BAF">
              <w:rPr>
                <w:rtl/>
              </w:rPr>
              <w:t xml:space="preserve"> </w:t>
            </w:r>
          </w:p>
          <w:p w:rsidR="00A056C1" w:rsidRDefault="00A056C1">
            <w:pPr>
              <w:pStyle w:val="TableSideHeading"/>
            </w:pPr>
          </w:p>
        </w:tc>
        <w:tc>
          <w:tcPr>
            <w:tcW w:w="624" w:type="dxa"/>
          </w:tcPr>
          <w:p w:rsidR="00A056C1" w:rsidRDefault="00A056C1">
            <w:pPr>
              <w:pStyle w:val="TableText"/>
            </w:pPr>
            <w:r>
              <w:rPr>
                <w:rtl/>
              </w:rPr>
              <w:t>1.</w:t>
            </w:r>
          </w:p>
        </w:tc>
        <w:tc>
          <w:tcPr>
            <w:tcW w:w="7144" w:type="dxa"/>
            <w:gridSpan w:val="2"/>
          </w:tcPr>
          <w:p w:rsidR="00A056C1" w:rsidRPr="00C34DE2" w:rsidRDefault="00A056C1">
            <w:pPr>
              <w:pStyle w:val="TableBlock"/>
            </w:pPr>
            <w:r>
              <w:rPr>
                <w:rtl/>
              </w:rPr>
              <w:t xml:space="preserve">בחוק </w:t>
            </w:r>
            <w:r w:rsidRPr="00486BAF">
              <w:rPr>
                <w:rtl/>
              </w:rPr>
              <w:t xml:space="preserve">שיפוט בעניני התרת נישואין (מקרים מיוחדים וסמכות בין-לאומית), </w:t>
            </w:r>
            <w:r>
              <w:rPr>
                <w:rtl/>
              </w:rPr>
              <w:t>ה</w:t>
            </w:r>
            <w:r w:rsidRPr="00486BAF">
              <w:rPr>
                <w:rtl/>
              </w:rPr>
              <w:t>תשכ"ט</w:t>
            </w:r>
            <w:r>
              <w:rPr>
                <w:rtl/>
              </w:rPr>
              <w:t>–</w:t>
            </w:r>
            <w:r w:rsidRPr="00486BAF">
              <w:rPr>
                <w:rtl/>
              </w:rPr>
              <w:t>1969</w:t>
            </w:r>
            <w:r>
              <w:rPr>
                <w:rStyle w:val="a7"/>
                <w:rtl/>
              </w:rPr>
              <w:footnoteReference w:id="2"/>
            </w:r>
            <w:r>
              <w:rPr>
                <w:rtl/>
              </w:rPr>
              <w:t xml:space="preserve"> (להלן – החוק העיקרי), בסעיף 1(ב), אחרי</w:t>
            </w:r>
            <w:r w:rsidRPr="00486BAF">
              <w:rPr>
                <w:rtl/>
              </w:rPr>
              <w:t xml:space="preserve"> פסקה (2) יבוא:</w:t>
            </w:r>
          </w:p>
        </w:tc>
      </w:tr>
      <w:tr w:rsidR="00A056C1" w:rsidTr="00A056C1">
        <w:trPr>
          <w:cantSplit/>
          <w:trHeight w:val="60"/>
        </w:trPr>
        <w:tc>
          <w:tcPr>
            <w:tcW w:w="1870" w:type="dxa"/>
          </w:tcPr>
          <w:p w:rsidR="00A056C1" w:rsidRDefault="00A056C1">
            <w:pPr>
              <w:pStyle w:val="TableSideHeading"/>
            </w:pPr>
          </w:p>
        </w:tc>
        <w:tc>
          <w:tcPr>
            <w:tcW w:w="624" w:type="dxa"/>
          </w:tcPr>
          <w:p w:rsidR="00A056C1" w:rsidRDefault="00A056C1">
            <w:pPr>
              <w:pStyle w:val="TableText"/>
            </w:pPr>
          </w:p>
        </w:tc>
        <w:tc>
          <w:tcPr>
            <w:tcW w:w="7144" w:type="dxa"/>
            <w:gridSpan w:val="2"/>
          </w:tcPr>
          <w:p w:rsidR="00A056C1" w:rsidRDefault="00A056C1">
            <w:pPr>
              <w:pStyle w:val="TableBlock"/>
            </w:pPr>
            <w:r>
              <w:rPr>
                <w:rtl/>
              </w:rPr>
              <w:t>"(3)</w:t>
            </w:r>
            <w:r>
              <w:rPr>
                <w:rtl/>
              </w:rPr>
              <w:tab/>
            </w:r>
            <w:r w:rsidRPr="00486BAF">
              <w:rPr>
                <w:rtl/>
              </w:rPr>
              <w:t xml:space="preserve">שני בני זוג בני עדה דתית אחת, </w:t>
            </w:r>
            <w:r>
              <w:rPr>
                <w:rtl/>
              </w:rPr>
              <w:t>ש</w:t>
            </w:r>
            <w:r w:rsidRPr="00486BAF">
              <w:rPr>
                <w:rtl/>
              </w:rPr>
              <w:t>נישאו בנישואין  אזרחיים והוכרו לצורך מרשם האוכלוסין כזוג נשוי."</w:t>
            </w:r>
          </w:p>
        </w:tc>
      </w:tr>
      <w:tr w:rsidR="00A056C1" w:rsidTr="00A056C1">
        <w:trPr>
          <w:cantSplit/>
          <w:trHeight w:val="60"/>
        </w:trPr>
        <w:tc>
          <w:tcPr>
            <w:tcW w:w="1870" w:type="dxa"/>
          </w:tcPr>
          <w:p w:rsidR="00A056C1" w:rsidRDefault="00A056C1" w:rsidP="00A056C1">
            <w:pPr>
              <w:pStyle w:val="TableSideHeading"/>
            </w:pPr>
            <w:r>
              <w:rPr>
                <w:rtl/>
              </w:rPr>
              <w:t>תיקון סעיף 3</w:t>
            </w:r>
          </w:p>
        </w:tc>
        <w:tc>
          <w:tcPr>
            <w:tcW w:w="624" w:type="dxa"/>
          </w:tcPr>
          <w:p w:rsidR="00A056C1" w:rsidRDefault="00A056C1" w:rsidP="00A056C1">
            <w:pPr>
              <w:pStyle w:val="TableText"/>
            </w:pPr>
            <w:r>
              <w:rPr>
                <w:rtl/>
              </w:rPr>
              <w:t>2.</w:t>
            </w:r>
          </w:p>
        </w:tc>
        <w:tc>
          <w:tcPr>
            <w:tcW w:w="7144" w:type="dxa"/>
            <w:gridSpan w:val="2"/>
          </w:tcPr>
          <w:p w:rsidR="00A056C1" w:rsidRDefault="00A056C1">
            <w:pPr>
              <w:pStyle w:val="TableBlock"/>
              <w:rPr>
                <w:rtl/>
              </w:rPr>
            </w:pPr>
            <w:r w:rsidRPr="00486BAF">
              <w:rPr>
                <w:rtl/>
              </w:rPr>
              <w:t>ב</w:t>
            </w:r>
            <w:r>
              <w:rPr>
                <w:rtl/>
              </w:rPr>
              <w:t>סעיף 3</w:t>
            </w:r>
            <w:r w:rsidRPr="004D7BDD">
              <w:rPr>
                <w:rtl/>
              </w:rPr>
              <w:t xml:space="preserve"> לחוק העיקרי</w:t>
            </w:r>
            <w:r>
              <w:rPr>
                <w:rtl/>
              </w:rPr>
              <w:t xml:space="preserve"> –</w:t>
            </w:r>
          </w:p>
        </w:tc>
      </w:tr>
      <w:tr w:rsidR="00A056C1" w:rsidTr="00A056C1">
        <w:trPr>
          <w:cantSplit/>
          <w:trHeight w:val="60"/>
        </w:trPr>
        <w:tc>
          <w:tcPr>
            <w:tcW w:w="1870" w:type="dxa"/>
          </w:tcPr>
          <w:p w:rsidR="00A056C1" w:rsidRDefault="00A056C1">
            <w:pPr>
              <w:pStyle w:val="TableSideHeading"/>
            </w:pPr>
          </w:p>
        </w:tc>
        <w:tc>
          <w:tcPr>
            <w:tcW w:w="624" w:type="dxa"/>
          </w:tcPr>
          <w:p w:rsidR="00A056C1" w:rsidRDefault="00A056C1">
            <w:pPr>
              <w:pStyle w:val="TableText"/>
            </w:pPr>
          </w:p>
        </w:tc>
        <w:tc>
          <w:tcPr>
            <w:tcW w:w="624" w:type="dxa"/>
          </w:tcPr>
          <w:p w:rsidR="00A056C1" w:rsidRDefault="00A056C1">
            <w:pPr>
              <w:pStyle w:val="TableText"/>
            </w:pPr>
            <w:r>
              <w:rPr>
                <w:rtl/>
              </w:rPr>
              <w:t>(1)</w:t>
            </w:r>
          </w:p>
        </w:tc>
        <w:tc>
          <w:tcPr>
            <w:tcW w:w="6520" w:type="dxa"/>
          </w:tcPr>
          <w:p w:rsidR="00A056C1" w:rsidRDefault="00A056C1">
            <w:pPr>
              <w:pStyle w:val="TableBlock"/>
            </w:pPr>
            <w:r>
              <w:rPr>
                <w:rtl/>
              </w:rPr>
              <w:t>בסעיף קטן (א), אחרי פסקה (1) יבוא:</w:t>
            </w:r>
          </w:p>
        </w:tc>
      </w:tr>
      <w:tr w:rsidR="00A056C1" w:rsidTr="00A056C1">
        <w:trPr>
          <w:cantSplit/>
          <w:trHeight w:val="60"/>
        </w:trPr>
        <w:tc>
          <w:tcPr>
            <w:tcW w:w="1870" w:type="dxa"/>
          </w:tcPr>
          <w:p w:rsidR="00A056C1" w:rsidRDefault="00A056C1">
            <w:pPr>
              <w:pStyle w:val="TableSideHeading"/>
            </w:pPr>
          </w:p>
        </w:tc>
        <w:tc>
          <w:tcPr>
            <w:tcW w:w="624" w:type="dxa"/>
          </w:tcPr>
          <w:p w:rsidR="00A056C1" w:rsidRDefault="00A056C1">
            <w:pPr>
              <w:pStyle w:val="TableText"/>
            </w:pPr>
          </w:p>
        </w:tc>
        <w:tc>
          <w:tcPr>
            <w:tcW w:w="624" w:type="dxa"/>
          </w:tcPr>
          <w:p w:rsidR="00A056C1" w:rsidRDefault="00A056C1">
            <w:pPr>
              <w:pStyle w:val="TableText"/>
            </w:pPr>
          </w:p>
        </w:tc>
        <w:tc>
          <w:tcPr>
            <w:tcW w:w="6520" w:type="dxa"/>
          </w:tcPr>
          <w:p w:rsidR="00A056C1" w:rsidRPr="00A056C1" w:rsidRDefault="00A056C1">
            <w:pPr>
              <w:pStyle w:val="TableBlock"/>
            </w:pPr>
            <w:r w:rsidRPr="004D7BDD">
              <w:rPr>
                <w:rtl/>
              </w:rPr>
              <w:t>"(1א)</w:t>
            </w:r>
            <w:r w:rsidRPr="004D7BDD">
              <w:rPr>
                <w:rtl/>
              </w:rPr>
              <w:tab/>
              <w:t xml:space="preserve">הוגשה לבית המשפט בקשה להתרת נישואין אזרחיים ואחד מבני הזוג או שניהם הם יהודים, מוסלמים, דרוזים או בני אחת העדות הנוצריות המקיימות בישראל בית דין דתי, והתעורר ספק ביחס לתוקפם הדתי של נישואיהם, </w:t>
            </w:r>
            <w:r>
              <w:rPr>
                <w:rtl/>
              </w:rPr>
              <w:t>ישלח סג</w:t>
            </w:r>
            <w:r w:rsidRPr="004D7BDD">
              <w:rPr>
                <w:rtl/>
              </w:rPr>
              <w:t xml:space="preserve">ן נשיא בית המשפט </w:t>
            </w:r>
            <w:r>
              <w:rPr>
                <w:rtl/>
              </w:rPr>
              <w:t xml:space="preserve">פנייה </w:t>
            </w:r>
            <w:r w:rsidRPr="004D7BDD">
              <w:rPr>
                <w:rtl/>
              </w:rPr>
              <w:t>בכתב</w:t>
            </w:r>
            <w:r>
              <w:rPr>
                <w:rtl/>
              </w:rPr>
              <w:t xml:space="preserve"> לראש בית הדין הנוגע בדבר.";</w:t>
            </w:r>
          </w:p>
        </w:tc>
      </w:tr>
      <w:tr w:rsidR="00A056C1" w:rsidTr="00A056C1">
        <w:trPr>
          <w:cantSplit/>
          <w:trHeight w:val="60"/>
        </w:trPr>
        <w:tc>
          <w:tcPr>
            <w:tcW w:w="1870" w:type="dxa"/>
          </w:tcPr>
          <w:p w:rsidR="00A056C1" w:rsidRDefault="00A056C1">
            <w:pPr>
              <w:pStyle w:val="TableSideHeading"/>
            </w:pPr>
          </w:p>
        </w:tc>
        <w:tc>
          <w:tcPr>
            <w:tcW w:w="624" w:type="dxa"/>
          </w:tcPr>
          <w:p w:rsidR="00A056C1" w:rsidRDefault="00A056C1">
            <w:pPr>
              <w:pStyle w:val="TableText"/>
            </w:pPr>
          </w:p>
        </w:tc>
        <w:tc>
          <w:tcPr>
            <w:tcW w:w="7144" w:type="dxa"/>
            <w:gridSpan w:val="2"/>
          </w:tcPr>
          <w:p w:rsidR="00A056C1" w:rsidRDefault="00A056C1">
            <w:pPr>
              <w:pStyle w:val="TableBlock"/>
            </w:pPr>
            <w:r>
              <w:rPr>
                <w:rtl/>
              </w:rPr>
              <w:t>(</w:t>
            </w:r>
            <w:r w:rsidRPr="005D3079">
              <w:rPr>
                <w:rtl/>
              </w:rPr>
              <w:t>2)</w:t>
            </w:r>
            <w:r w:rsidRPr="005D3079">
              <w:rPr>
                <w:rtl/>
              </w:rPr>
              <w:tab/>
              <w:t>בסעיף קטן (ג), במקום "כאמור בסעיף קטן (א)(1)" יבוא "כאמור ב</w:t>
            </w:r>
            <w:r>
              <w:rPr>
                <w:rtl/>
              </w:rPr>
              <w:t>סעיף קטן (א)(1) ו-</w:t>
            </w:r>
            <w:r w:rsidRPr="005D3079">
              <w:rPr>
                <w:rtl/>
              </w:rPr>
              <w:t>(1א)".</w:t>
            </w:r>
          </w:p>
        </w:tc>
      </w:tr>
      <w:tr w:rsidR="00A056C1" w:rsidTr="00A056C1">
        <w:trPr>
          <w:cantSplit/>
          <w:trHeight w:val="60"/>
        </w:trPr>
        <w:tc>
          <w:tcPr>
            <w:tcW w:w="1870" w:type="dxa"/>
          </w:tcPr>
          <w:p w:rsidR="00A056C1" w:rsidRDefault="00A056C1">
            <w:pPr>
              <w:pStyle w:val="TableSideHeading"/>
            </w:pPr>
          </w:p>
        </w:tc>
        <w:tc>
          <w:tcPr>
            <w:tcW w:w="624" w:type="dxa"/>
          </w:tcPr>
          <w:p w:rsidR="00A056C1" w:rsidRDefault="00A056C1" w:rsidP="00A056C1">
            <w:pPr>
              <w:pStyle w:val="TableText"/>
            </w:pPr>
          </w:p>
        </w:tc>
        <w:tc>
          <w:tcPr>
            <w:tcW w:w="7144" w:type="dxa"/>
            <w:gridSpan w:val="2"/>
          </w:tcPr>
          <w:p w:rsidR="00A056C1" w:rsidRDefault="00A056C1">
            <w:pPr>
              <w:pStyle w:val="TableBlock"/>
              <w:rPr>
                <w:rtl/>
              </w:rPr>
            </w:pPr>
            <w:r w:rsidRPr="005D3079">
              <w:rPr>
                <w:rtl/>
              </w:rPr>
              <w:t>(3)</w:t>
            </w:r>
            <w:r w:rsidRPr="005D3079">
              <w:rPr>
                <w:rtl/>
              </w:rPr>
              <w:tab/>
              <w:t>בסעיף קטן (ד), במקום "כאמור בפסקה (א)(1)" יבוא "כאמור ב</w:t>
            </w:r>
            <w:r>
              <w:rPr>
                <w:rtl/>
              </w:rPr>
              <w:t>סעיף קטן (א)(1) ו-</w:t>
            </w:r>
            <w:r w:rsidRPr="005D3079">
              <w:rPr>
                <w:rtl/>
              </w:rPr>
              <w:t>(1א)".</w:t>
            </w:r>
          </w:p>
        </w:tc>
      </w:tr>
      <w:tr w:rsidR="00A056C1" w:rsidTr="00A056C1">
        <w:trPr>
          <w:cantSplit/>
          <w:trHeight w:val="60"/>
        </w:trPr>
        <w:tc>
          <w:tcPr>
            <w:tcW w:w="1870" w:type="dxa"/>
          </w:tcPr>
          <w:p w:rsidR="00A056C1" w:rsidRDefault="00A056C1">
            <w:pPr>
              <w:pStyle w:val="TableSideHeading"/>
            </w:pPr>
            <w:r w:rsidRPr="00486BAF">
              <w:rPr>
                <w:rtl/>
              </w:rPr>
              <w:t>תיקון חוק שיפוט בתי דין רבניים (נישואין וגירושין)</w:t>
            </w:r>
          </w:p>
        </w:tc>
        <w:tc>
          <w:tcPr>
            <w:tcW w:w="624" w:type="dxa"/>
          </w:tcPr>
          <w:p w:rsidR="00A056C1" w:rsidRDefault="00A056C1">
            <w:pPr>
              <w:pStyle w:val="TableText"/>
            </w:pPr>
            <w:r>
              <w:rPr>
                <w:rtl/>
              </w:rPr>
              <w:t>3.</w:t>
            </w:r>
          </w:p>
        </w:tc>
        <w:tc>
          <w:tcPr>
            <w:tcW w:w="7144" w:type="dxa"/>
            <w:gridSpan w:val="2"/>
          </w:tcPr>
          <w:p w:rsidR="00A056C1" w:rsidRDefault="00A056C1">
            <w:pPr>
              <w:pStyle w:val="TableBlock"/>
            </w:pPr>
            <w:r w:rsidRPr="00486BAF">
              <w:rPr>
                <w:rtl/>
              </w:rPr>
              <w:t>בחוק שיפוט בתי דין רבניים (נישואין וגירושין), התשי"ג</w:t>
            </w:r>
            <w:r>
              <w:rPr>
                <w:rtl/>
              </w:rPr>
              <w:t>–</w:t>
            </w:r>
            <w:r w:rsidRPr="00486BAF">
              <w:rPr>
                <w:rtl/>
              </w:rPr>
              <w:t>1953</w:t>
            </w:r>
            <w:r>
              <w:rPr>
                <w:rStyle w:val="a7"/>
                <w:rtl/>
              </w:rPr>
              <w:footnoteReference w:id="3"/>
            </w:r>
            <w:r>
              <w:rPr>
                <w:rtl/>
              </w:rPr>
              <w:t xml:space="preserve">, בסעיף 1, אחרי "אזרחי המדינה או תושביה" יבוא </w:t>
            </w:r>
            <w:r w:rsidRPr="00486BAF">
              <w:rPr>
                <w:rtl/>
              </w:rPr>
              <w:t>"שנישאו על פי דין תורה"</w:t>
            </w:r>
            <w:r>
              <w:rPr>
                <w:rtl/>
              </w:rPr>
              <w:t>.</w:t>
            </w:r>
          </w:p>
        </w:tc>
      </w:tr>
    </w:tbl>
    <w:p w:rsidR="00FA3D6B" w:rsidRDefault="00FA3D6B" w:rsidP="00FA3D6B">
      <w:pPr>
        <w:pStyle w:val="HeadDivreiHesber"/>
        <w:spacing w:before="0" w:after="0"/>
        <w:rPr>
          <w:rtl/>
        </w:rPr>
      </w:pPr>
    </w:p>
    <w:p w:rsidR="00FA3D6B" w:rsidRDefault="00FA3D6B" w:rsidP="00FA3D6B">
      <w:pPr>
        <w:pStyle w:val="HeadDivreiHesber"/>
        <w:spacing w:before="0" w:after="0"/>
        <w:rPr>
          <w:rtl/>
        </w:rPr>
      </w:pPr>
      <w:r>
        <w:rPr>
          <w:rtl/>
        </w:rPr>
        <w:t>דברי הסבר</w:t>
      </w:r>
    </w:p>
    <w:p w:rsidR="00FA3D6B" w:rsidRPr="004D7BDD" w:rsidRDefault="00FA3D6B" w:rsidP="00FA3D6B">
      <w:pPr>
        <w:pStyle w:val="Hesber"/>
        <w:rPr>
          <w:rtl/>
        </w:rPr>
      </w:pPr>
      <w:r w:rsidRPr="004D7BDD">
        <w:rPr>
          <w:rtl/>
        </w:rPr>
        <w:t xml:space="preserve">מטרת הצעת חוק זו לקבוע כי הסמכות לדון בהתרת נישואין של בני זוג </w:t>
      </w:r>
      <w:r>
        <w:rPr>
          <w:rtl/>
        </w:rPr>
        <w:t>הכשירים להינשא בארץ</w:t>
      </w:r>
      <w:r w:rsidRPr="004D7BDD">
        <w:rPr>
          <w:rtl/>
        </w:rPr>
        <w:t xml:space="preserve"> אך בחרו להינשא בנישואין אזרחיים בחוץ לארץ, תהא מסורה לבתי המשפט לענייני משפחה. זאת, על מנת לתת תוקף לרצון בני הזוג שלא להכפיף את יחסיהם למערכת השיפוט הדתית. </w:t>
      </w:r>
    </w:p>
    <w:p w:rsidR="00FA3D6B" w:rsidRPr="004D7BDD" w:rsidRDefault="00FA3D6B" w:rsidP="00FA3D6B">
      <w:pPr>
        <w:pStyle w:val="Hesber"/>
        <w:rPr>
          <w:rtl/>
        </w:rPr>
      </w:pPr>
      <w:r w:rsidRPr="004D7BDD">
        <w:rPr>
          <w:rtl/>
        </w:rPr>
        <w:t xml:space="preserve">על פי פסיקת בית הדין הרבני הגדול (גירושין (י-ם) 4276/03 </w:t>
      </w:r>
      <w:r w:rsidRPr="00A056C1">
        <w:rPr>
          <w:b/>
          <w:bCs/>
          <w:rtl/>
        </w:rPr>
        <w:t>ח' ש' נ' ח' י'</w:t>
      </w:r>
      <w:r w:rsidRPr="004D7BDD">
        <w:rPr>
          <w:rtl/>
        </w:rPr>
        <w:t xml:space="preserve"> (טרם פורסם, 11.11.2003)), נישואין אזרחיים שנערכו מתוך בחירה ורצון להינשא שלא כדת משה וישראל, אף על פי שבני הזוג יכולים להינשא כדת וכדין, נחשבים </w:t>
      </w:r>
      <w:r>
        <w:rPr>
          <w:rtl/>
        </w:rPr>
        <w:t>ל</w:t>
      </w:r>
      <w:r w:rsidRPr="004D7BDD">
        <w:rPr>
          <w:rtl/>
        </w:rPr>
        <w:t>נישואין בניגוד להלכה. בני זוג הבוחרים להינשא בדרך זו, מצהירים שאינם מעוניינים בכבלים הדתיים של הנישואין. כפועל יוצא מכך, יחסי האישות שבין בני הזוג נעשים במודע על מ</w:t>
      </w:r>
      <w:r>
        <w:rPr>
          <w:rtl/>
        </w:rPr>
        <w:t>נת שלא להיכנס תחת עולה של ההלכה</w:t>
      </w:r>
      <w:r w:rsidRPr="004D7BDD">
        <w:rPr>
          <w:rtl/>
        </w:rPr>
        <w:t xml:space="preserve"> ואינם יוצרים קידושי קנ</w:t>
      </w:r>
      <w:r>
        <w:rPr>
          <w:rtl/>
        </w:rPr>
        <w:t>י</w:t>
      </w:r>
      <w:r w:rsidRPr="004D7BDD">
        <w:rPr>
          <w:rtl/>
        </w:rPr>
        <w:t xml:space="preserve">ין. במצב דברים זה, לא נדרש גט </w:t>
      </w:r>
      <w:r>
        <w:rPr>
          <w:rtl/>
        </w:rPr>
        <w:t>מ</w:t>
      </w:r>
      <w:r w:rsidRPr="004D7BDD">
        <w:rPr>
          <w:rtl/>
        </w:rPr>
        <w:t xml:space="preserve">הבעל </w:t>
      </w:r>
      <w:r>
        <w:rPr>
          <w:rtl/>
        </w:rPr>
        <w:t>ל</w:t>
      </w:r>
      <w:r w:rsidRPr="004D7BDD">
        <w:rPr>
          <w:rtl/>
        </w:rPr>
        <w:t xml:space="preserve">אשה וניתן להתיר את הנישואין על ידי מתן פסק דין לגירושין (שם, בעמ' 7). פסק הדין לגירושין מהווה הצהרה מצד הערכאה השיפוטית </w:t>
      </w:r>
      <w:r>
        <w:rPr>
          <w:rtl/>
        </w:rPr>
        <w:t>המוסמכת אודות סיום קשר הנישואין</w:t>
      </w:r>
      <w:r w:rsidRPr="004D7BDD">
        <w:rPr>
          <w:rtl/>
        </w:rPr>
        <w:t xml:space="preserve"> ותוקפו נובע ממעמדה האזרחי של אותה ערכאה ולא מהדין הדתי.</w:t>
      </w:r>
    </w:p>
    <w:p w:rsidR="00FA3D6B" w:rsidRPr="004D7BDD" w:rsidRDefault="00FA3D6B" w:rsidP="00FA3D6B">
      <w:pPr>
        <w:pStyle w:val="Hesber"/>
        <w:rPr>
          <w:rtl/>
        </w:rPr>
      </w:pPr>
      <w:r w:rsidRPr="004D7BDD">
        <w:rPr>
          <w:rtl/>
        </w:rPr>
        <w:t>כלל הסמכות הקבוע כיום בסעיף 1 לחוק שיפוט בתי דין רבניים (נישואין וגירושין), התשי"ג</w:t>
      </w:r>
      <w:r>
        <w:rPr>
          <w:rtl/>
        </w:rPr>
        <w:t>–</w:t>
      </w:r>
      <w:r w:rsidRPr="004D7BDD">
        <w:rPr>
          <w:rtl/>
        </w:rPr>
        <w:t>1953, קובע כי הסמכות לדון בענ</w:t>
      </w:r>
      <w:r>
        <w:rPr>
          <w:rtl/>
        </w:rPr>
        <w:t>י</w:t>
      </w:r>
      <w:r w:rsidRPr="004D7BDD">
        <w:rPr>
          <w:rtl/>
        </w:rPr>
        <w:t>יני נישואין וגירושין של יהודים בישראל</w:t>
      </w:r>
      <w:r>
        <w:rPr>
          <w:rtl/>
        </w:rPr>
        <w:t>,</w:t>
      </w:r>
      <w:r w:rsidRPr="004D7BDD">
        <w:rPr>
          <w:rtl/>
        </w:rPr>
        <w:t xml:space="preserve"> אזרחי המדינה או תושביה, מסורה באופן י</w:t>
      </w:r>
      <w:r>
        <w:rPr>
          <w:rtl/>
        </w:rPr>
        <w:t>י</w:t>
      </w:r>
      <w:r w:rsidRPr="004D7BDD">
        <w:rPr>
          <w:rtl/>
        </w:rPr>
        <w:t xml:space="preserve">חודי לבתי הדין הרבניים. על פי האופן שבו פורש כלל הסמכות האמור בפסיקת בית המשפט העליון (בג"ץ 2232/03 </w:t>
      </w:r>
      <w:r w:rsidRPr="00A056C1">
        <w:rPr>
          <w:b/>
          <w:bCs/>
          <w:rtl/>
        </w:rPr>
        <w:t>פלוני נ' בית הדין הרבני האזורי ת"א יפו</w:t>
      </w:r>
      <w:r w:rsidRPr="004D7BDD">
        <w:rPr>
          <w:rtl/>
        </w:rPr>
        <w:t xml:space="preserve"> (טרם פורסם, 21.11.2006)</w:t>
      </w:r>
      <w:r>
        <w:rPr>
          <w:rtl/>
        </w:rPr>
        <w:t xml:space="preserve"> (להלן –</w:t>
      </w:r>
      <w:r w:rsidRPr="004D7BDD">
        <w:rPr>
          <w:rtl/>
        </w:rPr>
        <w:t xml:space="preserve"> "בג"ץ בני נוח"</w:t>
      </w:r>
      <w:r>
        <w:rPr>
          <w:rtl/>
        </w:rPr>
        <w:t>)</w:t>
      </w:r>
      <w:r w:rsidRPr="004D7BDD">
        <w:rPr>
          <w:rtl/>
        </w:rPr>
        <w:t>), סמכותם הייחודית של בתי הדין הרבניים לדון בסיום נישואין אינה חולשת רק על מקרים המצריכים גט, אלא גם על מקרים בהם קיים צורך במתן פסק דין לגירושין לצורך סיום נישואין אזרחיים שממילא אינם תקפים על פי ההלכה. אשר על כן, הסמכות להתיר נישואין אזרחיים של בני זוג יהודים מס</w:t>
      </w:r>
      <w:r>
        <w:rPr>
          <w:rtl/>
        </w:rPr>
        <w:t>ורה כיום לבתי הדין הרבניים בלבד,</w:t>
      </w:r>
      <w:r w:rsidRPr="004D7BDD">
        <w:rPr>
          <w:rtl/>
        </w:rPr>
        <w:t xml:space="preserve"> חרף הכרתו של הדין הדתי באפשרות להתיר נישואין אזרחיים באמצעות פסק דין של ערכאה שיפוטית אזרחית, </w:t>
      </w:r>
      <w:r>
        <w:rPr>
          <w:rtl/>
        </w:rPr>
        <w:t>כאמור</w:t>
      </w:r>
      <w:r w:rsidRPr="004D7BDD">
        <w:rPr>
          <w:rtl/>
        </w:rPr>
        <w:t xml:space="preserve"> לעיל.</w:t>
      </w:r>
    </w:p>
    <w:p w:rsidR="00FA3D6B" w:rsidRPr="004D7BDD" w:rsidRDefault="00FA3D6B" w:rsidP="00FA3D6B">
      <w:pPr>
        <w:pStyle w:val="Hesber"/>
        <w:rPr>
          <w:rtl/>
        </w:rPr>
      </w:pPr>
      <w:r w:rsidRPr="004D7BDD">
        <w:rPr>
          <w:rtl/>
        </w:rPr>
        <w:t xml:space="preserve">כלל הסמכות הקיים חוטא אפוא לרצונם המפורש של הצדדים שלא </w:t>
      </w:r>
      <w:r>
        <w:rPr>
          <w:rtl/>
        </w:rPr>
        <w:t>להכפיף עצמם למערכת השיפוט הדתית</w:t>
      </w:r>
      <w:r w:rsidRPr="004D7BDD">
        <w:rPr>
          <w:rtl/>
        </w:rPr>
        <w:t xml:space="preserve"> והוא פותח פתח להתמשכות הליכי הגירושין ולסחטנות של אחד מבני הזוג את רעהו. כמו כן, כלל הסמכות הנוכחי גורם לפיצול ההתד</w:t>
      </w:r>
      <w:r>
        <w:rPr>
          <w:rtl/>
        </w:rPr>
        <w:t>י</w:t>
      </w:r>
      <w:r w:rsidRPr="004D7BDD">
        <w:rPr>
          <w:rtl/>
        </w:rPr>
        <w:t>ינ</w:t>
      </w:r>
      <w:r>
        <w:rPr>
          <w:rtl/>
        </w:rPr>
        <w:t>ות בין בתי המשפט לענייני משפחה,</w:t>
      </w:r>
      <w:r w:rsidRPr="004D7BDD">
        <w:rPr>
          <w:rtl/>
        </w:rPr>
        <w:t xml:space="preserve"> להם נתונה גם כיום הסמכות הבלעדית לדון בעניינים הכרוכים בסיום קשר הנישואין (</w:t>
      </w:r>
      <w:r>
        <w:rPr>
          <w:rtl/>
        </w:rPr>
        <w:t>חלוקת רכוש, משמורת ילדים וכד'),</w:t>
      </w:r>
      <w:r w:rsidRPr="004D7BDD">
        <w:rPr>
          <w:rtl/>
        </w:rPr>
        <w:t xml:space="preserve"> לבין בתי הדין הרבניים</w:t>
      </w:r>
      <w:r>
        <w:rPr>
          <w:rtl/>
        </w:rPr>
        <w:t>,</w:t>
      </w:r>
      <w:r w:rsidRPr="004D7BDD">
        <w:rPr>
          <w:rtl/>
        </w:rPr>
        <w:t xml:space="preserve"> להם מוקנית הסמכות </w:t>
      </w:r>
      <w:r>
        <w:rPr>
          <w:rtl/>
        </w:rPr>
        <w:t xml:space="preserve">הייחודית </w:t>
      </w:r>
      <w:r w:rsidRPr="004D7BDD">
        <w:rPr>
          <w:rtl/>
        </w:rPr>
        <w:t>לדון בהתרת הנישואין. בבג"ץ בני נוח קרא בית המשפט למחוקק לומר את דברו ולמצוא פתרון עבור אלפי זוגות היהודים אשר בחרו להינשא בנישואין אזרחיים מחוץ לישראל ומעוניינים להביא לסיום נישואיהם (שם, בפסקה 44).</w:t>
      </w:r>
    </w:p>
    <w:p w:rsidR="00A056C1" w:rsidRDefault="00A056C1" w:rsidP="00133F2E">
      <w:pPr>
        <w:pStyle w:val="Hesber"/>
        <w:spacing w:line="240" w:lineRule="auto"/>
        <w:rPr>
          <w:rtl/>
        </w:rPr>
      </w:pPr>
    </w:p>
    <w:p w:rsidR="00A056C1" w:rsidRDefault="00A056C1" w:rsidP="00FA3D6B">
      <w:pPr>
        <w:pStyle w:val="Hesber"/>
        <w:rPr>
          <w:rtl/>
        </w:rPr>
      </w:pPr>
    </w:p>
    <w:p w:rsidR="00A056C1" w:rsidRDefault="00A056C1" w:rsidP="00FA3D6B">
      <w:pPr>
        <w:pStyle w:val="Hesber"/>
        <w:rPr>
          <w:rtl/>
        </w:rPr>
      </w:pPr>
    </w:p>
    <w:p w:rsidR="00A056C1" w:rsidRDefault="00FA3D6B" w:rsidP="00FA3D6B">
      <w:pPr>
        <w:pStyle w:val="Hesber"/>
        <w:rPr>
          <w:rtl/>
        </w:rPr>
      </w:pPr>
      <w:r w:rsidRPr="004D7BDD">
        <w:rPr>
          <w:rtl/>
        </w:rPr>
        <w:t xml:space="preserve">נוכח האמור, מוצע לקבוע כי הסמכות לדון בהתרת נישואין של בני זוג בני עדה דתית אחת, </w:t>
      </w:r>
      <w:r>
        <w:rPr>
          <w:rtl/>
        </w:rPr>
        <w:t>ש</w:t>
      </w:r>
      <w:r w:rsidRPr="004D7BDD">
        <w:rPr>
          <w:rtl/>
        </w:rPr>
        <w:t>נישאו בנישואין אזרחיים והוכרו לצורך מרשם האוכלוסין כזוג נשוי</w:t>
      </w:r>
      <w:r>
        <w:rPr>
          <w:rtl/>
        </w:rPr>
        <w:t>,</w:t>
      </w:r>
      <w:r w:rsidRPr="004D7BDD">
        <w:rPr>
          <w:rtl/>
        </w:rPr>
        <w:t xml:space="preserve"> תהא מסורה לבתי המשפט לענייני משפחה. </w:t>
      </w:r>
    </w:p>
    <w:p w:rsidR="00FA3D6B" w:rsidRPr="004D7BDD" w:rsidRDefault="00FA3D6B" w:rsidP="00FA3D6B">
      <w:pPr>
        <w:pStyle w:val="Hesber"/>
        <w:rPr>
          <w:rtl/>
        </w:rPr>
      </w:pPr>
      <w:r w:rsidRPr="004D7BDD">
        <w:rPr>
          <w:rtl/>
        </w:rPr>
        <w:t>כן מוצע, כי במקרים בהם מתעורר ספק באשר לתוקפם הדתי של הנישואין, יהא על בית המשפט לענייני משפחה להיוועץ בבית הדין הדתי</w:t>
      </w:r>
      <w:r>
        <w:rPr>
          <w:rtl/>
        </w:rPr>
        <w:t>,</w:t>
      </w:r>
      <w:r w:rsidRPr="004D7BDD">
        <w:rPr>
          <w:rtl/>
        </w:rPr>
        <w:t xml:space="preserve"> כדי שיקבע אם יש צורך בגירושין על פי הדין הדתי</w:t>
      </w:r>
      <w:r>
        <w:rPr>
          <w:rtl/>
        </w:rPr>
        <w:t>,</w:t>
      </w:r>
      <w:r w:rsidRPr="004D7BDD">
        <w:rPr>
          <w:rtl/>
        </w:rPr>
        <w:t xml:space="preserve"> ולו מ</w:t>
      </w:r>
      <w:r>
        <w:rPr>
          <w:rtl/>
        </w:rPr>
        <w:t xml:space="preserve">חמת </w:t>
      </w:r>
      <w:r w:rsidRPr="004D7BDD">
        <w:rPr>
          <w:rtl/>
        </w:rPr>
        <w:t>ספק. זאת, בדומה להסדר הקבוע בחוק באשר להתרת נישואין של בני זוג שאינם בני עדה דתית אחת. ההסדר המוצע י</w:t>
      </w:r>
      <w:r>
        <w:rPr>
          <w:rtl/>
        </w:rPr>
        <w:t>י</w:t>
      </w:r>
      <w:r w:rsidRPr="004D7BDD">
        <w:rPr>
          <w:rtl/>
        </w:rPr>
        <w:t xml:space="preserve">תן מענה </w:t>
      </w:r>
      <w:r>
        <w:rPr>
          <w:rtl/>
        </w:rPr>
        <w:t>ויבטיח</w:t>
      </w:r>
      <w:r w:rsidRPr="004D7BDD">
        <w:rPr>
          <w:rtl/>
        </w:rPr>
        <w:t xml:space="preserve"> כי בני הזוג יוכלו להינשא בעתיד בנישואין דתיים, אם ירצו בכך, וכן ימנע חשש מפני ממזרות. </w:t>
      </w:r>
    </w:p>
    <w:p w:rsidR="00FA3D6B" w:rsidRDefault="008A0890" w:rsidP="00FA3D6B">
      <w:pPr>
        <w:pStyle w:val="Hesber"/>
        <w:rPr>
          <w:rtl/>
        </w:rPr>
      </w:pPr>
      <w:r>
        <w:rPr>
          <w:rtl/>
        </w:rPr>
        <w:t xml:space="preserve">הצעת החוק נכתבה בסיוע "מבוי סתום". </w:t>
      </w: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Pr="00EE4A52" w:rsidRDefault="00A056C1" w:rsidP="00A056C1">
      <w:pPr>
        <w:spacing w:before="0" w:line="240" w:lineRule="auto"/>
        <w:ind w:left="340" w:firstLine="0"/>
        <w:rPr>
          <w:rFonts w:cs="David"/>
          <w:snapToGrid w:val="0"/>
          <w:spacing w:val="0"/>
          <w:sz w:val="20"/>
          <w:szCs w:val="26"/>
          <w:rtl/>
        </w:rPr>
      </w:pPr>
      <w:r w:rsidRPr="00EE4A52">
        <w:rPr>
          <w:rFonts w:cs="David"/>
          <w:snapToGrid w:val="0"/>
          <w:spacing w:val="0"/>
          <w:sz w:val="20"/>
          <w:szCs w:val="26"/>
          <w:rtl/>
        </w:rPr>
        <w:t>---------------------------------</w:t>
      </w:r>
    </w:p>
    <w:p w:rsidR="00A056C1" w:rsidRPr="00EE4A52" w:rsidRDefault="00A056C1" w:rsidP="00A056C1">
      <w:pPr>
        <w:spacing w:before="0" w:line="360" w:lineRule="auto"/>
        <w:ind w:left="340" w:firstLine="0"/>
        <w:rPr>
          <w:rFonts w:cs="David"/>
          <w:snapToGrid w:val="0"/>
          <w:spacing w:val="0"/>
          <w:sz w:val="20"/>
          <w:szCs w:val="26"/>
          <w:rtl/>
        </w:rPr>
      </w:pPr>
      <w:r w:rsidRPr="00EE4A52">
        <w:rPr>
          <w:rFonts w:cs="David"/>
          <w:snapToGrid w:val="0"/>
          <w:spacing w:val="0"/>
          <w:sz w:val="20"/>
          <w:szCs w:val="26"/>
          <w:rtl/>
        </w:rPr>
        <w:t>הוגשה ליו"ר הכנסת והסגנים</w:t>
      </w:r>
    </w:p>
    <w:p w:rsidR="00A056C1" w:rsidRDefault="00A056C1" w:rsidP="00A056C1">
      <w:pPr>
        <w:spacing w:before="0" w:line="360" w:lineRule="auto"/>
        <w:ind w:left="340" w:firstLine="0"/>
        <w:rPr>
          <w:rFonts w:cs="David"/>
          <w:snapToGrid w:val="0"/>
          <w:spacing w:val="0"/>
          <w:sz w:val="20"/>
          <w:szCs w:val="26"/>
          <w:rtl/>
        </w:rPr>
      </w:pPr>
      <w:r w:rsidRPr="00EE4A52">
        <w:rPr>
          <w:rFonts w:cs="David"/>
          <w:snapToGrid w:val="0"/>
          <w:spacing w:val="0"/>
          <w:sz w:val="20"/>
          <w:szCs w:val="26"/>
          <w:rtl/>
        </w:rPr>
        <w:t>והונחה על שולחן הכנסת ביום</w:t>
      </w:r>
    </w:p>
    <w:p w:rsidR="00A056C1" w:rsidRPr="005B064E" w:rsidRDefault="00A056C1" w:rsidP="00A056C1">
      <w:pPr>
        <w:spacing w:before="0" w:line="360" w:lineRule="auto"/>
        <w:ind w:left="340" w:firstLine="0"/>
        <w:rPr>
          <w:rtl/>
        </w:rPr>
      </w:pPr>
      <w:r>
        <w:rPr>
          <w:rFonts w:cs="David"/>
          <w:snapToGrid w:val="0"/>
          <w:spacing w:val="0"/>
          <w:sz w:val="20"/>
          <w:szCs w:val="26"/>
          <w:rtl/>
        </w:rPr>
        <w:t>כ"ד בחשוון התשע"ב – 21.11.11</w:t>
      </w:r>
    </w:p>
    <w:p w:rsidR="00A056C1" w:rsidRPr="00BE2391" w:rsidRDefault="00A056C1" w:rsidP="00A056C1">
      <w:pPr>
        <w:spacing w:line="360" w:lineRule="auto"/>
      </w:pP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Default="00A056C1" w:rsidP="00FA3D6B">
      <w:pPr>
        <w:pStyle w:val="Hesber"/>
        <w:rPr>
          <w:rtl/>
        </w:rPr>
      </w:pPr>
    </w:p>
    <w:p w:rsidR="00A056C1" w:rsidRPr="004D7BDD" w:rsidRDefault="00A056C1" w:rsidP="00FA3D6B">
      <w:pPr>
        <w:pStyle w:val="Hesber"/>
        <w:rPr>
          <w:rtl/>
        </w:rPr>
      </w:pPr>
    </w:p>
    <w:p w:rsidR="00E13C27" w:rsidRPr="00FA3D6B" w:rsidRDefault="00E13C27" w:rsidP="00FA3D6B">
      <w:pPr>
        <w:rPr>
          <w:rtl/>
        </w:rPr>
      </w:pPr>
    </w:p>
    <w:sectPr w:rsidR="00E13C27" w:rsidRPr="00FA3D6B" w:rsidSect="001207F8">
      <w:footerReference w:type="even" r:id="rId7"/>
      <w:footerReference w:type="default" r:id="rId8"/>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6C" w:rsidRDefault="0010166C">
      <w:r>
        <w:separator/>
      </w:r>
    </w:p>
  </w:endnote>
  <w:endnote w:type="continuationSeparator" w:id="0">
    <w:p w:rsidR="0010166C" w:rsidRDefault="001016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3F" w:rsidRDefault="00A6693F"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A6693F" w:rsidRDefault="00A6693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3F" w:rsidRDefault="00A6693F"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741DC7">
      <w:rPr>
        <w:rStyle w:val="af"/>
        <w:rFonts w:cs="Hadasa Roso SL"/>
        <w:noProof/>
        <w:rtl/>
      </w:rPr>
      <w:t>3</w:t>
    </w:r>
    <w:r>
      <w:rPr>
        <w:rStyle w:val="af"/>
        <w:rFonts w:cs="Hadasa Roso SL"/>
      </w:rPr>
      <w:fldChar w:fldCharType="end"/>
    </w:r>
  </w:p>
  <w:p w:rsidR="00A6693F" w:rsidRDefault="00A669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6C" w:rsidRDefault="0010166C">
      <w:r>
        <w:separator/>
      </w:r>
    </w:p>
  </w:footnote>
  <w:footnote w:type="continuationSeparator" w:id="0">
    <w:p w:rsidR="0010166C" w:rsidRDefault="0010166C">
      <w:r>
        <w:continuationSeparator/>
      </w:r>
    </w:p>
  </w:footnote>
  <w:footnote w:type="continuationNotice" w:id="1">
    <w:p w:rsidR="0010166C" w:rsidRDefault="0010166C"/>
  </w:footnote>
  <w:footnote w:id="2">
    <w:p w:rsidR="00000000" w:rsidRDefault="00A6693F" w:rsidP="00A056C1">
      <w:pPr>
        <w:pStyle w:val="a5"/>
      </w:pPr>
      <w:r>
        <w:rPr>
          <w:rStyle w:val="a7"/>
        </w:rPr>
        <w:footnoteRef/>
      </w:r>
      <w:r>
        <w:rPr>
          <w:rtl/>
        </w:rPr>
        <w:t xml:space="preserve"> ס"ח התשכ"ט, עמ' 248. </w:t>
      </w:r>
    </w:p>
  </w:footnote>
  <w:footnote w:id="3">
    <w:p w:rsidR="00000000" w:rsidRDefault="00A6693F" w:rsidP="00A056C1">
      <w:pPr>
        <w:pStyle w:val="a5"/>
      </w:pPr>
      <w:r>
        <w:rPr>
          <w:rStyle w:val="a7"/>
        </w:rPr>
        <w:footnoteRef/>
      </w:r>
      <w:r>
        <w:rPr>
          <w:rtl/>
        </w:rPr>
        <w:t xml:space="preserve"> ס"ח התשי"ג, עמ' 165.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Cs w:val="17"/>
      </w:rPr>
    </w:lvl>
    <w:lvl w:ilvl="3" w:tplc="1F820BA4">
      <w:start w:val="1"/>
      <w:numFmt w:val="hebrew1"/>
      <w:lvlRestart w:val="0"/>
      <w:lvlText w:val="(%4)"/>
      <w:lvlJc w:val="left"/>
      <w:pPr>
        <w:tabs>
          <w:tab w:val="num" w:pos="624"/>
        </w:tabs>
      </w:pPr>
      <w:rPr>
        <w:rFonts w:cs="Times New Roman" w:hint="default"/>
        <w:szCs w:val="17"/>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6655CA4"/>
    <w:multiLevelType w:val="hybridMultilevel"/>
    <w:tmpl w:val="0CAA4468"/>
    <w:lvl w:ilvl="0" w:tplc="0A78E3D0">
      <w:start w:val="1"/>
      <w:numFmt w:val="decimal"/>
      <w:lvlText w:val="%1."/>
      <w:lvlJc w:val="left"/>
      <w:pPr>
        <w:ind w:left="720" w:hanging="360"/>
      </w:pPr>
      <w:rPr>
        <w:rFonts w:cs="Times New Roman"/>
        <w:color w:val="auto"/>
      </w:rPr>
    </w:lvl>
    <w:lvl w:ilvl="1" w:tplc="CFE04226">
      <w:start w:val="1"/>
      <w:numFmt w:val="decimal"/>
      <w:lvlText w:val="(%2)"/>
      <w:lvlJc w:val="left"/>
      <w:pPr>
        <w:ind w:left="1440" w:hanging="360"/>
      </w:pPr>
      <w:rPr>
        <w:rFonts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423026lsCopyOriginal.doc"/>
    <w:docVar w:name="StartMode" w:val="4"/>
  </w:docVars>
  <w:rsids>
    <w:rsidRoot w:val="006D797E"/>
    <w:rsid w:val="00015B27"/>
    <w:rsid w:val="000A542E"/>
    <w:rsid w:val="0010166C"/>
    <w:rsid w:val="001207F8"/>
    <w:rsid w:val="00121924"/>
    <w:rsid w:val="00125B64"/>
    <w:rsid w:val="001279A8"/>
    <w:rsid w:val="00133F2E"/>
    <w:rsid w:val="00152609"/>
    <w:rsid w:val="00153E1B"/>
    <w:rsid w:val="001A0623"/>
    <w:rsid w:val="001B5429"/>
    <w:rsid w:val="001C23B0"/>
    <w:rsid w:val="00203A7F"/>
    <w:rsid w:val="002200A1"/>
    <w:rsid w:val="002362BF"/>
    <w:rsid w:val="002417BA"/>
    <w:rsid w:val="00254605"/>
    <w:rsid w:val="002728B4"/>
    <w:rsid w:val="00292712"/>
    <w:rsid w:val="003232A2"/>
    <w:rsid w:val="00366107"/>
    <w:rsid w:val="003710F6"/>
    <w:rsid w:val="00386E88"/>
    <w:rsid w:val="003D0935"/>
    <w:rsid w:val="003D74A0"/>
    <w:rsid w:val="003F135A"/>
    <w:rsid w:val="00486BAF"/>
    <w:rsid w:val="004C2EEE"/>
    <w:rsid w:val="004D3876"/>
    <w:rsid w:val="004D7BDD"/>
    <w:rsid w:val="004E4552"/>
    <w:rsid w:val="00553C9D"/>
    <w:rsid w:val="005B064E"/>
    <w:rsid w:val="005D3079"/>
    <w:rsid w:val="005D51AE"/>
    <w:rsid w:val="00644940"/>
    <w:rsid w:val="006818A9"/>
    <w:rsid w:val="006C1D0D"/>
    <w:rsid w:val="006D797E"/>
    <w:rsid w:val="0070601E"/>
    <w:rsid w:val="00741DC7"/>
    <w:rsid w:val="00765F66"/>
    <w:rsid w:val="007D5A12"/>
    <w:rsid w:val="007E59F9"/>
    <w:rsid w:val="00810BCD"/>
    <w:rsid w:val="00812C98"/>
    <w:rsid w:val="00814D92"/>
    <w:rsid w:val="00820042"/>
    <w:rsid w:val="0084460F"/>
    <w:rsid w:val="00883C6C"/>
    <w:rsid w:val="00892135"/>
    <w:rsid w:val="00895449"/>
    <w:rsid w:val="00897879"/>
    <w:rsid w:val="008A0890"/>
    <w:rsid w:val="008C2DDC"/>
    <w:rsid w:val="008C72F4"/>
    <w:rsid w:val="008F0D63"/>
    <w:rsid w:val="008F2C35"/>
    <w:rsid w:val="008F63DC"/>
    <w:rsid w:val="0091204F"/>
    <w:rsid w:val="00943386"/>
    <w:rsid w:val="00957589"/>
    <w:rsid w:val="00985B40"/>
    <w:rsid w:val="00A056C1"/>
    <w:rsid w:val="00A26BD6"/>
    <w:rsid w:val="00A6693F"/>
    <w:rsid w:val="00A82CB7"/>
    <w:rsid w:val="00AC36F7"/>
    <w:rsid w:val="00AF622C"/>
    <w:rsid w:val="00B35784"/>
    <w:rsid w:val="00B40CC0"/>
    <w:rsid w:val="00BC45FB"/>
    <w:rsid w:val="00BE170C"/>
    <w:rsid w:val="00BE2391"/>
    <w:rsid w:val="00C34DE2"/>
    <w:rsid w:val="00C9176A"/>
    <w:rsid w:val="00D867D7"/>
    <w:rsid w:val="00DB7060"/>
    <w:rsid w:val="00DE3153"/>
    <w:rsid w:val="00E13C27"/>
    <w:rsid w:val="00E33BBD"/>
    <w:rsid w:val="00E45103"/>
    <w:rsid w:val="00E55861"/>
    <w:rsid w:val="00E665B9"/>
    <w:rsid w:val="00E84C44"/>
    <w:rsid w:val="00E97D8E"/>
    <w:rsid w:val="00EA01E6"/>
    <w:rsid w:val="00EA758F"/>
    <w:rsid w:val="00ED4A6F"/>
    <w:rsid w:val="00EE4A52"/>
    <w:rsid w:val="00EF3A3A"/>
    <w:rsid w:val="00F13C23"/>
    <w:rsid w:val="00FA3D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after="0"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99"/>
    <w:semiHidden/>
    <w:rsid w:val="0094338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rsid w:val="00943386"/>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paragraph" w:customStyle="1" w:styleId="Cover1-Reshumot">
    <w:name w:val="Cover 1-Reshumot"/>
    <w:basedOn w:val="Noparagraphstyle"/>
    <w:uiPriority w:val="99"/>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uiPriority w:val="99"/>
    <w:rsid w:val="00943386"/>
    <w:rPr>
      <w:sz w:val="36"/>
      <w:szCs w:val="52"/>
    </w:rPr>
  </w:style>
  <w:style w:type="paragraph" w:customStyle="1" w:styleId="Cover3-Haknesset">
    <w:name w:val="Cover 3-Haknesset"/>
    <w:basedOn w:val="Cover1-Reshumot"/>
    <w:uiPriority w:val="99"/>
    <w:rsid w:val="00943386"/>
    <w:rPr>
      <w:b/>
      <w:bCs/>
      <w:spacing w:val="60"/>
    </w:rPr>
  </w:style>
  <w:style w:type="paragraph" w:customStyle="1" w:styleId="Cover4-Date">
    <w:name w:val="Cover 4-Date"/>
    <w:basedOn w:val="Noparagraphstyle"/>
    <w:uiPriority w:val="99"/>
    <w:rsid w:val="00943386"/>
    <w:pPr>
      <w:pBdr>
        <w:bottom w:val="single" w:sz="4" w:space="0" w:color="auto"/>
      </w:pBdr>
      <w:tabs>
        <w:tab w:val="center" w:pos="4820"/>
        <w:tab w:val="right" w:pos="9639"/>
      </w:tabs>
      <w:spacing w:before="240" w:after="240"/>
    </w:pPr>
  </w:style>
  <w:style w:type="paragraph" w:customStyle="1" w:styleId="TOC">
    <w:name w:val="TOC"/>
    <w:basedOn w:val="Noparagraphstyle"/>
    <w:uiPriority w:val="99"/>
    <w:rsid w:val="00943386"/>
    <w:pPr>
      <w:tabs>
        <w:tab w:val="left" w:leader="dot" w:pos="8789"/>
      </w:tabs>
      <w:spacing w:before="120"/>
      <w:ind w:left="284" w:right="284"/>
    </w:pPr>
  </w:style>
  <w:style w:type="paragraph" w:customStyle="1" w:styleId="TOCpg">
    <w:name w:val="TOC pg"/>
    <w:basedOn w:val="TOC"/>
    <w:uiPriority w:val="99"/>
    <w:rsid w:val="00943386"/>
    <w:pPr>
      <w:spacing w:after="120"/>
      <w:ind w:right="567"/>
      <w:jc w:val="right"/>
    </w:pPr>
  </w:style>
  <w:style w:type="paragraph" w:customStyle="1" w:styleId="HeadMitparsemetBaze">
    <w:name w:val="Head MitparsemetBaze"/>
    <w:basedOn w:val="Noparagraphstyle"/>
    <w:uiPriority w:val="99"/>
    <w:rsid w:val="00943386"/>
    <w:pPr>
      <w:keepNext/>
      <w:keepLines/>
      <w:pageBreakBefore/>
      <w:spacing w:before="480"/>
      <w:jc w:val="both"/>
    </w:pPr>
    <w:rPr>
      <w:b/>
      <w:bCs/>
    </w:rPr>
  </w:style>
  <w:style w:type="paragraph" w:customStyle="1" w:styleId="HeadHatzaotHok">
    <w:name w:val="Head HatzaotHok"/>
    <w:basedOn w:val="Noparagraphstyle"/>
    <w:uiPriority w:val="99"/>
    <w:rsid w:val="00943386"/>
    <w:pPr>
      <w:keepNext/>
      <w:keepLines/>
      <w:spacing w:before="240"/>
      <w:jc w:val="center"/>
    </w:pPr>
    <w:rPr>
      <w:b/>
      <w:bCs/>
    </w:rPr>
  </w:style>
  <w:style w:type="paragraph" w:customStyle="1" w:styleId="HeadHatzaotHok4Futer">
    <w:name w:val="Head HatzaotHok4Futer"/>
    <w:basedOn w:val="HeadHatzaotHok"/>
    <w:uiPriority w:val="99"/>
    <w:rsid w:val="00943386"/>
    <w:pPr>
      <w:spacing w:before="120" w:after="120"/>
    </w:pPr>
    <w:rPr>
      <w:color w:val="FF0000"/>
      <w:w w:val="80"/>
    </w:rPr>
  </w:style>
  <w:style w:type="paragraph" w:styleId="a3">
    <w:name w:val="endnote text"/>
    <w:basedOn w:val="Ragil"/>
    <w:link w:val="a4"/>
    <w:uiPriority w:val="99"/>
    <w:semiHidden/>
    <w:rsid w:val="00943386"/>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sz w:val="20"/>
      <w:szCs w:val="20"/>
      <w:lang w:eastAsia="ja-JP"/>
    </w:rPr>
  </w:style>
  <w:style w:type="paragraph" w:customStyle="1" w:styleId="TableText">
    <w:name w:val="Table Text"/>
    <w:basedOn w:val="Ragil"/>
    <w:uiPriority w:val="99"/>
    <w:rsid w:val="00943386"/>
    <w:pPr>
      <w:keepLines/>
      <w:tabs>
        <w:tab w:val="left" w:pos="624"/>
        <w:tab w:val="left" w:pos="1247"/>
      </w:tabs>
      <w:ind w:right="57" w:firstLine="0"/>
    </w:pPr>
  </w:style>
  <w:style w:type="paragraph" w:customStyle="1" w:styleId="TableSideHeading">
    <w:name w:val="Table SideHeading"/>
    <w:basedOn w:val="TableText"/>
    <w:uiPriority w:val="99"/>
    <w:rsid w:val="00943386"/>
  </w:style>
  <w:style w:type="paragraph" w:customStyle="1" w:styleId="TableBlock">
    <w:name w:val="Table Block"/>
    <w:basedOn w:val="TableText"/>
    <w:uiPriority w:val="99"/>
    <w:rsid w:val="00943386"/>
    <w:pPr>
      <w:ind w:right="0"/>
      <w:jc w:val="both"/>
    </w:pPr>
  </w:style>
  <w:style w:type="paragraph" w:customStyle="1" w:styleId="TableHead">
    <w:name w:val="Table Head"/>
    <w:basedOn w:val="TableText"/>
    <w:uiPriority w:val="99"/>
    <w:rsid w:val="00943386"/>
    <w:pPr>
      <w:ind w:right="0"/>
      <w:jc w:val="center"/>
    </w:pPr>
    <w:rPr>
      <w:b/>
      <w:bCs/>
    </w:rPr>
  </w:style>
  <w:style w:type="paragraph" w:customStyle="1" w:styleId="TableText2">
    <w:name w:val="Table Text2"/>
    <w:basedOn w:val="TableText"/>
    <w:uiPriority w:val="99"/>
    <w:rsid w:val="00943386"/>
  </w:style>
  <w:style w:type="paragraph" w:customStyle="1" w:styleId="TableInnerSideHeading">
    <w:name w:val="Table InnerSideHeading"/>
    <w:basedOn w:val="TableSideHeading"/>
    <w:uiPriority w:val="99"/>
    <w:rsid w:val="00943386"/>
  </w:style>
  <w:style w:type="paragraph" w:customStyle="1" w:styleId="Hesber">
    <w:name w:val="Hesber"/>
    <w:basedOn w:val="Ragil"/>
    <w:uiPriority w:val="99"/>
    <w:rsid w:val="00943386"/>
    <w:pPr>
      <w:jc w:val="both"/>
    </w:pPr>
  </w:style>
  <w:style w:type="paragraph" w:styleId="a5">
    <w:name w:val="footnote text"/>
    <w:basedOn w:val="Ragil"/>
    <w:link w:val="a6"/>
    <w:autoRedefine/>
    <w:uiPriority w:val="99"/>
    <w:semiHidden/>
    <w:rsid w:val="00943386"/>
    <w:pPr>
      <w:spacing w:line="240" w:lineRule="auto"/>
      <w:ind w:left="227" w:hanging="227"/>
    </w:pPr>
    <w:rPr>
      <w:sz w:val="14"/>
      <w:szCs w:val="20"/>
    </w:rPr>
  </w:style>
  <w:style w:type="paragraph" w:styleId="NormalWeb">
    <w:name w:val="Normal (Web)"/>
    <w:basedOn w:val="a"/>
    <w:uiPriority w:val="99"/>
    <w:rsid w:val="003F135A"/>
    <w:pPr>
      <w:widowControl/>
      <w:autoSpaceDE/>
      <w:autoSpaceDN/>
      <w:bidi w:val="0"/>
      <w:adjustRightInd/>
      <w:spacing w:before="90" w:after="150" w:line="240" w:lineRule="auto"/>
      <w:ind w:firstLine="0"/>
      <w:textAlignment w:val="auto"/>
    </w:pPr>
    <w:rPr>
      <w:rFonts w:ascii="Times New Roman" w:hAnsi="Times New Roman" w:cs="Times New Roman"/>
      <w:color w:val="000173"/>
      <w:spacing w:val="0"/>
      <w:sz w:val="24"/>
      <w:szCs w:val="24"/>
      <w:lang w:eastAsia="en-US"/>
    </w:rPr>
  </w:style>
  <w:style w:type="character" w:styleId="a7">
    <w:name w:val="footnote reference"/>
    <w:basedOn w:val="a0"/>
    <w:uiPriority w:val="99"/>
    <w:semiHidden/>
    <w:rsid w:val="00943386"/>
    <w:rPr>
      <w:vertAlign w:val="superscript"/>
    </w:rPr>
  </w:style>
  <w:style w:type="paragraph" w:customStyle="1" w:styleId="HesberHeading">
    <w:name w:val="Hesber Heading"/>
    <w:basedOn w:val="Hesber"/>
    <w:uiPriority w:val="99"/>
    <w:rsid w:val="00943386"/>
    <w:pPr>
      <w:keepNext/>
      <w:keepLines/>
      <w:spacing w:before="240"/>
      <w:ind w:firstLine="0"/>
    </w:pPr>
    <w:rPr>
      <w:b/>
      <w:bCs/>
    </w:rPr>
  </w:style>
  <w:style w:type="paragraph" w:customStyle="1" w:styleId="HesberWriters">
    <w:name w:val="Hesber Writers"/>
    <w:basedOn w:val="Hesber"/>
    <w:uiPriority w:val="99"/>
    <w:rsid w:val="00943386"/>
    <w:pPr>
      <w:spacing w:before="120" w:after="6000"/>
      <w:ind w:left="1418" w:firstLine="0"/>
      <w:jc w:val="right"/>
    </w:pPr>
    <w:rPr>
      <w:b/>
      <w:bCs/>
    </w:rPr>
  </w:style>
  <w:style w:type="paragraph" w:customStyle="1" w:styleId="Hesber1st">
    <w:name w:val="Hesber 1st"/>
    <w:basedOn w:val="Hesber"/>
    <w:uiPriority w:val="99"/>
    <w:rsid w:val="00943386"/>
    <w:pPr>
      <w:tabs>
        <w:tab w:val="left" w:pos="680"/>
        <w:tab w:val="left" w:pos="1020"/>
      </w:tabs>
      <w:ind w:firstLine="0"/>
    </w:pPr>
  </w:style>
  <w:style w:type="character" w:styleId="a8">
    <w:name w:val="endnote reference"/>
    <w:basedOn w:val="a0"/>
    <w:uiPriority w:val="99"/>
    <w:semiHidden/>
    <w:rsid w:val="00943386"/>
    <w:rPr>
      <w:vertAlign w:val="superscript"/>
    </w:rPr>
  </w:style>
  <w:style w:type="paragraph" w:customStyle="1" w:styleId="TableBlockOutdent">
    <w:name w:val="Table BlockOutdent"/>
    <w:basedOn w:val="TableBlock"/>
    <w:uiPriority w:val="99"/>
    <w:rsid w:val="00943386"/>
    <w:pPr>
      <w:ind w:left="624" w:hanging="624"/>
    </w:pPr>
  </w:style>
  <w:style w:type="paragraph" w:styleId="a9">
    <w:name w:val="header"/>
    <w:basedOn w:val="a"/>
    <w:link w:val="aa"/>
    <w:uiPriority w:val="99"/>
    <w:rsid w:val="00943386"/>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943386"/>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Ragil"/>
    <w:uiPriority w:val="99"/>
    <w:rsid w:val="00943386"/>
    <w:pPr>
      <w:spacing w:before="360" w:after="120"/>
      <w:ind w:firstLine="0"/>
      <w:jc w:val="center"/>
    </w:pPr>
    <w:rPr>
      <w:b/>
      <w:spacing w:val="40"/>
    </w:rPr>
  </w:style>
  <w:style w:type="paragraph" w:customStyle="1" w:styleId="Ragil">
    <w:name w:val="Ragil"/>
    <w:basedOn w:val="Noparagraphstyle"/>
    <w:uiPriority w:val="99"/>
    <w:rsid w:val="00943386"/>
    <w:pPr>
      <w:ind w:firstLine="340"/>
    </w:pPr>
  </w:style>
  <w:style w:type="paragraph" w:styleId="ad">
    <w:name w:val="Title"/>
    <w:basedOn w:val="a"/>
    <w:link w:val="ae"/>
    <w:uiPriority w:val="99"/>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1207F8"/>
    <w:rPr>
      <w:rFonts w:cs="Times New Roman"/>
    </w:rPr>
  </w:style>
  <w:style w:type="paragraph" w:customStyle="1" w:styleId="David">
    <w:name w:val="רגיל + (עברית ושפות אחרות) David"/>
    <w:aliases w:val="‏13 נק',מודגש,אחרי:  6 נק'"/>
    <w:basedOn w:val="a"/>
    <w:uiPriority w:val="99"/>
    <w:rsid w:val="001207F8"/>
    <w:pPr>
      <w:ind w:firstLine="0"/>
      <w:jc w:val="left"/>
    </w:pPr>
    <w:rPr>
      <w:rFonts w:cs="David"/>
      <w:sz w:val="26"/>
      <w:szCs w:val="26"/>
    </w:rPr>
  </w:style>
  <w:style w:type="character" w:customStyle="1" w:styleId="a6">
    <w:name w:val="טקסט הערת שוליים תו"/>
    <w:link w:val="a5"/>
    <w:uiPriority w:val="99"/>
    <w:semiHidden/>
    <w:locked/>
    <w:rsid w:val="003F135A"/>
    <w:rPr>
      <w:rFonts w:ascii="Arial" w:eastAsia="Arial Unicode MS" w:hAnsi="Arial"/>
      <w:snapToGrid w:val="0"/>
      <w:color w:val="000000"/>
      <w:sz w:val="14"/>
      <w:lang w:val="en-US" w:eastAsia="ja-JP"/>
    </w:rPr>
  </w:style>
  <w:style w:type="paragraph" w:styleId="af0">
    <w:name w:val="List Paragraph"/>
    <w:basedOn w:val="a"/>
    <w:uiPriority w:val="99"/>
    <w:qFormat/>
    <w:rsid w:val="003F135A"/>
    <w:pPr>
      <w:widowControl/>
      <w:autoSpaceDE/>
      <w:autoSpaceDN/>
      <w:adjustRightInd/>
      <w:spacing w:before="0" w:line="240" w:lineRule="auto"/>
      <w:ind w:left="720" w:firstLine="0"/>
      <w:contextualSpacing/>
      <w:jc w:val="left"/>
      <w:textAlignment w:val="auto"/>
    </w:pPr>
    <w:rPr>
      <w:rFonts w:ascii="Times New Roman" w:hAnsi="Times New Roman" w:cs="Times New Roman"/>
      <w:color w:val="auto"/>
      <w:spacing w:val="0"/>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nhedrinTempDoc\liorsh\lsNew.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lsNew.dot</Template>
  <TotalTime>1</TotalTime>
  <Pages>3</Pages>
  <Words>705</Words>
  <Characters>3731</Characters>
  <Application>Microsoft Office Word</Application>
  <DocSecurity>0</DocSecurity>
  <Lines>62</Lines>
  <Paragraphs>24</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שיפוט בעניני התרת נישואין (מקרים מיוחדים וסמכות בין-לאומית) (תיקון - התרת נישואין אזרחיים), התשע"ב-2011</dc:title>
  <dc:creator>Knesset</dc:creator>
  <cp:lastModifiedBy>bb bt</cp:lastModifiedBy>
  <cp:revision>2</cp:revision>
  <cp:lastPrinted>2011-11-17T09:04:00Z</cp:lastPrinted>
  <dcterms:created xsi:type="dcterms:W3CDTF">2015-06-09T13:46:00Z</dcterms:created>
  <dcterms:modified xsi:type="dcterms:W3CDTF">2015-06-09T13:46:00Z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04777611</vt:lpwstr>
  </property>
  <property fmtid="{D5CDD505-2E9C-101B-9397-08002B2CF9AE}" pid="3" name="ContentTypeId">
    <vt:lpwstr>0x010100D2889987F19D9A4EA3E715683F9311D62A009006708AF7741D4EAEBEE3220EA32DEB</vt:lpwstr>
  </property>
  <property fmtid="{D5CDD505-2E9C-101B-9397-08002B2CF9AE}" pid="4" name="ContentType">
    <vt:lpwstr>חקיקה - HatzaaTromit</vt:lpwstr>
  </property>
  <property fmtid="{D5CDD505-2E9C-101B-9397-08002B2CF9AE}" pid="5" name="SDCategoryID">
    <vt:lpwstr>7fc2ca30016a;#</vt:lpwstr>
  </property>
  <property fmtid="{D5CDD505-2E9C-101B-9397-08002B2CF9AE}" pid="6" name="מספר הצעת חוק למיון">
    <vt:lpwstr>3669.00000000000</vt:lpwstr>
  </property>
  <property fmtid="{D5CDD505-2E9C-101B-9397-08002B2CF9AE}" pid="7" name="DocID">
    <vt:lpwstr>300689.000000000</vt:lpwstr>
  </property>
  <property fmtid="{D5CDD505-2E9C-101B-9397-08002B2CF9AE}" pid="8" name="SDCategories">
    <vt:lpwstr>:חקיקה:נוסח לדיון מוקדם;#</vt:lpwstr>
  </property>
  <property fmtid="{D5CDD505-2E9C-101B-9397-08002B2CF9AE}" pid="9" name="SDDocDate">
    <vt:lpwstr>2011-11-21T16:01:00Z</vt:lpwstr>
  </property>
  <property fmtid="{D5CDD505-2E9C-101B-9397-08002B2CF9AE}" pid="10" name="SDHebDate">
    <vt:lpwstr>כ"ד בחשון, התשע"ב</vt:lpwstr>
  </property>
  <property fmtid="{D5CDD505-2E9C-101B-9397-08002B2CF9AE}" pid="11" name="Vaada">
    <vt:lpwstr/>
  </property>
  <property fmtid="{D5CDD505-2E9C-101B-9397-08002B2CF9AE}" pid="12" name="תאריך הנחה">
    <vt:lpwstr>2011-11-21T00:00:00Z</vt:lpwstr>
  </property>
  <property fmtid="{D5CDD505-2E9C-101B-9397-08002B2CF9AE}" pid="13" name="ItemID">
    <vt:lpwstr>423026.000000000</vt:lpwstr>
  </property>
  <property fmtid="{D5CDD505-2E9C-101B-9397-08002B2CF9AE}" pid="14" name="ProposerID">
    <vt:lpwstr>000000503, 000004416, 000007736, 000012961, 000000533, 000014470, 000004407</vt:lpwstr>
  </property>
  <property fmtid="{D5CDD505-2E9C-101B-9397-08002B2CF9AE}" pid="15" name="Proposer">
    <vt:lpwstr>אילן גילאון, דב חנין, יוחנן פלסנר, נחמן שי, מרינה סולודקין, עינת וילף, אבישי ברוורמן</vt:lpwstr>
  </property>
  <property fmtid="{D5CDD505-2E9C-101B-9397-08002B2CF9AE}" pid="16" name="SDAuthor">
    <vt:lpwstr>זהבה גלאון</vt:lpwstr>
  </property>
  <property fmtid="{D5CDD505-2E9C-101B-9397-08002B2CF9AE}" pid="17" name="MechaberMismach">
    <vt:lpwstr>זהבה גלאון</vt:lpwstr>
  </property>
  <property fmtid="{D5CDD505-2E9C-101B-9397-08002B2CF9AE}" pid="18" name="YozemID">
    <vt:lpwstr>000000504, 000012947, 000012965</vt:lpwstr>
  </property>
  <property fmtid="{D5CDD505-2E9C-101B-9397-08002B2CF9AE}" pid="19" name="MisHatzaatChok">
    <vt:lpwstr>/פ3669/18</vt:lpwstr>
  </property>
  <property fmtid="{D5CDD505-2E9C-101B-9397-08002B2CF9AE}" pid="20" name="YozemHatzaa_ChakList">
    <vt:lpwstr>זהבה גלאון, ניצן הורוביץ, אורית זוארץ</vt:lpwstr>
  </property>
</Properties>
</file>