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0" w:type="auto"/>
        <w:jc w:val="center"/>
        <w:tblLayout w:type="fixed"/>
        <w:tblLook w:val="0000"/>
      </w:tblPr>
      <w:tblGrid>
        <w:gridCol w:w="2847"/>
        <w:gridCol w:w="2950"/>
        <w:gridCol w:w="3481"/>
      </w:tblGrid>
      <w:tr w:rsidR="007A7D17">
        <w:tblPrEx>
          <w:tblCellMar>
            <w:top w:w="0" w:type="dxa"/>
            <w:bottom w:w="0" w:type="dxa"/>
          </w:tblCellMar>
        </w:tblPrEx>
        <w:trPr>
          <w:cantSplit/>
          <w:jc w:val="center"/>
        </w:trPr>
        <w:tc>
          <w:tcPr>
            <w:tcW w:w="2847" w:type="dxa"/>
            <w:tcBorders>
              <w:top w:val="nil"/>
              <w:left w:val="nil"/>
              <w:bottom w:val="nil"/>
              <w:right w:val="nil"/>
            </w:tcBorders>
          </w:tcPr>
          <w:p w:rsidR="007A7D17" w:rsidRPr="008908E4" w:rsidRDefault="007A7D17" w:rsidP="004375C4">
            <w:pPr>
              <w:pStyle w:val="affffb"/>
              <w:rPr>
                <w:rtl/>
              </w:rPr>
            </w:pPr>
            <w:r w:rsidRPr="008908E4">
              <w:rPr>
                <w:rtl/>
              </w:rPr>
              <w:t>מדינת ישראל</w:t>
            </w:r>
          </w:p>
          <w:p w:rsidR="007A7D17" w:rsidRDefault="007A7D17" w:rsidP="004375C4">
            <w:pPr>
              <w:pStyle w:val="3"/>
              <w:rPr>
                <w:rtl/>
              </w:rPr>
            </w:pPr>
            <w:r>
              <w:rPr>
                <w:rtl/>
              </w:rPr>
              <w:t>משרד המשפטים</w:t>
            </w:r>
          </w:p>
          <w:p w:rsidR="007A7D17" w:rsidRPr="008908E4" w:rsidRDefault="007A7D17" w:rsidP="004375C4">
            <w:pPr>
              <w:pStyle w:val="3"/>
            </w:pPr>
            <w:r w:rsidRPr="008908E4">
              <w:rPr>
                <w:rtl/>
              </w:rPr>
              <w:t>המחלקה למשפט עברי</w:t>
            </w:r>
          </w:p>
        </w:tc>
        <w:tc>
          <w:tcPr>
            <w:tcW w:w="2950" w:type="dxa"/>
            <w:tcBorders>
              <w:top w:val="nil"/>
              <w:left w:val="nil"/>
              <w:bottom w:val="nil"/>
              <w:right w:val="nil"/>
            </w:tcBorders>
          </w:tcPr>
          <w:p w:rsidR="007A7D17" w:rsidRDefault="007A7D17" w:rsidP="004375C4">
            <w:pPr>
              <w:pStyle w:val="3"/>
            </w:pPr>
          </w:p>
        </w:tc>
        <w:tc>
          <w:tcPr>
            <w:tcW w:w="3481" w:type="dxa"/>
            <w:tcBorders>
              <w:top w:val="nil"/>
              <w:left w:val="nil"/>
              <w:bottom w:val="nil"/>
              <w:right w:val="nil"/>
            </w:tcBorders>
          </w:tcPr>
          <w:p w:rsidR="007A7D17" w:rsidRDefault="007A7D17" w:rsidP="004375C4">
            <w:pPr>
              <w:pStyle w:val="3"/>
              <w:rPr>
                <w:rtl/>
              </w:rPr>
            </w:pPr>
            <w:r>
              <w:rPr>
                <w:rtl/>
              </w:rPr>
              <w:t>המרכז להוראת</w:t>
            </w:r>
          </w:p>
          <w:p w:rsidR="007A7D17" w:rsidRDefault="007A7D17" w:rsidP="004375C4">
            <w:pPr>
              <w:pStyle w:val="3"/>
              <w:rPr>
                <w:rtl/>
              </w:rPr>
            </w:pPr>
            <w:r>
              <w:rPr>
                <w:rtl/>
              </w:rPr>
              <w:t>המשפט העברי ולימודו</w:t>
            </w:r>
          </w:p>
          <w:p w:rsidR="007A7D17" w:rsidRPr="008908E4" w:rsidRDefault="004375C4" w:rsidP="004375C4">
            <w:r>
              <w:rPr>
                <w:rtl/>
              </w:rPr>
              <w:t xml:space="preserve">                </w:t>
            </w:r>
            <w:r w:rsidR="007A7D17" w:rsidRPr="008908E4">
              <w:rPr>
                <w:rtl/>
              </w:rPr>
              <w:t>מכללת "שערי משפט"</w:t>
            </w:r>
          </w:p>
        </w:tc>
      </w:tr>
    </w:tbl>
    <w:p w:rsidR="007A7D17" w:rsidRDefault="007A7D17" w:rsidP="004375C4">
      <w:pPr>
        <w:rPr>
          <w:rtl/>
        </w:rPr>
      </w:pPr>
    </w:p>
    <w:p w:rsidR="007A7D17" w:rsidRDefault="007A7D17" w:rsidP="004375C4">
      <w:pPr>
        <w:rPr>
          <w:rtl/>
        </w:rPr>
      </w:pPr>
    </w:p>
    <w:p w:rsidR="007A7D17" w:rsidRDefault="007A7D17" w:rsidP="004375C4">
      <w:pPr>
        <w:pStyle w:val="afc"/>
        <w:rPr>
          <w:rtl/>
        </w:rPr>
      </w:pPr>
      <w:r>
        <w:rPr>
          <w:rtl/>
        </w:rPr>
        <w:t>פרשת השבוע</w:t>
      </w:r>
    </w:p>
    <w:p w:rsidR="007A7D17" w:rsidRDefault="007A7D17" w:rsidP="004375C4">
      <w:pPr>
        <w:rPr>
          <w:rtl/>
        </w:rPr>
      </w:pPr>
    </w:p>
    <w:p w:rsidR="007A7D17" w:rsidRDefault="007A7D17" w:rsidP="004375C4">
      <w:pPr>
        <w:rPr>
          <w:rtl/>
        </w:rPr>
      </w:pPr>
    </w:p>
    <w:tbl>
      <w:tblPr>
        <w:bidiVisual/>
        <w:tblW w:w="0" w:type="auto"/>
        <w:tblInd w:w="50" w:type="dxa"/>
        <w:tblLayout w:type="fixed"/>
        <w:tblLook w:val="0000"/>
      </w:tblPr>
      <w:tblGrid>
        <w:gridCol w:w="4622"/>
        <w:gridCol w:w="5075"/>
      </w:tblGrid>
      <w:tr w:rsidR="007A7D17">
        <w:tblPrEx>
          <w:tblCellMar>
            <w:top w:w="0" w:type="dxa"/>
            <w:bottom w:w="0" w:type="dxa"/>
          </w:tblCellMar>
        </w:tblPrEx>
        <w:trPr>
          <w:trHeight w:val="412"/>
        </w:trPr>
        <w:tc>
          <w:tcPr>
            <w:tcW w:w="4622" w:type="dxa"/>
            <w:tcBorders>
              <w:top w:val="nil"/>
              <w:left w:val="nil"/>
              <w:bottom w:val="nil"/>
              <w:right w:val="nil"/>
            </w:tcBorders>
          </w:tcPr>
          <w:p w:rsidR="007A7D17" w:rsidRDefault="007A7D17" w:rsidP="004375C4">
            <w:r w:rsidRPr="00393EB8">
              <w:rPr>
                <w:rStyle w:val="affffa"/>
                <w:rFonts w:cs="FrankRuehl"/>
                <w:rtl/>
              </w:rPr>
              <w:t xml:space="preserve">פרשת </w:t>
            </w:r>
            <w:r w:rsidR="00111BD8">
              <w:rPr>
                <w:rStyle w:val="affffa"/>
                <w:rFonts w:cs="FrankRuehl"/>
                <w:rtl/>
              </w:rPr>
              <w:t>נצבים</w:t>
            </w:r>
            <w:r w:rsidR="00A43B16">
              <w:rPr>
                <w:rStyle w:val="affffa"/>
                <w:rFonts w:cs="FrankRuehl"/>
                <w:rtl/>
              </w:rPr>
              <w:t>-וילך</w:t>
            </w:r>
            <w:r w:rsidRPr="00393EB8">
              <w:rPr>
                <w:rStyle w:val="affffa"/>
                <w:rFonts w:cs="FrankRuehl"/>
                <w:rtl/>
              </w:rPr>
              <w:t>, תשס"</w:t>
            </w:r>
            <w:r w:rsidR="00441631">
              <w:rPr>
                <w:rStyle w:val="affffa"/>
                <w:rFonts w:cs="FrankRuehl"/>
                <w:rtl/>
              </w:rPr>
              <w:t>ט</w:t>
            </w:r>
            <w:r w:rsidRPr="00393EB8">
              <w:rPr>
                <w:rStyle w:val="affffa"/>
                <w:rFonts w:cs="FrankRuehl"/>
                <w:rtl/>
              </w:rPr>
              <w:t>,</w:t>
            </w:r>
            <w:r w:rsidRPr="00AB57B5">
              <w:rPr>
                <w:rtl/>
              </w:rPr>
              <w:t xml:space="preserve"> </w:t>
            </w:r>
            <w:r w:rsidRPr="00393EB8">
              <w:rPr>
                <w:rStyle w:val="affffa"/>
                <w:rFonts w:cs="FrankRuehl"/>
                <w:rtl/>
              </w:rPr>
              <w:t xml:space="preserve">גיליון מס' </w:t>
            </w:r>
            <w:r w:rsidR="00111BD8">
              <w:rPr>
                <w:rStyle w:val="affffa"/>
                <w:rFonts w:cs="FrankRuehl"/>
                <w:rtl/>
              </w:rPr>
              <w:t>358</w:t>
            </w:r>
          </w:p>
        </w:tc>
        <w:tc>
          <w:tcPr>
            <w:tcW w:w="5075" w:type="dxa"/>
            <w:tcBorders>
              <w:top w:val="nil"/>
              <w:left w:val="nil"/>
              <w:bottom w:val="nil"/>
              <w:right w:val="nil"/>
            </w:tcBorders>
          </w:tcPr>
          <w:p w:rsidR="009116EC" w:rsidRDefault="009116EC" w:rsidP="004375C4">
            <w:pPr>
              <w:pStyle w:val="affff8"/>
              <w:rPr>
                <w:rtl/>
              </w:rPr>
            </w:pPr>
            <w:r>
              <w:rPr>
                <w:rtl/>
              </w:rPr>
              <w:t>עורכים: אביעד הכהן, מיכאל ויגודה</w:t>
            </w:r>
          </w:p>
          <w:p w:rsidR="007A7D17" w:rsidRPr="00393EB8" w:rsidRDefault="009116EC" w:rsidP="004375C4">
            <w:pPr>
              <w:pStyle w:val="affff9"/>
            </w:pPr>
            <w:r w:rsidRPr="00393EB8">
              <w:rPr>
                <w:rtl/>
              </w:rPr>
              <w:t xml:space="preserve">עריכה לשונית: יחיאל קארה </w:t>
            </w:r>
          </w:p>
        </w:tc>
      </w:tr>
    </w:tbl>
    <w:p w:rsidR="007A7D17" w:rsidRDefault="007A7D17" w:rsidP="004375C4">
      <w:pPr>
        <w:rPr>
          <w:rtl/>
        </w:rPr>
      </w:pPr>
    </w:p>
    <w:p w:rsidR="00441631" w:rsidRPr="00441631" w:rsidRDefault="00441631" w:rsidP="0096658A">
      <w:pPr>
        <w:pStyle w:val="afd"/>
      </w:pPr>
      <w:r w:rsidRPr="00441631">
        <w:rPr>
          <w:rtl/>
        </w:rPr>
        <w:t xml:space="preserve">אם תרצו </w:t>
      </w:r>
      <w:r w:rsidR="0096658A">
        <w:rPr>
          <w:rtl/>
        </w:rPr>
        <w:t xml:space="preserve">- </w:t>
      </w:r>
      <w:r w:rsidRPr="00441631">
        <w:rPr>
          <w:rtl/>
        </w:rPr>
        <w:t xml:space="preserve">אין זו עגונה  </w:t>
      </w:r>
    </w:p>
    <w:p w:rsidR="00441631" w:rsidRPr="00441631" w:rsidRDefault="00441631" w:rsidP="00C069C3">
      <w:pPr>
        <w:pStyle w:val="afff1"/>
        <w:rPr>
          <w:rtl/>
        </w:rPr>
      </w:pPr>
      <w:r w:rsidRPr="00441631">
        <w:rPr>
          <w:rtl/>
        </w:rPr>
        <w:t xml:space="preserve">הטלת סנקציות </w:t>
      </w:r>
      <w:r w:rsidR="003C20A1">
        <w:rPr>
          <w:rtl/>
        </w:rPr>
        <w:t xml:space="preserve">על </w:t>
      </w:r>
      <w:r w:rsidR="00C069C3">
        <w:rPr>
          <w:rtl/>
        </w:rPr>
        <w:t>סרבן גט ו</w:t>
      </w:r>
      <w:r w:rsidRPr="00441631">
        <w:rPr>
          <w:rtl/>
        </w:rPr>
        <w:t>על משפחתו</w:t>
      </w:r>
    </w:p>
    <w:p w:rsidR="007A7D17" w:rsidRPr="00AB57B5" w:rsidRDefault="00441631" w:rsidP="00441631">
      <w:pPr>
        <w:pStyle w:val="affff7"/>
        <w:rPr>
          <w:rtl/>
        </w:rPr>
        <w:sectPr w:rsidR="007A7D17" w:rsidRPr="00AB57B5">
          <w:pgSz w:w="11907" w:h="16840"/>
          <w:pgMar w:top="737" w:right="1021" w:bottom="1077" w:left="1021" w:header="709" w:footer="709" w:gutter="0"/>
          <w:cols w:space="709"/>
          <w:titlePg/>
          <w:bidi/>
        </w:sectPr>
      </w:pPr>
      <w:r w:rsidRPr="00441631">
        <w:rPr>
          <w:rtl/>
        </w:rPr>
        <w:t>אביעד הכהן</w:t>
      </w:r>
      <w:r w:rsidR="007A7D17" w:rsidRPr="00AB57B5">
        <w:rPr>
          <w:rtl/>
        </w:rPr>
        <w:t>*</w:t>
      </w:r>
    </w:p>
    <w:p w:rsidR="00441631" w:rsidRPr="00441631" w:rsidRDefault="00441631" w:rsidP="00441631">
      <w:pPr>
        <w:pStyle w:val="2"/>
        <w:rPr>
          <w:rtl/>
        </w:rPr>
      </w:pPr>
      <w:r w:rsidRPr="00441631">
        <w:rPr>
          <w:rtl/>
        </w:rPr>
        <w:lastRenderedPageBreak/>
        <w:t>אקדמות מילין</w:t>
      </w:r>
    </w:p>
    <w:p w:rsidR="00441631" w:rsidRPr="00C758F7" w:rsidRDefault="00441631" w:rsidP="0096658A">
      <w:pPr>
        <w:rPr>
          <w:rtl/>
        </w:rPr>
      </w:pPr>
      <w:r w:rsidRPr="00C758F7">
        <w:rPr>
          <w:rtl/>
        </w:rPr>
        <w:t>סרבנות גט היא רעה חולה. יש בה כדי להביא לפגיעה אנושה בחירותם ובכבודם של אלפי אנשים</w:t>
      </w:r>
      <w:bookmarkStart w:id="0" w:name="_Ref239996208"/>
      <w:r w:rsidRPr="00C758F7">
        <w:rPr>
          <w:rStyle w:val="a8"/>
          <w:rtl/>
        </w:rPr>
        <w:footnoteReference w:id="1"/>
      </w:r>
      <w:bookmarkEnd w:id="0"/>
      <w:r w:rsidRPr="00C758F7">
        <w:rPr>
          <w:rtl/>
        </w:rPr>
        <w:t>, בדרך כלל נשים, הנותרות בעגינותן</w:t>
      </w:r>
      <w:r w:rsidRPr="00C758F7">
        <w:rPr>
          <w:rStyle w:val="a8"/>
          <w:rtl/>
        </w:rPr>
        <w:footnoteReference w:id="2"/>
      </w:r>
      <w:r w:rsidRPr="00C758F7">
        <w:rPr>
          <w:rtl/>
        </w:rPr>
        <w:t>, או נסחטות ביד בעליהן. מסורבת הגט אינה בת חורין לנהל חיי משפחה</w:t>
      </w:r>
      <w:r w:rsidRPr="00C758F7">
        <w:rPr>
          <w:rStyle w:val="a8"/>
          <w:rtl/>
        </w:rPr>
        <w:footnoteReference w:id="3"/>
      </w:r>
      <w:r w:rsidRPr="00C758F7">
        <w:rPr>
          <w:rtl/>
        </w:rPr>
        <w:t xml:space="preserve">. לעתים קרובות, כבודה </w:t>
      </w:r>
      <w:r w:rsidRPr="00C758F7">
        <w:rPr>
          <w:rtl/>
        </w:rPr>
        <w:lastRenderedPageBreak/>
        <w:t xml:space="preserve">מושפל ונרמס, וגם זכותה להורות נפגעת לא אחת </w:t>
      </w:r>
      <w:r w:rsidR="0096658A">
        <w:rPr>
          <w:rtl/>
        </w:rPr>
        <w:t>עק</w:t>
      </w:r>
      <w:r w:rsidRPr="00C758F7">
        <w:rPr>
          <w:rtl/>
        </w:rPr>
        <w:t xml:space="preserve">ב הכבלים הקושרים אותה </w:t>
      </w:r>
      <w:r w:rsidR="0096658A">
        <w:rPr>
          <w:rtl/>
        </w:rPr>
        <w:t>א</w:t>
      </w:r>
      <w:r w:rsidRPr="00C758F7">
        <w:rPr>
          <w:rtl/>
        </w:rPr>
        <w:t>ל</w:t>
      </w:r>
      <w:r w:rsidR="0096658A">
        <w:rPr>
          <w:rtl/>
        </w:rPr>
        <w:t xml:space="preserve"> בעלה ה</w:t>
      </w:r>
      <w:r w:rsidRPr="00C758F7">
        <w:rPr>
          <w:rtl/>
        </w:rPr>
        <w:t>סרבן</w:t>
      </w:r>
      <w:r w:rsidRPr="00C758F7">
        <w:rPr>
          <w:rStyle w:val="a8"/>
          <w:rtl/>
        </w:rPr>
        <w:footnoteReference w:id="4"/>
      </w:r>
      <w:r w:rsidRPr="00C758F7">
        <w:rPr>
          <w:rtl/>
        </w:rPr>
        <w:t>.</w:t>
      </w:r>
    </w:p>
    <w:p w:rsidR="00441631" w:rsidRPr="00C758F7" w:rsidRDefault="00441631" w:rsidP="00381812">
      <w:pPr>
        <w:rPr>
          <w:rtl/>
        </w:rPr>
      </w:pPr>
      <w:r w:rsidRPr="00C758F7">
        <w:rPr>
          <w:rtl/>
        </w:rPr>
        <w:t xml:space="preserve">סוגיה זו היא אחד האתגרים הגדולים והקשים </w:t>
      </w:r>
      <w:r w:rsidR="0096658A">
        <w:rPr>
          <w:rtl/>
        </w:rPr>
        <w:t>ה</w:t>
      </w:r>
      <w:r w:rsidRPr="00C758F7">
        <w:rPr>
          <w:rtl/>
        </w:rPr>
        <w:t>ניצבים לפתח עולמה של תורת ישראל בימינו</w:t>
      </w:r>
      <w:r w:rsidRPr="00C758F7">
        <w:rPr>
          <w:rStyle w:val="a8"/>
          <w:rtl/>
        </w:rPr>
        <w:footnoteReference w:id="5"/>
      </w:r>
      <w:r w:rsidRPr="00C758F7">
        <w:rPr>
          <w:rtl/>
        </w:rPr>
        <w:t>. לא אחת, הש</w:t>
      </w:r>
      <w:r>
        <w:rPr>
          <w:rtl/>
        </w:rPr>
        <w:t>ו</w:t>
      </w:r>
      <w:r w:rsidRPr="00C758F7">
        <w:rPr>
          <w:rtl/>
        </w:rPr>
        <w:t>ו חכמי ישראל את פדיון מסורבות הגט מזיקתן הכפויה לבעל ל"פדיון שבויים", והשוו את העיסוק בהלכות אלה ל"דיני נפשות". על רקע זה, ניתן להבין את ההקלות הרבות בדיני ראיות שנהגו חכמים בעגונה. כך, למשל, התירו את שחרורה גם על סמך ראיות שאינן קבילות</w:t>
      </w:r>
      <w:r w:rsidR="00381812">
        <w:rPr>
          <w:rtl/>
        </w:rPr>
        <w:t xml:space="preserve"> בדרך כלל</w:t>
      </w:r>
      <w:r w:rsidRPr="00C758F7">
        <w:rPr>
          <w:rtl/>
        </w:rPr>
        <w:t xml:space="preserve">, כגון עדות נסיבתית, עדות שמיעה, ואפילו עדות "מפי בת קול" </w:t>
      </w:r>
      <w:r w:rsidR="0096658A">
        <w:rPr>
          <w:rtl/>
        </w:rPr>
        <w:t>ה</w:t>
      </w:r>
      <w:r w:rsidRPr="00C758F7">
        <w:rPr>
          <w:rtl/>
        </w:rPr>
        <w:t>יוצאת מ</w:t>
      </w:r>
      <w:r w:rsidR="0096658A">
        <w:rPr>
          <w:rtl/>
        </w:rPr>
        <w:t>ן ה</w:t>
      </w:r>
      <w:r w:rsidRPr="00C758F7">
        <w:rPr>
          <w:rtl/>
        </w:rPr>
        <w:t xml:space="preserve">שמים. </w:t>
      </w:r>
    </w:p>
    <w:p w:rsidR="00441631" w:rsidRPr="00C758F7" w:rsidRDefault="0096658A" w:rsidP="0096658A">
      <w:pPr>
        <w:rPr>
          <w:rtl/>
        </w:rPr>
      </w:pPr>
      <w:r>
        <w:rPr>
          <w:rtl/>
        </w:rPr>
        <w:t xml:space="preserve">כדי </w:t>
      </w:r>
      <w:r w:rsidR="00441631" w:rsidRPr="00C758F7">
        <w:rPr>
          <w:rtl/>
        </w:rPr>
        <w:t xml:space="preserve">להתמודד עם סוגיה </w:t>
      </w:r>
      <w:r>
        <w:rPr>
          <w:rtl/>
        </w:rPr>
        <w:t xml:space="preserve">קשה </w:t>
      </w:r>
      <w:r w:rsidR="00441631" w:rsidRPr="00C758F7">
        <w:rPr>
          <w:rtl/>
        </w:rPr>
        <w:t xml:space="preserve">זו, יצרו חכמי ההלכה במשך הדורות </w:t>
      </w:r>
      <w:r>
        <w:rPr>
          <w:rtl/>
        </w:rPr>
        <w:t xml:space="preserve">מגוון </w:t>
      </w:r>
      <w:r w:rsidR="00441631" w:rsidRPr="00C758F7">
        <w:rPr>
          <w:rtl/>
        </w:rPr>
        <w:t>מנגנונים כדי לשחרר את האישה בעת הצורך מן הנישואין. כך, למשל, קיימים הסדרי טרום-נישואין, כגון הסכמי קדם נישואין</w:t>
      </w:r>
      <w:r w:rsidR="00441631">
        <w:rPr>
          <w:rStyle w:val="a8"/>
          <w:rtl/>
        </w:rPr>
        <w:footnoteReference w:id="6"/>
      </w:r>
      <w:r w:rsidR="00441631" w:rsidRPr="00C758F7">
        <w:rPr>
          <w:rtl/>
        </w:rPr>
        <w:t xml:space="preserve"> וקידושין על תנאי.  </w:t>
      </w:r>
    </w:p>
    <w:p w:rsidR="00441631" w:rsidRPr="00381812" w:rsidRDefault="00441631" w:rsidP="0096658A">
      <w:pPr>
        <w:rPr>
          <w:spacing w:val="-2"/>
          <w:rtl/>
        </w:rPr>
      </w:pPr>
      <w:r w:rsidRPr="00381812">
        <w:rPr>
          <w:spacing w:val="-2"/>
          <w:rtl/>
        </w:rPr>
        <w:lastRenderedPageBreak/>
        <w:t>פתרונות אחרים הם הסדרי בתר-נישואין המופעלים על ידי בית הדין, כגון כפיית גט</w:t>
      </w:r>
      <w:r w:rsidR="0096658A" w:rsidRPr="00381812">
        <w:rPr>
          <w:spacing w:val="-2"/>
          <w:rtl/>
        </w:rPr>
        <w:t xml:space="preserve"> לסוגיה</w:t>
      </w:r>
      <w:r w:rsidRPr="00381812">
        <w:rPr>
          <w:spacing w:val="-2"/>
          <w:rtl/>
        </w:rPr>
        <w:t>, "מקח טעות"</w:t>
      </w:r>
      <w:r w:rsidRPr="00381812">
        <w:rPr>
          <w:rStyle w:val="a8"/>
          <w:spacing w:val="-2"/>
          <w:rtl/>
        </w:rPr>
        <w:footnoteReference w:id="7"/>
      </w:r>
      <w:r w:rsidR="009F0C44" w:rsidRPr="00381812">
        <w:rPr>
          <w:spacing w:val="-2"/>
          <w:rtl/>
        </w:rPr>
        <w:t xml:space="preserve"> ו</w:t>
      </w:r>
      <w:r w:rsidRPr="00381812">
        <w:rPr>
          <w:spacing w:val="-2"/>
          <w:rtl/>
        </w:rPr>
        <w:t xml:space="preserve">הפקעת </w:t>
      </w:r>
      <w:r w:rsidR="0096658A" w:rsidRPr="00381812">
        <w:rPr>
          <w:spacing w:val="-2"/>
          <w:rtl/>
        </w:rPr>
        <w:t>ה</w:t>
      </w:r>
      <w:r w:rsidRPr="00381812">
        <w:rPr>
          <w:spacing w:val="-2"/>
          <w:rtl/>
        </w:rPr>
        <w:t>קידושין</w:t>
      </w:r>
      <w:r w:rsidRPr="00381812">
        <w:rPr>
          <w:rStyle w:val="a8"/>
          <w:spacing w:val="-2"/>
          <w:rtl/>
        </w:rPr>
        <w:footnoteReference w:id="8"/>
      </w:r>
      <w:r w:rsidRPr="00381812">
        <w:rPr>
          <w:spacing w:val="-2"/>
          <w:rtl/>
        </w:rPr>
        <w:t xml:space="preserve">. אמצעי </w:t>
      </w:r>
      <w:r w:rsidR="0096658A" w:rsidRPr="00381812">
        <w:rPr>
          <w:spacing w:val="-2"/>
          <w:rtl/>
        </w:rPr>
        <w:t xml:space="preserve">אחר </w:t>
      </w:r>
      <w:r w:rsidRPr="00381812">
        <w:rPr>
          <w:spacing w:val="-2"/>
          <w:rtl/>
        </w:rPr>
        <w:t xml:space="preserve">שנעשה בו שימוש רב יחסית בעת האחרונה הוא הגשת תביעה לפיצויי נזיקין בבית משפט אזרחי נגד סרבן הגט, </w:t>
      </w:r>
      <w:r w:rsidR="0096658A" w:rsidRPr="00381812">
        <w:rPr>
          <w:spacing w:val="-2"/>
          <w:rtl/>
        </w:rPr>
        <w:t xml:space="preserve">מתוך כוונה </w:t>
      </w:r>
      <w:r w:rsidRPr="00381812">
        <w:rPr>
          <w:spacing w:val="-2"/>
          <w:rtl/>
        </w:rPr>
        <w:t xml:space="preserve">להפעיל עליו לחץ </w:t>
      </w:r>
      <w:r w:rsidR="0096658A" w:rsidRPr="00381812">
        <w:rPr>
          <w:spacing w:val="-2"/>
          <w:rtl/>
        </w:rPr>
        <w:t>כדי</w:t>
      </w:r>
      <w:r w:rsidRPr="00381812">
        <w:rPr>
          <w:spacing w:val="-2"/>
          <w:rtl/>
        </w:rPr>
        <w:t xml:space="preserve"> שייתן גט לאשתו</w:t>
      </w:r>
      <w:r w:rsidR="00111BD8" w:rsidRPr="00381812">
        <w:rPr>
          <w:rStyle w:val="a8"/>
          <w:spacing w:val="-2"/>
          <w:rtl/>
        </w:rPr>
        <w:footnoteReference w:id="9"/>
      </w:r>
      <w:r w:rsidRPr="00381812">
        <w:rPr>
          <w:spacing w:val="-2"/>
          <w:rtl/>
        </w:rPr>
        <w:t>. נוסף</w:t>
      </w:r>
      <w:r w:rsidR="0096658A" w:rsidRPr="00381812">
        <w:rPr>
          <w:spacing w:val="-2"/>
          <w:rtl/>
        </w:rPr>
        <w:t xml:space="preserve"> על זה</w:t>
      </w:r>
      <w:r w:rsidRPr="00381812">
        <w:rPr>
          <w:spacing w:val="-2"/>
          <w:rtl/>
        </w:rPr>
        <w:t>, הועלתה הצעה לפס</w:t>
      </w:r>
      <w:r w:rsidR="0096658A" w:rsidRPr="00381812">
        <w:rPr>
          <w:spacing w:val="-2"/>
          <w:rtl/>
        </w:rPr>
        <w:t>ו</w:t>
      </w:r>
      <w:r w:rsidRPr="00381812">
        <w:rPr>
          <w:spacing w:val="-2"/>
          <w:rtl/>
        </w:rPr>
        <w:t xml:space="preserve">ק </w:t>
      </w:r>
      <w:r w:rsidR="0096658A" w:rsidRPr="00381812">
        <w:rPr>
          <w:spacing w:val="-2"/>
          <w:rtl/>
        </w:rPr>
        <w:t xml:space="preserve">במקרי סרבנות דמי </w:t>
      </w:r>
      <w:r w:rsidRPr="00381812">
        <w:rPr>
          <w:spacing w:val="-2"/>
          <w:rtl/>
        </w:rPr>
        <w:t>מזונות עונשיים</w:t>
      </w:r>
      <w:r w:rsidRPr="00381812">
        <w:rPr>
          <w:rStyle w:val="a8"/>
          <w:spacing w:val="-2"/>
          <w:rtl/>
        </w:rPr>
        <w:footnoteReference w:id="10"/>
      </w:r>
      <w:r w:rsidRPr="00381812">
        <w:rPr>
          <w:spacing w:val="-2"/>
          <w:rtl/>
        </w:rPr>
        <w:t xml:space="preserve">. </w:t>
      </w:r>
      <w:r w:rsidR="0096658A" w:rsidRPr="00381812">
        <w:rPr>
          <w:spacing w:val="-2"/>
          <w:rtl/>
        </w:rPr>
        <w:t xml:space="preserve">ואולם </w:t>
      </w:r>
      <w:r w:rsidRPr="00381812">
        <w:rPr>
          <w:spacing w:val="-2"/>
          <w:rtl/>
        </w:rPr>
        <w:t xml:space="preserve">שני הפתרונות האחרונים </w:t>
      </w:r>
      <w:r w:rsidR="001A4D75" w:rsidRPr="00381812">
        <w:rPr>
          <w:spacing w:val="-2"/>
          <w:rtl/>
        </w:rPr>
        <w:t>כמעט ו</w:t>
      </w:r>
      <w:r w:rsidRPr="00381812">
        <w:rPr>
          <w:spacing w:val="-2"/>
          <w:rtl/>
        </w:rPr>
        <w:t>אינם יעילים א</w:t>
      </w:r>
      <w:r w:rsidR="0096658A" w:rsidRPr="00381812">
        <w:rPr>
          <w:spacing w:val="-2"/>
          <w:rtl/>
        </w:rPr>
        <w:t>ם</w:t>
      </w:r>
      <w:r w:rsidRPr="00381812">
        <w:rPr>
          <w:spacing w:val="-2"/>
          <w:rtl/>
        </w:rPr>
        <w:t xml:space="preserve"> סרבן הגט אינו בעל אמצעים. </w:t>
      </w:r>
    </w:p>
    <w:p w:rsidR="00441631" w:rsidRPr="00441631" w:rsidRDefault="00441631" w:rsidP="00441631">
      <w:pPr>
        <w:pStyle w:val="2"/>
        <w:rPr>
          <w:rtl/>
        </w:rPr>
      </w:pPr>
      <w:r w:rsidRPr="00441631">
        <w:rPr>
          <w:rtl/>
        </w:rPr>
        <w:t>כפיית גט</w:t>
      </w:r>
    </w:p>
    <w:p w:rsidR="00441631" w:rsidRPr="00C758F7" w:rsidRDefault="00441631" w:rsidP="00381812">
      <w:pPr>
        <w:rPr>
          <w:rtl/>
        </w:rPr>
      </w:pPr>
      <w:r w:rsidRPr="00C758F7">
        <w:rPr>
          <w:rtl/>
        </w:rPr>
        <w:t xml:space="preserve">הבעיה הגדולה </w:t>
      </w:r>
      <w:r w:rsidR="0096658A">
        <w:rPr>
          <w:rtl/>
        </w:rPr>
        <w:t>ה</w:t>
      </w:r>
      <w:r w:rsidRPr="00C758F7">
        <w:rPr>
          <w:rtl/>
        </w:rPr>
        <w:t xml:space="preserve">ניצבת בפני הפתרונות </w:t>
      </w:r>
      <w:r w:rsidR="0096658A">
        <w:rPr>
          <w:rtl/>
        </w:rPr>
        <w:t>הכרוכים ב</w:t>
      </w:r>
      <w:r w:rsidRPr="00C758F7">
        <w:rPr>
          <w:rtl/>
        </w:rPr>
        <w:t>הפעלת לחץ על סרבן הגט היא החשש מפני "גט מעושה". לפי ההלכה, הגט צריך להינתן מרצונו החופשי של הבעל. כך שנו חכמים במשנתם</w:t>
      </w:r>
      <w:r w:rsidR="00381812">
        <w:rPr>
          <w:rStyle w:val="a8"/>
          <w:rtl/>
        </w:rPr>
        <w:footnoteReference w:id="11"/>
      </w:r>
      <w:r w:rsidRPr="00C758F7">
        <w:rPr>
          <w:rtl/>
        </w:rPr>
        <w:t>: "אינו דומה האיש המגרש לאשה מתגרשת</w:t>
      </w:r>
      <w:r w:rsidR="0096658A">
        <w:rPr>
          <w:rtl/>
        </w:rPr>
        <w:t>.</w:t>
      </w:r>
      <w:r w:rsidRPr="00C758F7">
        <w:rPr>
          <w:rtl/>
        </w:rPr>
        <w:t xml:space="preserve"> שהאשה יוצאה לרצונה ושלא לרצונה</w:t>
      </w:r>
      <w:r w:rsidRPr="00C758F7">
        <w:rPr>
          <w:rStyle w:val="a8"/>
          <w:rtl/>
        </w:rPr>
        <w:footnoteReference w:id="12"/>
      </w:r>
      <w:r w:rsidR="0096658A">
        <w:rPr>
          <w:rtl/>
        </w:rPr>
        <w:t>,</w:t>
      </w:r>
      <w:r w:rsidRPr="00C758F7">
        <w:rPr>
          <w:rtl/>
        </w:rPr>
        <w:t xml:space="preserve"> </w:t>
      </w:r>
      <w:r w:rsidRPr="00381812">
        <w:rPr>
          <w:rStyle w:val="aff2"/>
          <w:rtl/>
        </w:rPr>
        <w:t>והאיש אינו מוציא אלא לרצונו</w:t>
      </w:r>
      <w:r w:rsidR="0096658A" w:rsidRPr="00C758F7">
        <w:rPr>
          <w:rtl/>
        </w:rPr>
        <w:t>"</w:t>
      </w:r>
      <w:r w:rsidRPr="00C758F7">
        <w:rPr>
          <w:rStyle w:val="a8"/>
          <w:rtl/>
        </w:rPr>
        <w:footnoteReference w:id="13"/>
      </w:r>
      <w:r w:rsidRPr="00C758F7">
        <w:rPr>
          <w:rFonts w:cs="David"/>
          <w:rtl/>
        </w:rPr>
        <w:t xml:space="preserve">. </w:t>
      </w:r>
    </w:p>
    <w:p w:rsidR="001C223D" w:rsidRDefault="00441631" w:rsidP="001C223D">
      <w:pPr>
        <w:rPr>
          <w:rtl/>
        </w:rPr>
      </w:pPr>
      <w:r w:rsidRPr="00C758F7">
        <w:rPr>
          <w:rtl/>
        </w:rPr>
        <w:t>ברם, במקרים מסוימים התירו חכמים לבית הדין לכפות גט על האיש. ו</w:t>
      </w:r>
      <w:r w:rsidR="0096658A">
        <w:rPr>
          <w:rtl/>
        </w:rPr>
        <w:t xml:space="preserve">אף על פי </w:t>
      </w:r>
      <w:r w:rsidRPr="00C758F7">
        <w:rPr>
          <w:rtl/>
        </w:rPr>
        <w:t xml:space="preserve">שלכאורה במקרה זה הגט ניתן שלא </w:t>
      </w:r>
      <w:r w:rsidRPr="00C758F7">
        <w:rPr>
          <w:rtl/>
        </w:rPr>
        <w:lastRenderedPageBreak/>
        <w:t>לרצונו, בשונה מדין תורה, רואים אותו כאילו ניתן מרצון. הסבר מופלא ל</w:t>
      </w:r>
      <w:r w:rsidR="001C223D">
        <w:rPr>
          <w:rtl/>
        </w:rPr>
        <w:t>עניין זה</w:t>
      </w:r>
      <w:r w:rsidRPr="00C758F7">
        <w:rPr>
          <w:rtl/>
        </w:rPr>
        <w:t xml:space="preserve"> </w:t>
      </w:r>
      <w:r w:rsidR="001C223D">
        <w:rPr>
          <w:rtl/>
        </w:rPr>
        <w:t>מ</w:t>
      </w:r>
      <w:r w:rsidRPr="00C758F7">
        <w:rPr>
          <w:rtl/>
        </w:rPr>
        <w:t>ביא הרמב"ם</w:t>
      </w:r>
      <w:r w:rsidR="00C069C3">
        <w:rPr>
          <w:rStyle w:val="a8"/>
          <w:rtl/>
        </w:rPr>
        <w:footnoteReference w:id="14"/>
      </w:r>
      <w:r w:rsidRPr="00C758F7">
        <w:rPr>
          <w:rtl/>
        </w:rPr>
        <w:t>:</w:t>
      </w:r>
    </w:p>
    <w:p w:rsidR="00441631" w:rsidRPr="00C758F7" w:rsidRDefault="00441631" w:rsidP="001C223D">
      <w:pPr>
        <w:ind w:left="340"/>
        <w:rPr>
          <w:rtl/>
        </w:rPr>
      </w:pPr>
      <w:r w:rsidRPr="00381812">
        <w:rPr>
          <w:spacing w:val="-2"/>
          <w:rtl/>
        </w:rPr>
        <w:t>מי שהדין נותן שכופין אותו לגרש ולא רצה, בית דין של ישראל מכין אותו עד שיגרש. וכן אם הכוהו גויים ואמרו לו: עשה מה שישראל אומרים לך - הרי זה [=גט] כשר... ולמה לא בטל זה, שהרי הוא אנוס, בין בידי גויים בין בידי ישראל?</w:t>
      </w:r>
      <w:r w:rsidR="00394C7D" w:rsidRPr="00381812">
        <w:rPr>
          <w:spacing w:val="-2"/>
          <w:rtl/>
        </w:rPr>
        <w:t xml:space="preserve"> </w:t>
      </w:r>
      <w:r w:rsidRPr="00381812">
        <w:rPr>
          <w:spacing w:val="-2"/>
          <w:rtl/>
        </w:rPr>
        <w:t>שאין אומרים אנוס אלא למי שנחלץ ונדחק לעשות דבר שאינו מחויב בו מן התורה</w:t>
      </w:r>
      <w:r w:rsidR="001C223D" w:rsidRPr="00381812">
        <w:rPr>
          <w:spacing w:val="-2"/>
          <w:rtl/>
        </w:rPr>
        <w:t>.</w:t>
      </w:r>
      <w:r w:rsidRPr="00381812">
        <w:rPr>
          <w:spacing w:val="-2"/>
          <w:rtl/>
        </w:rPr>
        <w:t xml:space="preserve"> אבל מי שתקפו יצרו לבטל מצווה או לעשות עבירה והוכה עד שעשה דבר שחייב מן התורה לעשותו, או עד שנתרחק מדבר האיסור - אין זה אנוס, אלא הוא אנס את עצמו בדעתו הרעה.</w:t>
      </w:r>
      <w:r w:rsidR="00394C7D" w:rsidRPr="00381812">
        <w:rPr>
          <w:spacing w:val="-2"/>
          <w:rtl/>
        </w:rPr>
        <w:t xml:space="preserve"> </w:t>
      </w:r>
      <w:r w:rsidRPr="00381812">
        <w:rPr>
          <w:spacing w:val="-2"/>
          <w:rtl/>
        </w:rPr>
        <w:t>לפיכך זה שאינו רוצה לגרש,</w:t>
      </w:r>
      <w:r w:rsidRPr="00C758F7">
        <w:rPr>
          <w:rtl/>
        </w:rPr>
        <w:t xml:space="preserve"> </w:t>
      </w:r>
      <w:r w:rsidRPr="00381812">
        <w:rPr>
          <w:rStyle w:val="aff2"/>
          <w:rtl/>
        </w:rPr>
        <w:t>מאחר שהוא רוצה להיות מישראל והוא רוצה לעשות כל המצוות ולהתרחק מן העבירות</w:t>
      </w:r>
      <w:r w:rsidR="001C223D" w:rsidRPr="00381812">
        <w:rPr>
          <w:rStyle w:val="aff2"/>
          <w:rtl/>
        </w:rPr>
        <w:t>,</w:t>
      </w:r>
      <w:r w:rsidRPr="00381812">
        <w:rPr>
          <w:rStyle w:val="aff2"/>
          <w:rtl/>
        </w:rPr>
        <w:t xml:space="preserve"> ויצרו הוא שתקפו</w:t>
      </w:r>
      <w:r w:rsidRPr="00C758F7">
        <w:rPr>
          <w:rStyle w:val="a8"/>
          <w:b/>
          <w:bCs/>
          <w:rtl/>
        </w:rPr>
        <w:footnoteReference w:id="15"/>
      </w:r>
      <w:r w:rsidRPr="00C758F7">
        <w:rPr>
          <w:rtl/>
        </w:rPr>
        <w:t>, וכיון שהוכה ואמר</w:t>
      </w:r>
      <w:r w:rsidR="001C223D">
        <w:rPr>
          <w:rtl/>
        </w:rPr>
        <w:t>:</w:t>
      </w:r>
      <w:r w:rsidRPr="00C758F7">
        <w:rPr>
          <w:rtl/>
        </w:rPr>
        <w:t xml:space="preserve"> "רוצה אני" - כבר גירש לרצונו.  </w:t>
      </w:r>
    </w:p>
    <w:p w:rsidR="00441631" w:rsidRPr="00C758F7" w:rsidRDefault="00441631" w:rsidP="00441631">
      <w:pPr>
        <w:rPr>
          <w:rtl/>
        </w:rPr>
      </w:pPr>
      <w:r w:rsidRPr="00C758F7">
        <w:rPr>
          <w:rtl/>
        </w:rPr>
        <w:t xml:space="preserve">לפי הסבר זה, מיד בסמוך להכאה מגלה המוכה-סרבן הגט את רצונו האמתי, וממילא אין כאן "גט מעושה". </w:t>
      </w:r>
    </w:p>
    <w:p w:rsidR="00441631" w:rsidRPr="002C5EFC" w:rsidRDefault="00441631" w:rsidP="007A00E8">
      <w:pPr>
        <w:rPr>
          <w:spacing w:val="-4"/>
          <w:rtl/>
        </w:rPr>
      </w:pPr>
      <w:r w:rsidRPr="00C758F7">
        <w:rPr>
          <w:rtl/>
        </w:rPr>
        <w:t>ה</w:t>
      </w:r>
      <w:r w:rsidR="00651B15">
        <w:rPr>
          <w:rtl/>
        </w:rPr>
        <w:t>ֵ</w:t>
      </w:r>
      <w:r w:rsidRPr="00C758F7">
        <w:rPr>
          <w:rtl/>
        </w:rPr>
        <w:t>ד לכפיית גט מצוי גם בדין הישראלי, בסעיף 6 ל</w:t>
      </w:r>
      <w:r w:rsidRPr="00C758F7">
        <w:rPr>
          <w:b/>
          <w:bCs/>
          <w:rtl/>
        </w:rPr>
        <w:t xml:space="preserve">חוק שיפוט בתי דין רבניים (נישואין וגירושין), </w:t>
      </w:r>
      <w:r w:rsidR="00381812">
        <w:rPr>
          <w:b/>
          <w:bCs/>
          <w:rtl/>
        </w:rPr>
        <w:t>ה</w:t>
      </w:r>
      <w:r w:rsidRPr="00C758F7">
        <w:rPr>
          <w:b/>
          <w:bCs/>
          <w:rtl/>
        </w:rPr>
        <w:t>תשי"ג-1953</w:t>
      </w:r>
      <w:r w:rsidR="00394C7D">
        <w:rPr>
          <w:b/>
          <w:bCs/>
          <w:rtl/>
        </w:rPr>
        <w:t xml:space="preserve">. </w:t>
      </w:r>
      <w:r w:rsidRPr="00C758F7">
        <w:rPr>
          <w:rtl/>
        </w:rPr>
        <w:t>ברם, בתי הדין פוסקים על כפיית גט רק במקרים נדירים ביותר, וממילא היה חוק זה ל"אות מתה", והופעל במשך עשרות שנים רק לעתים רחוקות ביותר.</w:t>
      </w:r>
      <w:r w:rsidR="00394C7D">
        <w:rPr>
          <w:rtl/>
        </w:rPr>
        <w:t xml:space="preserve"> </w:t>
      </w:r>
      <w:r w:rsidRPr="00C758F7">
        <w:rPr>
          <w:rtl/>
        </w:rPr>
        <w:t>למרבה הצער, הימנעות בית הדין לכפות גט או</w:t>
      </w:r>
      <w:r>
        <w:rPr>
          <w:rtl/>
        </w:rPr>
        <w:t xml:space="preserve"> </w:t>
      </w:r>
      <w:r w:rsidRPr="00C758F7">
        <w:rPr>
          <w:rtl/>
        </w:rPr>
        <w:t xml:space="preserve">למצער לחייב את האיש </w:t>
      </w:r>
      <w:r w:rsidR="00D66662">
        <w:rPr>
          <w:rtl/>
        </w:rPr>
        <w:t xml:space="preserve">לתת </w:t>
      </w:r>
      <w:r w:rsidRPr="00C758F7">
        <w:rPr>
          <w:rtl/>
        </w:rPr>
        <w:t>גט</w:t>
      </w:r>
      <w:r w:rsidR="00D66662">
        <w:rPr>
          <w:rtl/>
        </w:rPr>
        <w:t xml:space="preserve"> לאשתו</w:t>
      </w:r>
      <w:r w:rsidRPr="00C758F7">
        <w:rPr>
          <w:rStyle w:val="a8"/>
          <w:rtl/>
        </w:rPr>
        <w:footnoteReference w:id="16"/>
      </w:r>
      <w:r w:rsidRPr="00C758F7">
        <w:rPr>
          <w:rtl/>
        </w:rPr>
        <w:t xml:space="preserve">, גם </w:t>
      </w:r>
      <w:r w:rsidR="00D66662">
        <w:rPr>
          <w:rtl/>
        </w:rPr>
        <w:t>כ</w:t>
      </w:r>
      <w:r w:rsidRPr="00C758F7">
        <w:rPr>
          <w:rtl/>
        </w:rPr>
        <w:t>שהנסיבות מצדיקות זאת, ויש בסיס הלכתי רחב לכפייה זו, אופיינית לדרך התנהלותם של רבים מבתי הדין הרבניים בעשור האחרון</w:t>
      </w:r>
      <w:r w:rsidRPr="00C758F7">
        <w:rPr>
          <w:rStyle w:val="a8"/>
          <w:rtl/>
        </w:rPr>
        <w:footnoteReference w:id="17"/>
      </w:r>
      <w:r w:rsidRPr="00C758F7">
        <w:rPr>
          <w:rtl/>
        </w:rPr>
        <w:t>. לפי נתונים שונים</w:t>
      </w:r>
      <w:bookmarkStart w:id="1" w:name="_Ref239996236"/>
      <w:r w:rsidRPr="00C758F7">
        <w:rPr>
          <w:rStyle w:val="a8"/>
          <w:rtl/>
        </w:rPr>
        <w:footnoteReference w:id="18"/>
      </w:r>
      <w:bookmarkEnd w:id="1"/>
      <w:r w:rsidRPr="00C758F7">
        <w:rPr>
          <w:rtl/>
        </w:rPr>
        <w:t xml:space="preserve">, שליש מן התיקים </w:t>
      </w:r>
      <w:r w:rsidRPr="00C758F7">
        <w:rPr>
          <w:rtl/>
        </w:rPr>
        <w:lastRenderedPageBreak/>
        <w:t xml:space="preserve">שניתנה בהם החלטה </w:t>
      </w:r>
      <w:r w:rsidRPr="00381812">
        <w:rPr>
          <w:rStyle w:val="aff2"/>
          <w:rtl/>
        </w:rPr>
        <w:t>לחיוב גט</w:t>
      </w:r>
      <w:r w:rsidRPr="00C758F7">
        <w:rPr>
          <w:rtl/>
        </w:rPr>
        <w:t xml:space="preserve"> </w:t>
      </w:r>
      <w:r w:rsidR="00D66662">
        <w:rPr>
          <w:rtl/>
        </w:rPr>
        <w:t xml:space="preserve">עדיין לא </w:t>
      </w:r>
      <w:r w:rsidRPr="00C758F7">
        <w:rPr>
          <w:rtl/>
        </w:rPr>
        <w:t>הגיעו לכלל מתן גט בפועל</w:t>
      </w:r>
      <w:r w:rsidR="00D66662">
        <w:rPr>
          <w:rtl/>
        </w:rPr>
        <w:t>, וכן</w:t>
      </w:r>
      <w:r w:rsidRPr="00C758F7">
        <w:rPr>
          <w:rtl/>
        </w:rPr>
        <w:t xml:space="preserve"> גם </w:t>
      </w:r>
      <w:r w:rsidR="00D66662">
        <w:rPr>
          <w:rtl/>
        </w:rPr>
        <w:t>ב-</w:t>
      </w:r>
      <w:r w:rsidRPr="00C758F7">
        <w:rPr>
          <w:rtl/>
        </w:rPr>
        <w:t xml:space="preserve">20% מן התיקים שניתנה בהם החלטה </w:t>
      </w:r>
      <w:r w:rsidRPr="00381812">
        <w:rPr>
          <w:rStyle w:val="aff2"/>
          <w:rtl/>
        </w:rPr>
        <w:t>לכפות גט</w:t>
      </w:r>
      <w:r w:rsidRPr="00C758F7">
        <w:rPr>
          <w:rtl/>
        </w:rPr>
        <w:t xml:space="preserve">. </w:t>
      </w:r>
      <w:r w:rsidRPr="002C5EFC">
        <w:rPr>
          <w:spacing w:val="-4"/>
          <w:rtl/>
        </w:rPr>
        <w:t>עד שנת 2000</w:t>
      </w:r>
      <w:r w:rsidR="00D66662" w:rsidRPr="002C5EFC">
        <w:rPr>
          <w:spacing w:val="-4"/>
          <w:rtl/>
        </w:rPr>
        <w:t>,</w:t>
      </w:r>
      <w:r w:rsidRPr="002C5EFC">
        <w:rPr>
          <w:spacing w:val="-4"/>
          <w:rtl/>
        </w:rPr>
        <w:t xml:space="preserve"> </w:t>
      </w:r>
      <w:r w:rsidR="00D66662" w:rsidRPr="002C5EFC">
        <w:rPr>
          <w:spacing w:val="-4"/>
          <w:rtl/>
        </w:rPr>
        <w:t>חל</w:t>
      </w:r>
      <w:r w:rsidRPr="002C5EFC">
        <w:rPr>
          <w:spacing w:val="-4"/>
          <w:rtl/>
        </w:rPr>
        <w:t>ה עלי</w:t>
      </w:r>
      <w:r w:rsidR="00D66662" w:rsidRPr="002C5EFC">
        <w:rPr>
          <w:spacing w:val="-4"/>
          <w:rtl/>
        </w:rPr>
        <w:t>י</w:t>
      </w:r>
      <w:r w:rsidRPr="002C5EFC">
        <w:rPr>
          <w:spacing w:val="-4"/>
          <w:rtl/>
        </w:rPr>
        <w:t xml:space="preserve">ה משמעותית במספר ההחלטות לחיוב </w:t>
      </w:r>
      <w:r w:rsidR="00D66662" w:rsidRPr="002C5EFC">
        <w:rPr>
          <w:spacing w:val="-4"/>
          <w:rtl/>
        </w:rPr>
        <w:t xml:space="preserve">גט </w:t>
      </w:r>
      <w:r w:rsidRPr="002C5EFC">
        <w:rPr>
          <w:spacing w:val="-4"/>
          <w:rtl/>
        </w:rPr>
        <w:t>ולכפיית גט שניתנו בבתי הדין הרבניים</w:t>
      </w:r>
      <w:r w:rsidR="00D66662" w:rsidRPr="002C5EFC">
        <w:rPr>
          <w:spacing w:val="-4"/>
          <w:rtl/>
        </w:rPr>
        <w:t>,</w:t>
      </w:r>
      <w:r w:rsidRPr="002C5EFC">
        <w:rPr>
          <w:spacing w:val="-4"/>
          <w:rtl/>
        </w:rPr>
        <w:t xml:space="preserve"> </w:t>
      </w:r>
      <w:r w:rsidR="00D66662" w:rsidRPr="002C5EFC">
        <w:rPr>
          <w:spacing w:val="-4"/>
          <w:rtl/>
        </w:rPr>
        <w:t xml:space="preserve">אך </w:t>
      </w:r>
      <w:r w:rsidRPr="002C5EFC">
        <w:rPr>
          <w:spacing w:val="-4"/>
          <w:rtl/>
        </w:rPr>
        <w:t>מאז המספרים יציבים למדי</w:t>
      </w:r>
      <w:r w:rsidRPr="002C5EFC">
        <w:rPr>
          <w:rStyle w:val="a8"/>
          <w:spacing w:val="-4"/>
          <w:rtl/>
        </w:rPr>
        <w:footnoteReference w:id="19"/>
      </w:r>
      <w:r w:rsidRPr="002C5EFC">
        <w:rPr>
          <w:spacing w:val="-4"/>
          <w:rtl/>
        </w:rPr>
        <w:t>. קפיצה משמעותית בנתונים הייתה בשנת 2007, שניתנו</w:t>
      </w:r>
      <w:r w:rsidR="00D66662" w:rsidRPr="002C5EFC">
        <w:rPr>
          <w:spacing w:val="-4"/>
          <w:rtl/>
        </w:rPr>
        <w:t xml:space="preserve"> בה</w:t>
      </w:r>
      <w:r w:rsidRPr="002C5EFC">
        <w:rPr>
          <w:spacing w:val="-4"/>
          <w:rtl/>
        </w:rPr>
        <w:t xml:space="preserve"> 18 החלטות לכפיית גט, אך מוקדם מדי לדעת </w:t>
      </w:r>
      <w:r w:rsidR="00D66662" w:rsidRPr="002C5EFC">
        <w:rPr>
          <w:spacing w:val="-4"/>
          <w:rtl/>
        </w:rPr>
        <w:t xml:space="preserve">אם </w:t>
      </w:r>
      <w:r w:rsidRPr="002C5EFC">
        <w:rPr>
          <w:spacing w:val="-4"/>
          <w:rtl/>
        </w:rPr>
        <w:t xml:space="preserve">אמנם </w:t>
      </w:r>
      <w:r w:rsidR="00D66662" w:rsidRPr="002C5EFC">
        <w:rPr>
          <w:spacing w:val="-4"/>
          <w:rtl/>
        </w:rPr>
        <w:t>מדובר ב</w:t>
      </w:r>
      <w:r w:rsidRPr="002C5EFC">
        <w:rPr>
          <w:spacing w:val="-4"/>
          <w:rtl/>
        </w:rPr>
        <w:t>תחילתה של מגמה חדשה אם לאו.</w:t>
      </w:r>
      <w:r w:rsidR="00680684" w:rsidRPr="002C5EFC">
        <w:rPr>
          <w:spacing w:val="-4"/>
          <w:rtl/>
        </w:rPr>
        <w:t xml:space="preserve"> </w:t>
      </w:r>
      <w:r w:rsidR="00D66662" w:rsidRPr="002C5EFC">
        <w:rPr>
          <w:spacing w:val="-4"/>
          <w:rtl/>
        </w:rPr>
        <w:t xml:space="preserve">יחד </w:t>
      </w:r>
      <w:r w:rsidRPr="002C5EFC">
        <w:rPr>
          <w:spacing w:val="-4"/>
          <w:rtl/>
        </w:rPr>
        <w:t>עם זאת, המספרים המוחלטים מדברים בעד עצמם ומ</w:t>
      </w:r>
      <w:r w:rsidR="00D66662" w:rsidRPr="002C5EFC">
        <w:rPr>
          <w:spacing w:val="-4"/>
          <w:rtl/>
        </w:rPr>
        <w:t>עידי</w:t>
      </w:r>
      <w:r w:rsidRPr="002C5EFC">
        <w:rPr>
          <w:spacing w:val="-4"/>
          <w:rtl/>
        </w:rPr>
        <w:t>ם מה רב המרחק בין הת</w:t>
      </w:r>
      <w:r w:rsidR="007A00E8" w:rsidRPr="002C5EFC">
        <w:rPr>
          <w:spacing w:val="-4"/>
          <w:rtl/>
        </w:rPr>
        <w:t>י</w:t>
      </w:r>
      <w:r w:rsidRPr="002C5EFC">
        <w:rPr>
          <w:spacing w:val="-4"/>
          <w:rtl/>
        </w:rPr>
        <w:t>אוריה ל</w:t>
      </w:r>
      <w:r w:rsidR="00D66662" w:rsidRPr="002C5EFC">
        <w:rPr>
          <w:spacing w:val="-4"/>
          <w:rtl/>
        </w:rPr>
        <w:t>בין ה</w:t>
      </w:r>
      <w:r w:rsidRPr="002C5EFC">
        <w:rPr>
          <w:spacing w:val="-4"/>
          <w:rtl/>
        </w:rPr>
        <w:t>מעשה. בשנת 1997 ניתנו</w:t>
      </w:r>
      <w:r w:rsidR="00D66662" w:rsidRPr="002C5EFC">
        <w:rPr>
          <w:spacing w:val="-4"/>
          <w:rtl/>
        </w:rPr>
        <w:t xml:space="preserve"> רק</w:t>
      </w:r>
      <w:r w:rsidRPr="002C5EFC">
        <w:rPr>
          <w:spacing w:val="-4"/>
          <w:rtl/>
        </w:rPr>
        <w:t xml:space="preserve"> 2 החלטות לכפיית גט בכל בתי הדין הרבניים בישראל, בשנת 1998 עלה מספרן ל-4, בשנת 1999 ל-8, בשנת 2000 ל-10 החלטות לכפיית גט, ומני אז ועד שנת 2003 המספר נע בין 9 ל</w:t>
      </w:r>
      <w:r w:rsidR="00D66662" w:rsidRPr="002C5EFC">
        <w:rPr>
          <w:spacing w:val="-4"/>
          <w:rtl/>
        </w:rPr>
        <w:t xml:space="preserve">בין </w:t>
      </w:r>
      <w:r w:rsidRPr="002C5EFC">
        <w:rPr>
          <w:spacing w:val="-4"/>
          <w:rtl/>
        </w:rPr>
        <w:t xml:space="preserve">10 החלטות </w:t>
      </w:r>
      <w:r w:rsidR="00D66662" w:rsidRPr="002C5EFC">
        <w:rPr>
          <w:spacing w:val="-4"/>
          <w:rtl/>
        </w:rPr>
        <w:t xml:space="preserve">מעין אלה בכל </w:t>
      </w:r>
      <w:r w:rsidRPr="002C5EFC">
        <w:rPr>
          <w:spacing w:val="-4"/>
          <w:rtl/>
        </w:rPr>
        <w:t xml:space="preserve">שנה. </w:t>
      </w:r>
    </w:p>
    <w:p w:rsidR="00441631" w:rsidRPr="00441631" w:rsidRDefault="00441631" w:rsidP="00441631">
      <w:pPr>
        <w:pStyle w:val="2"/>
        <w:rPr>
          <w:rtl/>
        </w:rPr>
      </w:pPr>
      <w:r w:rsidRPr="00441631">
        <w:rPr>
          <w:rtl/>
        </w:rPr>
        <w:t>הרחקות דרבנו תם</w:t>
      </w:r>
    </w:p>
    <w:p w:rsidR="00441631" w:rsidRPr="00C758F7" w:rsidRDefault="00441631" w:rsidP="00D66662">
      <w:pPr>
        <w:rPr>
          <w:rtl/>
        </w:rPr>
      </w:pPr>
      <w:r w:rsidRPr="00C758F7">
        <w:rPr>
          <w:rtl/>
        </w:rPr>
        <w:t>ב</w:t>
      </w:r>
      <w:r w:rsidR="00D66662">
        <w:rPr>
          <w:rtl/>
        </w:rPr>
        <w:t>ניגוד ל</w:t>
      </w:r>
      <w:r w:rsidRPr="00C758F7">
        <w:rPr>
          <w:rtl/>
        </w:rPr>
        <w:t>דעת הרמב"ם, ה</w:t>
      </w:r>
      <w:r w:rsidR="00D66662">
        <w:rPr>
          <w:rtl/>
        </w:rPr>
        <w:t>מ</w:t>
      </w:r>
      <w:r w:rsidRPr="00C758F7">
        <w:rPr>
          <w:rtl/>
        </w:rPr>
        <w:t xml:space="preserve">צדיק </w:t>
      </w:r>
      <w:r w:rsidR="00D66662">
        <w:rPr>
          <w:rtl/>
        </w:rPr>
        <w:t>ל</w:t>
      </w:r>
      <w:r w:rsidRPr="00C758F7">
        <w:rPr>
          <w:rtl/>
        </w:rPr>
        <w:t>כפ</w:t>
      </w:r>
      <w:r w:rsidR="00D66662">
        <w:rPr>
          <w:rtl/>
        </w:rPr>
        <w:t>ו</w:t>
      </w:r>
      <w:r w:rsidRPr="00C758F7">
        <w:rPr>
          <w:rtl/>
        </w:rPr>
        <w:t>ת גט גם ב</w:t>
      </w:r>
      <w:r w:rsidR="00D66662">
        <w:rPr>
          <w:rtl/>
        </w:rPr>
        <w:t xml:space="preserve">טענת </w:t>
      </w:r>
      <w:r w:rsidRPr="00C758F7">
        <w:rPr>
          <w:rtl/>
        </w:rPr>
        <w:t>"מאיס עלי"</w:t>
      </w:r>
      <w:r w:rsidR="00D66662">
        <w:rPr>
          <w:rtl/>
        </w:rPr>
        <w:t xml:space="preserve">, </w:t>
      </w:r>
      <w:r w:rsidRPr="00C758F7">
        <w:rPr>
          <w:rtl/>
        </w:rPr>
        <w:t>כשהאישה אומרת שבעל</w:t>
      </w:r>
      <w:r w:rsidR="00D66662">
        <w:rPr>
          <w:rtl/>
        </w:rPr>
        <w:t>ה</w:t>
      </w:r>
      <w:r w:rsidRPr="00C758F7">
        <w:rPr>
          <w:rtl/>
        </w:rPr>
        <w:t xml:space="preserve"> מאוס בעיניה</w:t>
      </w:r>
      <w:r w:rsidRPr="00C758F7">
        <w:rPr>
          <w:rStyle w:val="a8"/>
          <w:rtl/>
        </w:rPr>
        <w:footnoteReference w:id="20"/>
      </w:r>
      <w:r w:rsidR="00D66662">
        <w:rPr>
          <w:rtl/>
        </w:rPr>
        <w:t>,</w:t>
      </w:r>
      <w:r w:rsidRPr="00C758F7">
        <w:rPr>
          <w:rtl/>
        </w:rPr>
        <w:t xml:space="preserve"> רבים מחכמי ההלכה סוברים שא</w:t>
      </w:r>
      <w:r w:rsidR="00D66662">
        <w:rPr>
          <w:rtl/>
        </w:rPr>
        <w:t>ין</w:t>
      </w:r>
      <w:r w:rsidRPr="00C758F7">
        <w:rPr>
          <w:rtl/>
        </w:rPr>
        <w:t xml:space="preserve"> די ב</w:t>
      </w:r>
      <w:r w:rsidR="00D66662">
        <w:rPr>
          <w:rtl/>
        </w:rPr>
        <w:t>טענה זו כדי לחייב את הבעל לגרש את אשתו ו</w:t>
      </w:r>
      <w:r w:rsidRPr="00C758F7">
        <w:rPr>
          <w:rtl/>
        </w:rPr>
        <w:t>יש צורך באחת מעילות הגירושין</w:t>
      </w:r>
      <w:r w:rsidRPr="00C758F7">
        <w:rPr>
          <w:rStyle w:val="a8"/>
          <w:rtl/>
        </w:rPr>
        <w:footnoteReference w:id="21"/>
      </w:r>
      <w:r w:rsidRPr="00C758F7">
        <w:rPr>
          <w:rtl/>
        </w:rPr>
        <w:t xml:space="preserve">. ברם, במקרים רבים, הבעל </w:t>
      </w:r>
      <w:r w:rsidR="00D66662">
        <w:rPr>
          <w:rtl/>
        </w:rPr>
        <w:t xml:space="preserve">מסרב </w:t>
      </w:r>
      <w:r w:rsidRPr="00C758F7">
        <w:rPr>
          <w:rtl/>
        </w:rPr>
        <w:t>לקיים את חיוב</w:t>
      </w:r>
      <w:r w:rsidR="00D66662">
        <w:rPr>
          <w:rtl/>
        </w:rPr>
        <w:t>ו</w:t>
      </w:r>
      <w:r w:rsidRPr="00C758F7">
        <w:rPr>
          <w:rtl/>
        </w:rPr>
        <w:t xml:space="preserve"> לתת גט</w:t>
      </w:r>
      <w:r w:rsidR="00D66662">
        <w:rPr>
          <w:rtl/>
        </w:rPr>
        <w:t xml:space="preserve"> לאשתו</w:t>
      </w:r>
      <w:r w:rsidRPr="00C758F7">
        <w:rPr>
          <w:rtl/>
        </w:rPr>
        <w:t xml:space="preserve"> </w:t>
      </w:r>
      <w:r>
        <w:rPr>
          <w:rtl/>
        </w:rPr>
        <w:t xml:space="preserve">גם בהתקיים עילת גירושין, </w:t>
      </w:r>
      <w:r w:rsidRPr="00C758F7">
        <w:rPr>
          <w:rtl/>
        </w:rPr>
        <w:t>ויש להפעיל עליו אמצעי לחץ. מכיוון שהכאת הבעל</w:t>
      </w:r>
      <w:r w:rsidR="00D66662">
        <w:rPr>
          <w:rtl/>
        </w:rPr>
        <w:t>,</w:t>
      </w:r>
      <w:r>
        <w:rPr>
          <w:rtl/>
        </w:rPr>
        <w:t xml:space="preserve"> שהייתה מקובלת </w:t>
      </w:r>
      <w:r w:rsidR="00D66662">
        <w:rPr>
          <w:rtl/>
        </w:rPr>
        <w:t xml:space="preserve">בעבר </w:t>
      </w:r>
      <w:r>
        <w:rPr>
          <w:rtl/>
        </w:rPr>
        <w:t>כאמצעי יעיל</w:t>
      </w:r>
      <w:r w:rsidR="00D66662">
        <w:rPr>
          <w:rtl/>
        </w:rPr>
        <w:t>,</w:t>
      </w:r>
      <w:r>
        <w:rPr>
          <w:rtl/>
        </w:rPr>
        <w:t xml:space="preserve"> מנוגדת לעקרונות יסוד משפטיים בני ימינו, ולצד זה </w:t>
      </w:r>
      <w:r w:rsidRPr="00C758F7">
        <w:rPr>
          <w:rtl/>
        </w:rPr>
        <w:t xml:space="preserve">עלולה להיות כרוכה בחשש "גט מעושה", חיפשו </w:t>
      </w:r>
      <w:r>
        <w:rPr>
          <w:rtl/>
        </w:rPr>
        <w:t xml:space="preserve">חכמים </w:t>
      </w:r>
      <w:r w:rsidRPr="00C758F7">
        <w:rPr>
          <w:rtl/>
        </w:rPr>
        <w:t>דרכים אחרות של הפעלת לחץ על הבעל, שי</w:t>
      </w:r>
      <w:r w:rsidR="00D66662">
        <w:rPr>
          <w:rtl/>
        </w:rPr>
        <w:t>ניעו</w:t>
      </w:r>
      <w:r w:rsidRPr="00C758F7">
        <w:rPr>
          <w:rtl/>
        </w:rPr>
        <w:t xml:space="preserve"> אותו לתת גט לאשתו.</w:t>
      </w:r>
      <w:r w:rsidR="00680684">
        <w:rPr>
          <w:rtl/>
        </w:rPr>
        <w:t xml:space="preserve"> </w:t>
      </w:r>
      <w:r w:rsidRPr="00C758F7">
        <w:rPr>
          <w:rtl/>
        </w:rPr>
        <w:t>תיקון גדול בעניין זה עשה רבנו תם, מגדולי בעלי התוספות בצרפת במאה הי"ב. הוא תיקן שורה של "הרחקות"</w:t>
      </w:r>
      <w:r w:rsidR="00D66662">
        <w:rPr>
          <w:rtl/>
        </w:rPr>
        <w:t>,</w:t>
      </w:r>
      <w:r w:rsidRPr="00C758F7">
        <w:rPr>
          <w:rtl/>
        </w:rPr>
        <w:t xml:space="preserve"> </w:t>
      </w:r>
      <w:r w:rsidR="00D66662">
        <w:rPr>
          <w:rtl/>
        </w:rPr>
        <w:t>כלומר</w:t>
      </w:r>
      <w:r w:rsidRPr="00C758F7">
        <w:rPr>
          <w:rtl/>
        </w:rPr>
        <w:t xml:space="preserve"> סנקציות חברתיות, שנועדו להפעיל לחץ עקיף על הבעל ולהניעו לתת את הגט המיוחל לאשתו</w:t>
      </w:r>
      <w:r>
        <w:rPr>
          <w:rStyle w:val="a8"/>
          <w:rtl/>
        </w:rPr>
        <w:footnoteReference w:id="22"/>
      </w:r>
      <w:r w:rsidRPr="00C758F7">
        <w:rPr>
          <w:rtl/>
        </w:rPr>
        <w:t xml:space="preserve">. </w:t>
      </w:r>
    </w:p>
    <w:p w:rsidR="00441631" w:rsidRPr="00441631" w:rsidRDefault="00441631" w:rsidP="00D66662">
      <w:pPr>
        <w:pStyle w:val="2"/>
        <w:rPr>
          <w:rtl/>
        </w:rPr>
      </w:pPr>
      <w:r w:rsidRPr="00441631">
        <w:rPr>
          <w:rtl/>
        </w:rPr>
        <w:lastRenderedPageBreak/>
        <w:t>סיוע לעוברי עברה</w:t>
      </w:r>
    </w:p>
    <w:p w:rsidR="00850ADC" w:rsidRDefault="00D66662" w:rsidP="00A24A02">
      <w:pPr>
        <w:rPr>
          <w:rtl/>
        </w:rPr>
      </w:pPr>
      <w:r>
        <w:rPr>
          <w:rtl/>
        </w:rPr>
        <w:t>ע</w:t>
      </w:r>
      <w:r w:rsidR="00441631" w:rsidRPr="00C758F7">
        <w:rPr>
          <w:rtl/>
        </w:rPr>
        <w:t>ל</w:t>
      </w:r>
      <w:r>
        <w:rPr>
          <w:rtl/>
        </w:rPr>
        <w:t xml:space="preserve"> אף </w:t>
      </w:r>
      <w:r w:rsidR="00441631" w:rsidRPr="00C758F7">
        <w:rPr>
          <w:rtl/>
        </w:rPr>
        <w:t>הסנקציות ה</w:t>
      </w:r>
      <w:r>
        <w:rPr>
          <w:rtl/>
        </w:rPr>
        <w:t>ללו</w:t>
      </w:r>
      <w:r w:rsidR="00441631" w:rsidRPr="00C758F7">
        <w:rPr>
          <w:rtl/>
        </w:rPr>
        <w:t xml:space="preserve">, לעתים עומד סרבן הגט במריו. </w:t>
      </w:r>
      <w:r>
        <w:rPr>
          <w:rtl/>
        </w:rPr>
        <w:t>ו</w:t>
      </w:r>
      <w:r w:rsidR="00441631" w:rsidRPr="00C758F7">
        <w:rPr>
          <w:rtl/>
        </w:rPr>
        <w:t xml:space="preserve">יושם אל לב שהחוק </w:t>
      </w:r>
      <w:r w:rsidR="00850ADC">
        <w:rPr>
          <w:rtl/>
        </w:rPr>
        <w:t xml:space="preserve">הישראלי </w:t>
      </w:r>
      <w:r w:rsidR="00441631" w:rsidRPr="00C758F7">
        <w:rPr>
          <w:rtl/>
        </w:rPr>
        <w:t xml:space="preserve">מתיר במפורש </w:t>
      </w:r>
      <w:r>
        <w:rPr>
          <w:rtl/>
        </w:rPr>
        <w:t>ל</w:t>
      </w:r>
      <w:r w:rsidR="00441631" w:rsidRPr="00C758F7">
        <w:rPr>
          <w:rtl/>
        </w:rPr>
        <w:t>נק</w:t>
      </w:r>
      <w:r>
        <w:rPr>
          <w:rtl/>
        </w:rPr>
        <w:t>ו</w:t>
      </w:r>
      <w:r w:rsidR="00441631" w:rsidRPr="00C758F7">
        <w:rPr>
          <w:rtl/>
        </w:rPr>
        <w:t xml:space="preserve">ט סנקציות </w:t>
      </w:r>
      <w:r w:rsidR="00441631" w:rsidRPr="006C2A45">
        <w:rPr>
          <w:rStyle w:val="aff2"/>
          <w:rtl/>
        </w:rPr>
        <w:t>רק כלפי סרבן גט ולא כלפי מעגל התומכים בו</w:t>
      </w:r>
      <w:r w:rsidR="00441631" w:rsidRPr="00C758F7">
        <w:rPr>
          <w:rtl/>
        </w:rPr>
        <w:t>, יהיו אלה הוריו</w:t>
      </w:r>
      <w:r>
        <w:rPr>
          <w:rtl/>
        </w:rPr>
        <w:t xml:space="preserve"> או</w:t>
      </w:r>
      <w:r w:rsidR="00441631" w:rsidRPr="00C758F7">
        <w:rPr>
          <w:rtl/>
        </w:rPr>
        <w:t xml:space="preserve"> ילדיו, בני משפח</w:t>
      </w:r>
      <w:r>
        <w:rPr>
          <w:rtl/>
        </w:rPr>
        <w:t xml:space="preserve">תו </w:t>
      </w:r>
      <w:r w:rsidR="00441631" w:rsidRPr="00C758F7">
        <w:rPr>
          <w:rtl/>
        </w:rPr>
        <w:t>האחרים או חבריו</w:t>
      </w:r>
      <w:r w:rsidR="00680684">
        <w:rPr>
          <w:rStyle w:val="a8"/>
          <w:rtl/>
        </w:rPr>
        <w:footnoteReference w:id="23"/>
      </w:r>
      <w:r w:rsidR="00441631" w:rsidRPr="00C758F7">
        <w:rPr>
          <w:rtl/>
        </w:rPr>
        <w:t>. אכן, אפשר ש</w:t>
      </w:r>
      <w:r w:rsidR="00850ADC">
        <w:rPr>
          <w:rtl/>
        </w:rPr>
        <w:t xml:space="preserve">לפי ההלכה, </w:t>
      </w:r>
      <w:r w:rsidR="00441631" w:rsidRPr="00C758F7">
        <w:rPr>
          <w:rtl/>
        </w:rPr>
        <w:t xml:space="preserve">בית הדין </w:t>
      </w:r>
      <w:r>
        <w:rPr>
          <w:rtl/>
        </w:rPr>
        <w:t xml:space="preserve">רשאי </w:t>
      </w:r>
      <w:r w:rsidR="00441631" w:rsidRPr="00C758F7">
        <w:rPr>
          <w:rtl/>
        </w:rPr>
        <w:t>לנקוט סנקציות גם כלפיהם</w:t>
      </w:r>
      <w:r w:rsidR="00850ADC">
        <w:rPr>
          <w:rtl/>
        </w:rPr>
        <w:t xml:space="preserve">, כשם שעשה </w:t>
      </w:r>
      <w:r w:rsidR="00441631" w:rsidRPr="00C758F7">
        <w:rPr>
          <w:rtl/>
        </w:rPr>
        <w:t>במקרים אחדים</w:t>
      </w:r>
      <w:r w:rsidR="00850ADC">
        <w:rPr>
          <w:rtl/>
        </w:rPr>
        <w:t xml:space="preserve">, </w:t>
      </w:r>
      <w:r>
        <w:rPr>
          <w:rtl/>
        </w:rPr>
        <w:t>כ</w:t>
      </w:r>
      <w:r w:rsidR="00850ADC">
        <w:rPr>
          <w:rtl/>
        </w:rPr>
        <w:t>ש</w:t>
      </w:r>
      <w:r w:rsidR="00441631" w:rsidRPr="00C758F7">
        <w:rPr>
          <w:rtl/>
        </w:rPr>
        <w:t>נקט דרכים לא שגרתיות</w:t>
      </w:r>
      <w:r w:rsidR="00441631" w:rsidRPr="00C758F7">
        <w:rPr>
          <w:rStyle w:val="a8"/>
          <w:rtl/>
        </w:rPr>
        <w:footnoteReference w:id="24"/>
      </w:r>
      <w:r w:rsidR="00441631" w:rsidRPr="00C758F7">
        <w:rPr>
          <w:rtl/>
        </w:rPr>
        <w:t>, שהוכחו כיעילות ביותר</w:t>
      </w:r>
      <w:r w:rsidR="00850ADC">
        <w:rPr>
          <w:rtl/>
        </w:rPr>
        <w:t xml:space="preserve">. </w:t>
      </w:r>
    </w:p>
    <w:p w:rsidR="00441631" w:rsidRPr="00C758F7" w:rsidRDefault="00441631" w:rsidP="00A24A02">
      <w:pPr>
        <w:rPr>
          <w:rtl/>
        </w:rPr>
      </w:pPr>
      <w:r w:rsidRPr="00C758F7">
        <w:rPr>
          <w:rtl/>
        </w:rPr>
        <w:t xml:space="preserve">ברם, מהו הבסיס להפעלת סנקציה </w:t>
      </w:r>
      <w:r w:rsidR="00A24A02">
        <w:rPr>
          <w:rtl/>
        </w:rPr>
        <w:t xml:space="preserve">מעין </w:t>
      </w:r>
      <w:r w:rsidRPr="00C758F7">
        <w:rPr>
          <w:rtl/>
        </w:rPr>
        <w:t xml:space="preserve">זו? האין בה משום הטלת סנקציה על חפים מפשע שאינם אחראים למעשי הסרבן? וכי אין </w:t>
      </w:r>
      <w:r w:rsidR="00A24A02">
        <w:rPr>
          <w:rtl/>
        </w:rPr>
        <w:t>כאן</w:t>
      </w:r>
      <w:r w:rsidRPr="00C758F7">
        <w:rPr>
          <w:rtl/>
        </w:rPr>
        <w:t xml:space="preserve"> מעין "ענישה קולקטיבית", פקידת עוון "אבות על בנים"</w:t>
      </w:r>
      <w:r w:rsidR="00850ADC">
        <w:rPr>
          <w:rStyle w:val="a8"/>
          <w:rtl/>
        </w:rPr>
        <w:footnoteReference w:id="25"/>
      </w:r>
      <w:r w:rsidRPr="00C758F7">
        <w:rPr>
          <w:rtl/>
        </w:rPr>
        <w:t>, ש</w:t>
      </w:r>
      <w:r w:rsidR="00A24A02">
        <w:rPr>
          <w:rtl/>
        </w:rPr>
        <w:t xml:space="preserve">היא </w:t>
      </w:r>
      <w:r w:rsidRPr="00C758F7">
        <w:rPr>
          <w:rtl/>
        </w:rPr>
        <w:t xml:space="preserve">בעייתית ביותר </w:t>
      </w:r>
      <w:r w:rsidR="00A24A02">
        <w:rPr>
          <w:rtl/>
        </w:rPr>
        <w:t>ב</w:t>
      </w:r>
      <w:r w:rsidRPr="00C758F7">
        <w:rPr>
          <w:rtl/>
        </w:rPr>
        <w:t xml:space="preserve">משפט העברי?  </w:t>
      </w:r>
    </w:p>
    <w:p w:rsidR="00441631" w:rsidRPr="006C2A45" w:rsidRDefault="00441631" w:rsidP="00A24A02">
      <w:pPr>
        <w:rPr>
          <w:spacing w:val="-4"/>
          <w:rtl/>
        </w:rPr>
      </w:pPr>
      <w:r w:rsidRPr="006C2A45">
        <w:rPr>
          <w:spacing w:val="-4"/>
          <w:rtl/>
        </w:rPr>
        <w:t>עיון במקורות המשפט העברי, הן בהקשרים אחרים הן בהקשר של שחרור אישה מעגינותה, מלמד ש</w:t>
      </w:r>
      <w:r w:rsidR="00A24A02" w:rsidRPr="006C2A45">
        <w:rPr>
          <w:spacing w:val="-4"/>
          <w:rtl/>
        </w:rPr>
        <w:t>ייתכן ש</w:t>
      </w:r>
      <w:r w:rsidRPr="006C2A45">
        <w:rPr>
          <w:spacing w:val="-4"/>
          <w:rtl/>
        </w:rPr>
        <w:t>ניתן לבסס צעד כזה על שני יסודות</w:t>
      </w:r>
      <w:r w:rsidR="00A24A02" w:rsidRPr="006C2A45">
        <w:rPr>
          <w:spacing w:val="-4"/>
          <w:rtl/>
        </w:rPr>
        <w:t>,</w:t>
      </w:r>
      <w:r w:rsidRPr="006C2A45">
        <w:rPr>
          <w:spacing w:val="-4"/>
          <w:rtl/>
        </w:rPr>
        <w:t xml:space="preserve"> נקיטת סנקציות כלפי</w:t>
      </w:r>
      <w:r w:rsidRPr="00C758F7">
        <w:rPr>
          <w:rtl/>
        </w:rPr>
        <w:t xml:space="preserve"> "</w:t>
      </w:r>
      <w:r w:rsidRPr="006C2A45">
        <w:rPr>
          <w:rStyle w:val="aff2"/>
          <w:rtl/>
        </w:rPr>
        <w:t>מסייע לדבר עברה</w:t>
      </w:r>
      <w:r w:rsidRPr="00C758F7">
        <w:rPr>
          <w:rtl/>
        </w:rPr>
        <w:t xml:space="preserve">", וצעד </w:t>
      </w:r>
      <w:r w:rsidRPr="006C2A45">
        <w:rPr>
          <w:rStyle w:val="aff2"/>
          <w:rtl/>
        </w:rPr>
        <w:t>הרתעתי</w:t>
      </w:r>
      <w:r w:rsidRPr="00C758F7">
        <w:rPr>
          <w:rtl/>
        </w:rPr>
        <w:t xml:space="preserve">, לא </w:t>
      </w:r>
      <w:r w:rsidRPr="006C2A45">
        <w:rPr>
          <w:rStyle w:val="aff2"/>
          <w:rtl/>
        </w:rPr>
        <w:t>ענישתי</w:t>
      </w:r>
      <w:r w:rsidRPr="00C758F7">
        <w:rPr>
          <w:rtl/>
        </w:rPr>
        <w:t xml:space="preserve">, </w:t>
      </w:r>
      <w:r w:rsidRPr="006C2A45">
        <w:rPr>
          <w:spacing w:val="-4"/>
          <w:rtl/>
        </w:rPr>
        <w:t>גם אם למראית עין הוא נתפס כענישה או הרתעה "שלא מן הדין"</w:t>
      </w:r>
      <w:r w:rsidR="00A24A02" w:rsidRPr="006C2A45">
        <w:rPr>
          <w:spacing w:val="-4"/>
          <w:rtl/>
        </w:rPr>
        <w:t xml:space="preserve">. שני אלה עשויים להיות </w:t>
      </w:r>
      <w:r w:rsidRPr="006C2A45">
        <w:rPr>
          <w:spacing w:val="-4"/>
          <w:rtl/>
        </w:rPr>
        <w:t>נשק לא קונבנציונלי המופעל במקרים חריגים במידה שאינה עולה על הנדרש</w:t>
      </w:r>
      <w:r w:rsidR="00A24A02" w:rsidRPr="006C2A45">
        <w:rPr>
          <w:spacing w:val="-4"/>
          <w:rtl/>
        </w:rPr>
        <w:t>,</w:t>
      </w:r>
      <w:r w:rsidRPr="006C2A45">
        <w:rPr>
          <w:spacing w:val="-4"/>
          <w:rtl/>
        </w:rPr>
        <w:t xml:space="preserve"> ו</w:t>
      </w:r>
      <w:r w:rsidR="00A24A02" w:rsidRPr="006C2A45">
        <w:rPr>
          <w:spacing w:val="-4"/>
          <w:rtl/>
        </w:rPr>
        <w:t>רק כש</w:t>
      </w:r>
      <w:r w:rsidRPr="006C2A45">
        <w:rPr>
          <w:spacing w:val="-4"/>
          <w:rtl/>
        </w:rPr>
        <w:t>אין אמצעי יעיל אחר</w:t>
      </w:r>
      <w:r w:rsidR="00A24A02" w:rsidRPr="006C2A45">
        <w:rPr>
          <w:spacing w:val="-4"/>
          <w:rtl/>
        </w:rPr>
        <w:t xml:space="preserve"> העשוי</w:t>
      </w:r>
      <w:r w:rsidRPr="006C2A45">
        <w:rPr>
          <w:spacing w:val="-4"/>
          <w:rtl/>
        </w:rPr>
        <w:t xml:space="preserve"> להועיל להשגת התכלית</w:t>
      </w:r>
      <w:r w:rsidR="00A24A02" w:rsidRPr="006C2A45">
        <w:rPr>
          <w:spacing w:val="-4"/>
          <w:rtl/>
        </w:rPr>
        <w:t>,</w:t>
      </w:r>
      <w:r w:rsidRPr="006C2A45">
        <w:rPr>
          <w:spacing w:val="-4"/>
          <w:rtl/>
        </w:rPr>
        <w:t xml:space="preserve"> שחרור האישה מכבלי בעלה</w:t>
      </w:r>
      <w:r w:rsidRPr="006C2A45">
        <w:rPr>
          <w:rStyle w:val="a8"/>
          <w:spacing w:val="-4"/>
          <w:rtl/>
        </w:rPr>
        <w:footnoteReference w:id="26"/>
      </w:r>
      <w:r w:rsidRPr="006C2A45">
        <w:rPr>
          <w:spacing w:val="-4"/>
          <w:rtl/>
        </w:rPr>
        <w:t xml:space="preserve">. </w:t>
      </w:r>
    </w:p>
    <w:p w:rsidR="00850ADC" w:rsidRDefault="00A24A02" w:rsidP="00A24A02">
      <w:pPr>
        <w:rPr>
          <w:rtl/>
        </w:rPr>
      </w:pPr>
      <w:r>
        <w:rPr>
          <w:rtl/>
        </w:rPr>
        <w:t>ו</w:t>
      </w:r>
      <w:r w:rsidR="00441631" w:rsidRPr="00C758F7">
        <w:rPr>
          <w:rtl/>
        </w:rPr>
        <w:t xml:space="preserve">כמו במשפט הפלילי בן ימינו, </w:t>
      </w:r>
      <w:r>
        <w:rPr>
          <w:rtl/>
        </w:rPr>
        <w:t xml:space="preserve">כן </w:t>
      </w:r>
      <w:r w:rsidR="00441631" w:rsidRPr="00C758F7">
        <w:rPr>
          <w:rtl/>
        </w:rPr>
        <w:t>גם במשפט העברי</w:t>
      </w:r>
      <w:r>
        <w:rPr>
          <w:rtl/>
        </w:rPr>
        <w:t>,</w:t>
      </w:r>
      <w:r w:rsidR="00441631" w:rsidRPr="00C758F7">
        <w:rPr>
          <w:rtl/>
        </w:rPr>
        <w:t xml:space="preserve"> "מסייע לדבר עברה" נחשב כנוטל חלק בביצועה, וניתן להפעיל כלפיו סנקציות </w:t>
      </w:r>
      <w:r>
        <w:rPr>
          <w:rtl/>
        </w:rPr>
        <w:t>אחד</w:t>
      </w:r>
      <w:r w:rsidR="00441631" w:rsidRPr="00C758F7">
        <w:rPr>
          <w:rtl/>
        </w:rPr>
        <w:t xml:space="preserve">ות. </w:t>
      </w:r>
      <w:r>
        <w:rPr>
          <w:rtl/>
        </w:rPr>
        <w:t>ו</w:t>
      </w:r>
      <w:r w:rsidR="00441631" w:rsidRPr="00C758F7">
        <w:rPr>
          <w:rtl/>
        </w:rPr>
        <w:t>ב</w:t>
      </w:r>
      <w:r>
        <w:rPr>
          <w:rtl/>
        </w:rPr>
        <w:t>עניין סרבן הגט</w:t>
      </w:r>
      <w:r w:rsidR="00441631" w:rsidRPr="00C758F7">
        <w:rPr>
          <w:rtl/>
        </w:rPr>
        <w:t xml:space="preserve">, </w:t>
      </w:r>
      <w:r>
        <w:rPr>
          <w:rtl/>
        </w:rPr>
        <w:t>מניחים</w:t>
      </w:r>
      <w:r w:rsidR="00441631" w:rsidRPr="00C758F7">
        <w:rPr>
          <w:rtl/>
        </w:rPr>
        <w:t xml:space="preserve"> שאינו פועל בחלל ריק</w:t>
      </w:r>
      <w:r>
        <w:rPr>
          <w:rtl/>
        </w:rPr>
        <w:t xml:space="preserve">, מפני שלעתים קרובות </w:t>
      </w:r>
      <w:r w:rsidR="00441631" w:rsidRPr="00C758F7">
        <w:rPr>
          <w:rtl/>
        </w:rPr>
        <w:t>הוא נזקק לתמיכה</w:t>
      </w:r>
      <w:r>
        <w:rPr>
          <w:rtl/>
        </w:rPr>
        <w:t>,</w:t>
      </w:r>
      <w:r w:rsidR="00441631" w:rsidRPr="00C758F7">
        <w:rPr>
          <w:rtl/>
        </w:rPr>
        <w:t xml:space="preserve"> בין כלכלית בין נפשית</w:t>
      </w:r>
      <w:r>
        <w:rPr>
          <w:rtl/>
        </w:rPr>
        <w:t>,</w:t>
      </w:r>
      <w:r w:rsidR="00441631" w:rsidRPr="00C758F7">
        <w:rPr>
          <w:rtl/>
        </w:rPr>
        <w:t xml:space="preserve"> </w:t>
      </w:r>
      <w:r>
        <w:rPr>
          <w:rtl/>
        </w:rPr>
        <w:t>של</w:t>
      </w:r>
      <w:r w:rsidR="00441631" w:rsidRPr="00C758F7">
        <w:rPr>
          <w:rtl/>
        </w:rPr>
        <w:t xml:space="preserve"> הסובבים אותו. תמיכתם של בני המעגל הקרוב </w:t>
      </w:r>
      <w:r>
        <w:rPr>
          <w:rtl/>
        </w:rPr>
        <w:t xml:space="preserve">של </w:t>
      </w:r>
      <w:r w:rsidR="00441631" w:rsidRPr="00C758F7">
        <w:rPr>
          <w:rtl/>
        </w:rPr>
        <w:t xml:space="preserve">סרבן הגט, לאחר שניתן צו </w:t>
      </w:r>
      <w:r>
        <w:rPr>
          <w:rtl/>
        </w:rPr>
        <w:t xml:space="preserve">של </w:t>
      </w:r>
      <w:r w:rsidR="00441631" w:rsidRPr="00C758F7">
        <w:rPr>
          <w:rtl/>
        </w:rPr>
        <w:t xml:space="preserve">בית הדין המורה לו לגרש את אשתו, כמוה כסיוע לדבר עברה </w:t>
      </w:r>
      <w:r>
        <w:rPr>
          <w:rtl/>
        </w:rPr>
        <w:t>ה</w:t>
      </w:r>
      <w:r w:rsidR="00441631" w:rsidRPr="00C758F7">
        <w:rPr>
          <w:rtl/>
        </w:rPr>
        <w:t>מצדיק נקיטת סנקציות גם נגד תומכי</w:t>
      </w:r>
      <w:r>
        <w:rPr>
          <w:rtl/>
        </w:rPr>
        <w:t>ו</w:t>
      </w:r>
      <w:r w:rsidR="00441631" w:rsidRPr="00C758F7">
        <w:rPr>
          <w:rtl/>
        </w:rPr>
        <w:t xml:space="preserve">. </w:t>
      </w:r>
    </w:p>
    <w:p w:rsidR="00441631" w:rsidRPr="00C758F7" w:rsidRDefault="00680684" w:rsidP="00A24A02">
      <w:pPr>
        <w:rPr>
          <w:rtl/>
        </w:rPr>
      </w:pPr>
      <w:r>
        <w:rPr>
          <w:rtl/>
        </w:rPr>
        <w:t>ה</w:t>
      </w:r>
      <w:r w:rsidR="00441631" w:rsidRPr="00C758F7">
        <w:rPr>
          <w:rtl/>
        </w:rPr>
        <w:t>בעיה הגדולה במקרים אלה היא ב</w:t>
      </w:r>
      <w:r w:rsidR="00A24A02">
        <w:rPr>
          <w:rtl/>
        </w:rPr>
        <w:t>תחום</w:t>
      </w:r>
      <w:r w:rsidR="00441631" w:rsidRPr="00C758F7">
        <w:rPr>
          <w:rtl/>
        </w:rPr>
        <w:t xml:space="preserve"> הראי</w:t>
      </w:r>
      <w:r w:rsidR="00A24A02">
        <w:rPr>
          <w:rtl/>
        </w:rPr>
        <w:t>ו</w:t>
      </w:r>
      <w:r w:rsidR="00441631" w:rsidRPr="00C758F7">
        <w:rPr>
          <w:rtl/>
        </w:rPr>
        <w:t>ת. במקרים</w:t>
      </w:r>
      <w:r w:rsidR="00A24A02">
        <w:rPr>
          <w:rtl/>
        </w:rPr>
        <w:t xml:space="preserve"> רבים</w:t>
      </w:r>
      <w:r w:rsidR="00441631" w:rsidRPr="00C758F7">
        <w:rPr>
          <w:rtl/>
        </w:rPr>
        <w:t xml:space="preserve">, </w:t>
      </w:r>
      <w:r w:rsidR="00A24A02">
        <w:rPr>
          <w:rtl/>
        </w:rPr>
        <w:t xml:space="preserve">עולה בידי </w:t>
      </w:r>
      <w:r w:rsidR="00441631" w:rsidRPr="00C758F7">
        <w:rPr>
          <w:rtl/>
        </w:rPr>
        <w:t>משפח</w:t>
      </w:r>
      <w:r w:rsidR="00A24A02">
        <w:rPr>
          <w:rtl/>
        </w:rPr>
        <w:t xml:space="preserve">ת </w:t>
      </w:r>
      <w:r w:rsidR="00441631" w:rsidRPr="00C758F7">
        <w:rPr>
          <w:rtl/>
        </w:rPr>
        <w:t>ה</w:t>
      </w:r>
      <w:r w:rsidR="00A24A02">
        <w:rPr>
          <w:rtl/>
        </w:rPr>
        <w:t>סרבן ו</w:t>
      </w:r>
      <w:r w:rsidR="00441631" w:rsidRPr="00C758F7">
        <w:rPr>
          <w:rtl/>
        </w:rPr>
        <w:t>תומכי</w:t>
      </w:r>
      <w:r w:rsidR="00A24A02">
        <w:rPr>
          <w:rtl/>
        </w:rPr>
        <w:t>ו</w:t>
      </w:r>
      <w:r w:rsidR="00884A25">
        <w:rPr>
          <w:rtl/>
        </w:rPr>
        <w:t xml:space="preserve"> להסוות את סיועם</w:t>
      </w:r>
      <w:r w:rsidR="007A00E8">
        <w:rPr>
          <w:rtl/>
        </w:rPr>
        <w:t xml:space="preserve"> </w:t>
      </w:r>
      <w:r w:rsidR="00441631" w:rsidRPr="00C758F7">
        <w:rPr>
          <w:rtl/>
        </w:rPr>
        <w:t>ל</w:t>
      </w:r>
      <w:r w:rsidR="00A24A02">
        <w:rPr>
          <w:rtl/>
        </w:rPr>
        <w:t>ו</w:t>
      </w:r>
      <w:r w:rsidR="00441631" w:rsidRPr="00C758F7">
        <w:rPr>
          <w:rtl/>
        </w:rPr>
        <w:t xml:space="preserve"> בדרכים עקיפות </w:t>
      </w:r>
      <w:r w:rsidR="00A24A02">
        <w:rPr>
          <w:rtl/>
        </w:rPr>
        <w:t>ו</w:t>
      </w:r>
      <w:r w:rsidR="00441631" w:rsidRPr="00C758F7">
        <w:rPr>
          <w:rtl/>
        </w:rPr>
        <w:t>נסתרות, ועל בית הדין לבחון כל מקרה לפי נסיבותיו</w:t>
      </w:r>
      <w:r w:rsidR="00A24A02">
        <w:rPr>
          <w:rtl/>
        </w:rPr>
        <w:t xml:space="preserve"> כדי </w:t>
      </w:r>
      <w:r w:rsidR="00441631" w:rsidRPr="00C758F7">
        <w:rPr>
          <w:rtl/>
        </w:rPr>
        <w:t xml:space="preserve">לנסות ולאתר ראיות שיצביעו על מעורבות התומכים בסרבן, קודם שיבוא להטיל כלפיהם סנקציות על לא עוול בכפם. </w:t>
      </w:r>
    </w:p>
    <w:p w:rsidR="00441631" w:rsidRPr="00441631" w:rsidRDefault="00441631" w:rsidP="00441631">
      <w:pPr>
        <w:pStyle w:val="2"/>
        <w:rPr>
          <w:rtl/>
        </w:rPr>
      </w:pPr>
      <w:r w:rsidRPr="00441631">
        <w:rPr>
          <w:rtl/>
        </w:rPr>
        <w:lastRenderedPageBreak/>
        <w:t>ענישה והרתעה שלא מן הדין</w:t>
      </w:r>
    </w:p>
    <w:p w:rsidR="00441631" w:rsidRDefault="00441631" w:rsidP="00D72DF8">
      <w:pPr>
        <w:rPr>
          <w:rFonts w:ascii="David" w:hAnsi="David"/>
          <w:rtl/>
        </w:rPr>
      </w:pPr>
      <w:r w:rsidRPr="00C758F7">
        <w:rPr>
          <w:rtl/>
        </w:rPr>
        <w:t>לצד בסיס זה, י</w:t>
      </w:r>
      <w:r w:rsidR="00D72DF8">
        <w:rPr>
          <w:rtl/>
        </w:rPr>
        <w:t>ש</w:t>
      </w:r>
      <w:r w:rsidRPr="00C758F7">
        <w:rPr>
          <w:rtl/>
        </w:rPr>
        <w:t xml:space="preserve"> במשפט העברי מגמה של נקיטת אמצעי ענישה והרתעה "שלא מן הדין". במקרה זה, שלא כבמקרה הקודם, גם אם אין ראיה שמעגל התומכים </w:t>
      </w:r>
      <w:r w:rsidR="00D72DF8">
        <w:rPr>
          <w:rtl/>
        </w:rPr>
        <w:t xml:space="preserve">בסרבן </w:t>
      </w:r>
      <w:r w:rsidRPr="00C758F7">
        <w:rPr>
          <w:rtl/>
        </w:rPr>
        <w:t>פועל אקטיבי</w:t>
      </w:r>
      <w:r w:rsidR="00D72DF8">
        <w:rPr>
          <w:rtl/>
        </w:rPr>
        <w:t>ת</w:t>
      </w:r>
      <w:r w:rsidRPr="00C758F7">
        <w:rPr>
          <w:rtl/>
        </w:rPr>
        <w:t xml:space="preserve"> לחיזוק</w:t>
      </w:r>
      <w:r w:rsidR="00D72DF8">
        <w:rPr>
          <w:rtl/>
        </w:rPr>
        <w:t>ו</w:t>
      </w:r>
      <w:r w:rsidRPr="00C758F7">
        <w:rPr>
          <w:rtl/>
        </w:rPr>
        <w:t>, ההנחה היא שלחץ על המעגל הקרוב ל</w:t>
      </w:r>
      <w:r w:rsidR="00D72DF8">
        <w:rPr>
          <w:rtl/>
        </w:rPr>
        <w:t>ו</w:t>
      </w:r>
      <w:r w:rsidRPr="00C758F7">
        <w:rPr>
          <w:rtl/>
        </w:rPr>
        <w:t xml:space="preserve">, עשוי </w:t>
      </w:r>
      <w:r>
        <w:rPr>
          <w:rtl/>
        </w:rPr>
        <w:t>ל</w:t>
      </w:r>
      <w:r w:rsidR="00D72DF8">
        <w:rPr>
          <w:rtl/>
        </w:rPr>
        <w:t>סייע ב</w:t>
      </w:r>
      <w:r>
        <w:rPr>
          <w:rtl/>
        </w:rPr>
        <w:t>שחרור האישה מעגינותה</w:t>
      </w:r>
      <w:r>
        <w:rPr>
          <w:rStyle w:val="a8"/>
          <w:rtl/>
        </w:rPr>
        <w:footnoteReference w:id="27"/>
      </w:r>
      <w:r>
        <w:rPr>
          <w:rtl/>
        </w:rPr>
        <w:t xml:space="preserve">. </w:t>
      </w:r>
      <w:r w:rsidRPr="005174DA">
        <w:rPr>
          <w:rFonts w:ascii="David" w:hAnsi="David"/>
          <w:rtl/>
        </w:rPr>
        <w:t>הד לסנקציה כלפי מקורבי</w:t>
      </w:r>
      <w:r w:rsidR="00D72DF8">
        <w:rPr>
          <w:rFonts w:ascii="David" w:hAnsi="David"/>
          <w:rtl/>
        </w:rPr>
        <w:t xml:space="preserve"> סרבן</w:t>
      </w:r>
      <w:r w:rsidRPr="005174DA">
        <w:rPr>
          <w:rFonts w:ascii="David" w:hAnsi="David"/>
          <w:rtl/>
        </w:rPr>
        <w:t xml:space="preserve"> ובני משפחתו מצוי כבר במקרא</w:t>
      </w:r>
      <w:r w:rsidR="00D72DF8">
        <w:rPr>
          <w:rFonts w:ascii="David" w:hAnsi="David"/>
          <w:rtl/>
        </w:rPr>
        <w:t xml:space="preserve"> בספר ויקרא</w:t>
      </w:r>
      <w:r w:rsidRPr="005174DA">
        <w:rPr>
          <w:rFonts w:ascii="David" w:hAnsi="David"/>
          <w:rtl/>
        </w:rPr>
        <w:t>: "ושמתי אני את פני באיש ההוא ובמשפחתו, והכר</w:t>
      </w:r>
      <w:r w:rsidR="00D72DF8">
        <w:rPr>
          <w:rFonts w:ascii="David" w:hAnsi="David"/>
          <w:rtl/>
        </w:rPr>
        <w:t>ַ</w:t>
      </w:r>
      <w:r w:rsidRPr="005174DA">
        <w:rPr>
          <w:rFonts w:ascii="David" w:hAnsi="David"/>
          <w:rtl/>
        </w:rPr>
        <w:t>תי אותו ואת כל הזונים אחריו"</w:t>
      </w:r>
      <w:r w:rsidR="00D72DF8">
        <w:rPr>
          <w:rFonts w:ascii="David" w:hAnsi="David"/>
          <w:rtl/>
        </w:rPr>
        <w:t xml:space="preserve"> </w:t>
      </w:r>
      <w:r w:rsidR="00D72DF8" w:rsidRPr="005174DA">
        <w:rPr>
          <w:rFonts w:ascii="David" w:hAnsi="David"/>
          <w:rtl/>
        </w:rPr>
        <w:t>(ויקרא כ, ה)</w:t>
      </w:r>
      <w:r w:rsidRPr="005174DA">
        <w:rPr>
          <w:rFonts w:ascii="David" w:hAnsi="David"/>
          <w:rtl/>
        </w:rPr>
        <w:t xml:space="preserve">. מדרש </w:t>
      </w:r>
      <w:r>
        <w:rPr>
          <w:rFonts w:ascii="David" w:hAnsi="David"/>
          <w:rtl/>
        </w:rPr>
        <w:t xml:space="preserve">ההלכה, הספרא-תורת כהנים, </w:t>
      </w:r>
      <w:r w:rsidR="00D72DF8">
        <w:rPr>
          <w:rFonts w:ascii="David" w:hAnsi="David"/>
          <w:rtl/>
        </w:rPr>
        <w:t xml:space="preserve">מביא </w:t>
      </w:r>
      <w:r>
        <w:rPr>
          <w:rFonts w:ascii="David" w:hAnsi="David"/>
          <w:rtl/>
        </w:rPr>
        <w:t xml:space="preserve">על אתר את תמיהתו של </w:t>
      </w:r>
      <w:r w:rsidRPr="00C758F7">
        <w:rPr>
          <w:rFonts w:ascii="David" w:hAnsi="David"/>
          <w:rtl/>
        </w:rPr>
        <w:t xml:space="preserve">רבי שמעון: </w:t>
      </w:r>
      <w:r>
        <w:rPr>
          <w:rFonts w:ascii="David" w:hAnsi="David"/>
          <w:rtl/>
        </w:rPr>
        <w:t>"</w:t>
      </w:r>
      <w:r w:rsidRPr="00C758F7">
        <w:rPr>
          <w:rFonts w:ascii="David" w:hAnsi="David"/>
          <w:rtl/>
        </w:rPr>
        <w:t>וכי מה חטאה המשפחה? אלא ללמדך שאין לך משפחה שיש בה מוכסן, שאין כולה מוכסים; שיש בה ליסטים [=שודד]</w:t>
      </w:r>
      <w:r w:rsidR="00D72DF8">
        <w:rPr>
          <w:rFonts w:ascii="David" w:hAnsi="David"/>
          <w:rtl/>
        </w:rPr>
        <w:t>,</w:t>
      </w:r>
      <w:r w:rsidRPr="00C758F7">
        <w:rPr>
          <w:rFonts w:ascii="David" w:hAnsi="David"/>
          <w:rtl/>
        </w:rPr>
        <w:t xml:space="preserve"> שאין כולה ליסטים, </w:t>
      </w:r>
      <w:r w:rsidRPr="006C2A45">
        <w:rPr>
          <w:rStyle w:val="aff2"/>
          <w:rtl/>
        </w:rPr>
        <w:t>מפני שמחפים עליו</w:t>
      </w:r>
      <w:r>
        <w:rPr>
          <w:rFonts w:ascii="David" w:hAnsi="David"/>
          <w:rtl/>
        </w:rPr>
        <w:t>"</w:t>
      </w:r>
      <w:r w:rsidRPr="00C758F7">
        <w:rPr>
          <w:rFonts w:ascii="David" w:hAnsi="David"/>
          <w:rtl/>
        </w:rPr>
        <w:t xml:space="preserve">. </w:t>
      </w:r>
    </w:p>
    <w:p w:rsidR="00F25E72" w:rsidRDefault="00441631" w:rsidP="007A00E8">
      <w:pPr>
        <w:rPr>
          <w:rFonts w:ascii="David" w:hAnsi="David"/>
          <w:b/>
          <w:rtl/>
        </w:rPr>
      </w:pPr>
      <w:r>
        <w:rPr>
          <w:rFonts w:ascii="David" w:hAnsi="David"/>
          <w:rtl/>
        </w:rPr>
        <w:t xml:space="preserve">נימוק אחרון זה, "מפני שמחפים עליו", עשוי לפתוח פתח רחב להטלת סנקציות על חוג מקורביו של סרבן הגט. ואכן, יש בידינו עדויות מתקופת הגאונים </w:t>
      </w:r>
      <w:r w:rsidR="00F25E72">
        <w:rPr>
          <w:rFonts w:ascii="David" w:hAnsi="David"/>
          <w:rtl/>
        </w:rPr>
        <w:t xml:space="preserve">על </w:t>
      </w:r>
      <w:r>
        <w:rPr>
          <w:rFonts w:ascii="David" w:hAnsi="David"/>
          <w:rtl/>
        </w:rPr>
        <w:t xml:space="preserve">מקרים </w:t>
      </w:r>
      <w:r w:rsidR="00F25E72">
        <w:rPr>
          <w:rFonts w:ascii="David" w:hAnsi="David"/>
          <w:rtl/>
        </w:rPr>
        <w:t>ש</w:t>
      </w:r>
      <w:r>
        <w:rPr>
          <w:rFonts w:ascii="David" w:hAnsi="David"/>
          <w:rtl/>
        </w:rPr>
        <w:t xml:space="preserve">הופעלה </w:t>
      </w:r>
      <w:r w:rsidR="00F25E72">
        <w:rPr>
          <w:rFonts w:ascii="David" w:hAnsi="David"/>
          <w:rtl/>
        </w:rPr>
        <w:t xml:space="preserve">בהם </w:t>
      </w:r>
      <w:r>
        <w:rPr>
          <w:rFonts w:ascii="David" w:hAnsi="David"/>
          <w:rtl/>
        </w:rPr>
        <w:t xml:space="preserve">סנקציה </w:t>
      </w:r>
      <w:r w:rsidR="00F25E72">
        <w:rPr>
          <w:rFonts w:ascii="David" w:hAnsi="David"/>
          <w:rtl/>
        </w:rPr>
        <w:t>כ</w:t>
      </w:r>
      <w:r>
        <w:rPr>
          <w:rFonts w:ascii="David" w:hAnsi="David"/>
          <w:rtl/>
        </w:rPr>
        <w:t>לפי</w:t>
      </w:r>
      <w:r w:rsidR="00F25E72">
        <w:rPr>
          <w:rFonts w:ascii="David" w:hAnsi="David"/>
          <w:rtl/>
        </w:rPr>
        <w:t xml:space="preserve"> </w:t>
      </w:r>
      <w:r w:rsidR="007A00E8">
        <w:rPr>
          <w:rFonts w:ascii="David" w:hAnsi="David"/>
          <w:rtl/>
        </w:rPr>
        <w:t xml:space="preserve">משפחתו </w:t>
      </w:r>
      <w:r w:rsidR="00F25E72">
        <w:rPr>
          <w:rFonts w:ascii="David" w:hAnsi="David"/>
          <w:rtl/>
        </w:rPr>
        <w:t xml:space="preserve">של </w:t>
      </w:r>
      <w:r w:rsidR="007A00E8">
        <w:rPr>
          <w:rFonts w:ascii="David" w:hAnsi="David"/>
          <w:rtl/>
        </w:rPr>
        <w:t xml:space="preserve">העבריין. </w:t>
      </w:r>
      <w:r>
        <w:rPr>
          <w:rFonts w:ascii="David" w:hAnsi="David"/>
          <w:rtl/>
        </w:rPr>
        <w:t>כך, למשל, מובא בשם רב פלטוי גאון</w:t>
      </w:r>
      <w:r>
        <w:rPr>
          <w:rStyle w:val="a8"/>
          <w:rtl/>
        </w:rPr>
        <w:footnoteReference w:id="28"/>
      </w:r>
      <w:r w:rsidRPr="005174DA">
        <w:rPr>
          <w:rFonts w:ascii="David" w:hAnsi="David"/>
          <w:b/>
          <w:rtl/>
        </w:rPr>
        <w:t>:</w:t>
      </w:r>
    </w:p>
    <w:p w:rsidR="00441631" w:rsidRDefault="00441631" w:rsidP="00F25E72">
      <w:pPr>
        <w:ind w:left="340"/>
        <w:rPr>
          <w:rFonts w:ascii="David" w:hAnsi="David"/>
          <w:b/>
          <w:rtl/>
        </w:rPr>
      </w:pPr>
      <w:r w:rsidRPr="005174DA">
        <w:rPr>
          <w:rFonts w:ascii="David" w:hAnsi="David"/>
          <w:b/>
          <w:rtl/>
        </w:rPr>
        <w:t>ומה [=היא] אחרמתא</w:t>
      </w:r>
      <w:r>
        <w:rPr>
          <w:rFonts w:ascii="David" w:hAnsi="David"/>
          <w:b/>
          <w:rtl/>
        </w:rPr>
        <w:t xml:space="preserve"> [=החרמה]</w:t>
      </w:r>
      <w:r w:rsidRPr="005174DA">
        <w:rPr>
          <w:rFonts w:ascii="David" w:hAnsi="David"/>
          <w:b/>
          <w:rtl/>
        </w:rPr>
        <w:t>? כך כותבין</w:t>
      </w:r>
      <w:r w:rsidR="00240A01">
        <w:rPr>
          <w:rFonts w:ascii="David" w:hAnsi="David"/>
          <w:b/>
          <w:rtl/>
        </w:rPr>
        <w:t xml:space="preserve">... </w:t>
      </w:r>
      <w:r w:rsidRPr="005174DA">
        <w:rPr>
          <w:rFonts w:ascii="David" w:hAnsi="David"/>
          <w:b/>
          <w:rtl/>
        </w:rPr>
        <w:t>פלוני בן פלוני</w:t>
      </w:r>
      <w:r w:rsidR="00240A01">
        <w:rPr>
          <w:rFonts w:ascii="David" w:hAnsi="David"/>
          <w:b/>
          <w:rtl/>
        </w:rPr>
        <w:t>,</w:t>
      </w:r>
      <w:r w:rsidRPr="005174DA">
        <w:rPr>
          <w:rFonts w:ascii="David" w:hAnsi="David"/>
          <w:b/>
          <w:rtl/>
        </w:rPr>
        <w:t xml:space="preserve"> יש עליו ממון מפלוני</w:t>
      </w:r>
      <w:r w:rsidR="00240A01">
        <w:rPr>
          <w:rFonts w:ascii="David" w:hAnsi="David"/>
          <w:b/>
          <w:rtl/>
        </w:rPr>
        <w:t>,</w:t>
      </w:r>
      <w:r w:rsidRPr="005174DA">
        <w:rPr>
          <w:rFonts w:ascii="David" w:hAnsi="David"/>
          <w:b/>
          <w:rtl/>
        </w:rPr>
        <w:t xml:space="preserve"> וחתכנו עליו את הדין ולא ק</w:t>
      </w:r>
      <w:r>
        <w:rPr>
          <w:rFonts w:ascii="David" w:hAnsi="David"/>
          <w:b/>
          <w:rtl/>
        </w:rPr>
        <w:t>י</w:t>
      </w:r>
      <w:r w:rsidRPr="005174DA">
        <w:rPr>
          <w:rFonts w:ascii="David" w:hAnsi="David"/>
          <w:b/>
          <w:rtl/>
        </w:rPr>
        <w:t>בל</w:t>
      </w:r>
      <w:r w:rsidR="00680684">
        <w:rPr>
          <w:rFonts w:ascii="David" w:hAnsi="David"/>
          <w:b/>
          <w:rtl/>
        </w:rPr>
        <w:t>...</w:t>
      </w:r>
      <w:r w:rsidRPr="005174DA">
        <w:rPr>
          <w:rFonts w:ascii="David" w:hAnsi="David"/>
          <w:b/>
          <w:rtl/>
        </w:rPr>
        <w:t xml:space="preserve"> אף אתם כשמגיעין אצלכם פתחא ואחרמתא דא</w:t>
      </w:r>
      <w:r>
        <w:rPr>
          <w:rFonts w:ascii="David" w:hAnsi="David"/>
          <w:b/>
          <w:rtl/>
        </w:rPr>
        <w:t>,</w:t>
      </w:r>
      <w:r w:rsidRPr="005174DA">
        <w:rPr>
          <w:rFonts w:ascii="David" w:hAnsi="David"/>
          <w:b/>
          <w:rtl/>
        </w:rPr>
        <w:t xml:space="preserve"> תחרימו ונדו אותו כל יום תמיד, והכריזו עליו שפ</w:t>
      </w:r>
      <w:r>
        <w:rPr>
          <w:rFonts w:ascii="David" w:hAnsi="David"/>
          <w:b/>
          <w:rtl/>
        </w:rPr>
        <w:t>ִּ</w:t>
      </w:r>
      <w:r w:rsidRPr="005174DA">
        <w:rPr>
          <w:rFonts w:ascii="David" w:hAnsi="David"/>
          <w:b/>
          <w:rtl/>
        </w:rPr>
        <w:t xml:space="preserve">תו פת כותיים, ויינו יין נסך, ופירותיו טבלים, וספריו ספרי קוסמים, וחתכו ציצית שלו, ועקרו מזונותיו, ואל תתפללו עמו, </w:t>
      </w:r>
      <w:r w:rsidRPr="006C2A45">
        <w:rPr>
          <w:rStyle w:val="aff2"/>
          <w:rtl/>
        </w:rPr>
        <w:t>ואל תמולו לו בן</w:t>
      </w:r>
      <w:r w:rsidR="00F25E72" w:rsidRPr="006C2A45">
        <w:rPr>
          <w:rStyle w:val="aff2"/>
          <w:rtl/>
        </w:rPr>
        <w:t>,</w:t>
      </w:r>
      <w:r w:rsidRPr="006C2A45">
        <w:rPr>
          <w:rStyle w:val="aff2"/>
          <w:rtl/>
        </w:rPr>
        <w:t xml:space="preserve"> ואל ילמדו את בניו בבתי הכנסיות</w:t>
      </w:r>
      <w:r w:rsidRPr="001F7664">
        <w:rPr>
          <w:rFonts w:ascii="David" w:hAnsi="David"/>
          <w:bCs/>
          <w:rtl/>
        </w:rPr>
        <w:t>,</w:t>
      </w:r>
      <w:r w:rsidRPr="005174DA">
        <w:rPr>
          <w:rFonts w:ascii="David" w:hAnsi="David"/>
          <w:b/>
          <w:rtl/>
        </w:rPr>
        <w:t xml:space="preserve"> ואל תקברו לו מתו, ואל תכניסו אותו לא בחבורת מצווה ולא לחבורת רשות, ושטפו כוס אחריו, ונהגו בו מנהג בזיון ומנהג גויים. </w:t>
      </w:r>
    </w:p>
    <w:p w:rsidR="00441631" w:rsidRDefault="00F25E72" w:rsidP="00F25E72">
      <w:pPr>
        <w:rPr>
          <w:rFonts w:ascii="David" w:hAnsi="David"/>
          <w:b/>
          <w:rtl/>
        </w:rPr>
      </w:pPr>
      <w:r>
        <w:rPr>
          <w:rFonts w:ascii="David" w:hAnsi="David"/>
          <w:b/>
          <w:rtl/>
        </w:rPr>
        <w:t>נמצא ש</w:t>
      </w:r>
      <w:r w:rsidR="00441631">
        <w:rPr>
          <w:rFonts w:ascii="David" w:hAnsi="David"/>
          <w:b/>
          <w:rtl/>
        </w:rPr>
        <w:t xml:space="preserve">סנקציות מופעלות לא רק כלפי העבריין אלא גם כלפי </w:t>
      </w:r>
      <w:r w:rsidR="00240A01">
        <w:rPr>
          <w:rFonts w:ascii="David" w:hAnsi="David"/>
          <w:b/>
          <w:rtl/>
        </w:rPr>
        <w:t xml:space="preserve">ילדיו, </w:t>
      </w:r>
      <w:r w:rsidR="00441631">
        <w:rPr>
          <w:rFonts w:ascii="David" w:hAnsi="David"/>
          <w:b/>
          <w:rtl/>
        </w:rPr>
        <w:t>שאין מלין אות</w:t>
      </w:r>
      <w:r w:rsidR="00240A01">
        <w:rPr>
          <w:rFonts w:ascii="David" w:hAnsi="David"/>
          <w:b/>
          <w:rtl/>
        </w:rPr>
        <w:t>ם ו</w:t>
      </w:r>
      <w:r>
        <w:rPr>
          <w:rFonts w:ascii="David" w:hAnsi="David"/>
          <w:b/>
          <w:rtl/>
        </w:rPr>
        <w:t xml:space="preserve">אף </w:t>
      </w:r>
      <w:r w:rsidR="00441631">
        <w:rPr>
          <w:rFonts w:ascii="David" w:hAnsi="David"/>
          <w:b/>
          <w:rtl/>
        </w:rPr>
        <w:t>מונעים אותם מללמוד</w:t>
      </w:r>
      <w:r w:rsidR="00680684">
        <w:rPr>
          <w:rStyle w:val="a8"/>
          <w:b/>
          <w:rtl/>
        </w:rPr>
        <w:footnoteReference w:id="29"/>
      </w:r>
      <w:r w:rsidR="00441631">
        <w:rPr>
          <w:rFonts w:ascii="David" w:hAnsi="David"/>
          <w:b/>
          <w:rtl/>
        </w:rPr>
        <w:t xml:space="preserve">. </w:t>
      </w:r>
    </w:p>
    <w:p w:rsidR="00F25E72" w:rsidRDefault="00441631" w:rsidP="00F25E72">
      <w:pPr>
        <w:rPr>
          <w:rFonts w:ascii="David" w:hAnsi="David"/>
          <w:b/>
          <w:rtl/>
        </w:rPr>
      </w:pPr>
      <w:r>
        <w:rPr>
          <w:rFonts w:ascii="David" w:hAnsi="David"/>
          <w:b/>
          <w:rtl/>
        </w:rPr>
        <w:t xml:space="preserve">נקיטת סנקציות </w:t>
      </w:r>
      <w:r w:rsidR="00F25E72">
        <w:rPr>
          <w:rFonts w:ascii="David" w:hAnsi="David"/>
          <w:b/>
          <w:rtl/>
        </w:rPr>
        <w:t xml:space="preserve">מעין </w:t>
      </w:r>
      <w:r>
        <w:rPr>
          <w:rFonts w:ascii="David" w:hAnsi="David"/>
          <w:b/>
          <w:rtl/>
        </w:rPr>
        <w:t xml:space="preserve">אלה, </w:t>
      </w:r>
      <w:r w:rsidR="00F25E72">
        <w:rPr>
          <w:rFonts w:ascii="David" w:hAnsi="David"/>
          <w:b/>
          <w:rtl/>
        </w:rPr>
        <w:t xml:space="preserve">שהן לכאורה בגדר </w:t>
      </w:r>
      <w:r>
        <w:rPr>
          <w:rFonts w:ascii="David" w:hAnsi="David"/>
          <w:b/>
          <w:rtl/>
        </w:rPr>
        <w:t>"ענישה קיבוצית", שאינה ראויה, עוררה תמיהה אצל חלק מחכמי ההלכה. כך, למשל, תמה המהרש"ל</w:t>
      </w:r>
      <w:r w:rsidR="00C069C3">
        <w:rPr>
          <w:rStyle w:val="a8"/>
          <w:b/>
          <w:rtl/>
        </w:rPr>
        <w:footnoteReference w:id="30"/>
      </w:r>
      <w:r w:rsidRPr="005174DA">
        <w:rPr>
          <w:rFonts w:ascii="David" w:hAnsi="David"/>
          <w:b/>
          <w:rtl/>
        </w:rPr>
        <w:t xml:space="preserve">: </w:t>
      </w:r>
    </w:p>
    <w:p w:rsidR="00441631" w:rsidRDefault="00441631" w:rsidP="008B7D01">
      <w:pPr>
        <w:ind w:left="340"/>
        <w:rPr>
          <w:rFonts w:ascii="David" w:hAnsi="David"/>
          <w:b/>
          <w:rtl/>
        </w:rPr>
      </w:pPr>
      <w:r w:rsidRPr="005174DA">
        <w:rPr>
          <w:rFonts w:ascii="David" w:hAnsi="David"/>
          <w:b/>
          <w:rtl/>
        </w:rPr>
        <w:t>ועוד ראיתי דברים תמוהים בהאי תשובה דר' פלטוי גאון, שכתב מוציאין התינוק מבית הספר. חלילה, במה שכל העולם אינו מתקיים אלא בהבל פיהם של תינוקות (שבת קיט, ע"ב) נבטל</w:t>
      </w:r>
      <w:r w:rsidR="00240A01">
        <w:rPr>
          <w:rFonts w:ascii="David" w:hAnsi="David"/>
          <w:b/>
          <w:rtl/>
        </w:rPr>
        <w:t xml:space="preserve">... </w:t>
      </w:r>
      <w:r w:rsidRPr="005174DA">
        <w:rPr>
          <w:rFonts w:ascii="David" w:hAnsi="David"/>
          <w:b/>
          <w:rtl/>
        </w:rPr>
        <w:t xml:space="preserve">גם מה שכתב להוציא את אשתו מבית הכנסת לא נהירא. </w:t>
      </w:r>
      <w:r w:rsidRPr="008E17F9">
        <w:rPr>
          <w:rStyle w:val="aff2"/>
          <w:rtl/>
        </w:rPr>
        <w:t>אם הוא חטא, היא מה חטאה</w:t>
      </w:r>
      <w:r w:rsidRPr="005174DA">
        <w:rPr>
          <w:rFonts w:ascii="David" w:hAnsi="David"/>
          <w:b/>
          <w:rtl/>
        </w:rPr>
        <w:t xml:space="preserve">? </w:t>
      </w:r>
      <w:r w:rsidRPr="005174DA">
        <w:rPr>
          <w:rFonts w:ascii="David" w:hAnsi="David"/>
          <w:b/>
          <w:rtl/>
        </w:rPr>
        <w:lastRenderedPageBreak/>
        <w:t xml:space="preserve">אשת עכן לא נענשה בחרם של כל קהל ישראל, אלא העמידוה לאיים עליו. </w:t>
      </w:r>
      <w:r w:rsidRPr="008E17F9">
        <w:rPr>
          <w:rStyle w:val="aff2"/>
          <w:rtl/>
        </w:rPr>
        <w:t>קל וחומר בנדון זה, שלא לבייש בת ישראל</w:t>
      </w:r>
      <w:r w:rsidR="00680684">
        <w:rPr>
          <w:rStyle w:val="a8"/>
          <w:b/>
          <w:rtl/>
        </w:rPr>
        <w:footnoteReference w:id="31"/>
      </w:r>
      <w:r w:rsidRPr="005174DA">
        <w:rPr>
          <w:rFonts w:ascii="David" w:hAnsi="David"/>
          <w:b/>
          <w:rtl/>
        </w:rPr>
        <w:t>. וכמדומה שלא יצאו אות</w:t>
      </w:r>
      <w:r w:rsidR="008B7D01">
        <w:rPr>
          <w:rFonts w:ascii="David" w:hAnsi="David"/>
          <w:b/>
          <w:rtl/>
        </w:rPr>
        <w:t>ם</w:t>
      </w:r>
      <w:r w:rsidRPr="005174DA">
        <w:rPr>
          <w:rFonts w:ascii="David" w:hAnsi="David"/>
          <w:b/>
          <w:rtl/>
        </w:rPr>
        <w:t xml:space="preserve"> שני דברים מפי הגאון</w:t>
      </w:r>
      <w:r>
        <w:rPr>
          <w:rFonts w:ascii="David" w:hAnsi="David"/>
          <w:b/>
          <w:rtl/>
        </w:rPr>
        <w:t xml:space="preserve">... </w:t>
      </w:r>
      <w:r w:rsidRPr="005174DA">
        <w:rPr>
          <w:rFonts w:ascii="David" w:hAnsi="David"/>
          <w:b/>
          <w:rtl/>
        </w:rPr>
        <w:t>ומוחרם שרצו ב</w:t>
      </w:r>
      <w:r>
        <w:rPr>
          <w:rFonts w:ascii="David" w:hAnsi="David"/>
          <w:b/>
          <w:rtl/>
        </w:rPr>
        <w:t xml:space="preserve">ית דין </w:t>
      </w:r>
      <w:r w:rsidRPr="005174DA">
        <w:rPr>
          <w:rFonts w:ascii="David" w:hAnsi="David"/>
          <w:b/>
          <w:rtl/>
        </w:rPr>
        <w:t>להחמיר עליו למיגדר מילתא, הרשות בידם. ויכולים לגזור ולאסור אף על הדיבור</w:t>
      </w:r>
      <w:r>
        <w:rPr>
          <w:rFonts w:ascii="David" w:hAnsi="David"/>
          <w:b/>
          <w:rtl/>
        </w:rPr>
        <w:t xml:space="preserve"> [=עמו]</w:t>
      </w:r>
      <w:r w:rsidRPr="005174DA">
        <w:rPr>
          <w:rFonts w:ascii="David" w:hAnsi="David"/>
          <w:b/>
          <w:rtl/>
        </w:rPr>
        <w:t>. וכן שלא למול את בנו, ולא לקבור את מתו. אבל לעשות נזיפה לאשתו, אם לא יצא עליה שום שם בישא</w:t>
      </w:r>
      <w:r>
        <w:rPr>
          <w:rFonts w:ascii="David" w:hAnsi="David"/>
          <w:b/>
          <w:rtl/>
        </w:rPr>
        <w:t xml:space="preserve"> [=רע]</w:t>
      </w:r>
      <w:r w:rsidRPr="005174DA">
        <w:rPr>
          <w:rFonts w:ascii="David" w:hAnsi="David"/>
          <w:b/>
          <w:rtl/>
        </w:rPr>
        <w:t xml:space="preserve"> ולא שום סרבנות</w:t>
      </w:r>
      <w:r w:rsidR="00680684">
        <w:rPr>
          <w:rFonts w:ascii="David" w:hAnsi="David"/>
          <w:b/>
          <w:rtl/>
        </w:rPr>
        <w:t>,</w:t>
      </w:r>
      <w:r w:rsidRPr="005174DA">
        <w:rPr>
          <w:rFonts w:ascii="David" w:hAnsi="David"/>
          <w:b/>
          <w:rtl/>
        </w:rPr>
        <w:t xml:space="preserve"> פשיטא ופשיטא דלא עבדינן לה מידי [=שאין </w:t>
      </w:r>
      <w:r w:rsidR="00F25E72">
        <w:rPr>
          <w:rFonts w:ascii="David" w:hAnsi="David"/>
          <w:b/>
          <w:rtl/>
        </w:rPr>
        <w:t xml:space="preserve">אנו </w:t>
      </w:r>
      <w:r w:rsidRPr="005174DA">
        <w:rPr>
          <w:rFonts w:ascii="David" w:hAnsi="David"/>
          <w:b/>
          <w:rtl/>
        </w:rPr>
        <w:t>עושין לה דבר]. וכן להוציא את בניו מבית המדרש או מן הישיבה, חלילה וחלילה. וכן פעם אחת בא מעשה לידי בימי חורפי, שכתב לי חכם אחד, וזקן בדורו בעל הוראה</w:t>
      </w:r>
      <w:r w:rsidR="00F25E72">
        <w:rPr>
          <w:rFonts w:ascii="David" w:hAnsi="David"/>
          <w:b/>
          <w:rtl/>
        </w:rPr>
        <w:t>,</w:t>
      </w:r>
      <w:r w:rsidRPr="005174DA">
        <w:rPr>
          <w:rFonts w:ascii="David" w:hAnsi="David"/>
          <w:b/>
          <w:rtl/>
        </w:rPr>
        <w:t xml:space="preserve"> שאוציא את בני המוחרם מישיבה</w:t>
      </w:r>
      <w:r w:rsidR="00F25E72">
        <w:rPr>
          <w:rFonts w:ascii="David" w:hAnsi="David"/>
          <w:b/>
          <w:rtl/>
        </w:rPr>
        <w:t>,</w:t>
      </w:r>
      <w:r w:rsidRPr="005174DA">
        <w:rPr>
          <w:rFonts w:ascii="David" w:hAnsi="David"/>
          <w:b/>
          <w:rtl/>
        </w:rPr>
        <w:t xml:space="preserve"> ולא השגחתי בו כל עיקר.</w:t>
      </w:r>
    </w:p>
    <w:p w:rsidR="0073193C" w:rsidRDefault="00441631" w:rsidP="008E17F9">
      <w:pPr>
        <w:rPr>
          <w:rFonts w:ascii="David" w:hAnsi="David"/>
          <w:b/>
          <w:rtl/>
        </w:rPr>
      </w:pPr>
      <w:r>
        <w:rPr>
          <w:rFonts w:ascii="David" w:hAnsi="David"/>
          <w:b/>
          <w:rtl/>
        </w:rPr>
        <w:t>דוגמ</w:t>
      </w:r>
      <w:r w:rsidR="00F25E72">
        <w:rPr>
          <w:rFonts w:ascii="David" w:hAnsi="David"/>
          <w:b/>
          <w:rtl/>
        </w:rPr>
        <w:t>ה</w:t>
      </w:r>
      <w:r>
        <w:rPr>
          <w:rFonts w:ascii="David" w:hAnsi="David"/>
          <w:b/>
          <w:rtl/>
        </w:rPr>
        <w:t xml:space="preserve"> נוספת להתנגדות להטלת סנקציות על חוג מקורבי עבריין </w:t>
      </w:r>
      <w:r w:rsidR="008E17F9">
        <w:rPr>
          <w:rFonts w:ascii="David" w:hAnsi="David"/>
          <w:b/>
          <w:rtl/>
        </w:rPr>
        <w:t>הביע</w:t>
      </w:r>
      <w:r>
        <w:rPr>
          <w:rFonts w:ascii="David" w:hAnsi="David"/>
          <w:b/>
          <w:rtl/>
        </w:rPr>
        <w:t xml:space="preserve"> ר' יעקב ריישר</w:t>
      </w:r>
      <w:r w:rsidR="008E17F9">
        <w:rPr>
          <w:rStyle w:val="a8"/>
          <w:b/>
          <w:rtl/>
        </w:rPr>
        <w:footnoteReference w:id="32"/>
      </w:r>
      <w:r>
        <w:rPr>
          <w:rFonts w:ascii="David" w:hAnsi="David"/>
          <w:b/>
          <w:rtl/>
        </w:rPr>
        <w:t xml:space="preserve"> </w:t>
      </w:r>
      <w:r w:rsidR="008E17F9">
        <w:rPr>
          <w:rFonts w:ascii="David" w:hAnsi="David"/>
          <w:b/>
          <w:rtl/>
        </w:rPr>
        <w:t>ש</w:t>
      </w:r>
      <w:r>
        <w:rPr>
          <w:rFonts w:ascii="David" w:hAnsi="David"/>
          <w:b/>
          <w:rtl/>
        </w:rPr>
        <w:t xml:space="preserve">נשאל </w:t>
      </w:r>
      <w:r w:rsidR="0073193C">
        <w:rPr>
          <w:rFonts w:ascii="David" w:hAnsi="David"/>
          <w:b/>
          <w:rtl/>
        </w:rPr>
        <w:t>בעניין</w:t>
      </w:r>
      <w:r w:rsidR="00680684">
        <w:rPr>
          <w:rFonts w:ascii="David" w:hAnsi="David"/>
          <w:b/>
          <w:rtl/>
        </w:rPr>
        <w:t xml:space="preserve"> בת "מו</w:t>
      </w:r>
      <w:r w:rsidR="008B7D01">
        <w:rPr>
          <w:rFonts w:ascii="David" w:hAnsi="David"/>
          <w:b/>
          <w:rtl/>
        </w:rPr>
        <w:t>ֹ</w:t>
      </w:r>
      <w:r w:rsidR="00680684">
        <w:rPr>
          <w:rFonts w:ascii="David" w:hAnsi="David"/>
          <w:b/>
          <w:rtl/>
        </w:rPr>
        <w:t>ס</w:t>
      </w:r>
      <w:r w:rsidR="008B7D01">
        <w:rPr>
          <w:rFonts w:ascii="David" w:hAnsi="David"/>
          <w:b/>
          <w:rtl/>
        </w:rPr>
        <w:t>ֵ</w:t>
      </w:r>
      <w:r w:rsidR="00680684">
        <w:rPr>
          <w:rFonts w:ascii="David" w:hAnsi="David"/>
          <w:b/>
          <w:rtl/>
        </w:rPr>
        <w:t>ר" שנתחייב נידוי</w:t>
      </w:r>
      <w:r w:rsidR="008B7D01">
        <w:rPr>
          <w:rFonts w:ascii="David" w:hAnsi="David"/>
          <w:b/>
          <w:rtl/>
        </w:rPr>
        <w:t>,</w:t>
      </w:r>
      <w:r w:rsidR="00680684">
        <w:rPr>
          <w:rFonts w:ascii="David" w:hAnsi="David"/>
          <w:b/>
          <w:rtl/>
        </w:rPr>
        <w:t xml:space="preserve"> </w:t>
      </w:r>
      <w:r w:rsidR="008B7D01">
        <w:rPr>
          <w:rFonts w:ascii="David" w:hAnsi="David"/>
          <w:b/>
          <w:rtl/>
        </w:rPr>
        <w:t xml:space="preserve">שהייתה </w:t>
      </w:r>
      <w:r w:rsidR="00680684">
        <w:rPr>
          <w:rFonts w:ascii="David" w:hAnsi="David"/>
          <w:b/>
          <w:rtl/>
        </w:rPr>
        <w:t>זק</w:t>
      </w:r>
      <w:r w:rsidR="00F25E72">
        <w:rPr>
          <w:rFonts w:ascii="David" w:hAnsi="David"/>
          <w:b/>
          <w:rtl/>
        </w:rPr>
        <w:t>ו</w:t>
      </w:r>
      <w:r w:rsidR="00680684">
        <w:rPr>
          <w:rFonts w:ascii="David" w:hAnsi="David"/>
          <w:b/>
          <w:rtl/>
        </w:rPr>
        <w:t xml:space="preserve">קה לחליצה, </w:t>
      </w:r>
      <w:r w:rsidRPr="005174DA">
        <w:rPr>
          <w:rFonts w:ascii="David" w:hAnsi="David"/>
          <w:b/>
          <w:rtl/>
        </w:rPr>
        <w:t xml:space="preserve">אם יש רשות </w:t>
      </w:r>
      <w:r w:rsidR="0073193C">
        <w:rPr>
          <w:rFonts w:ascii="David" w:hAnsi="David"/>
          <w:b/>
          <w:rtl/>
        </w:rPr>
        <w:t>ל</w:t>
      </w:r>
      <w:r w:rsidRPr="005174DA">
        <w:rPr>
          <w:rFonts w:ascii="David" w:hAnsi="David"/>
          <w:b/>
          <w:rtl/>
        </w:rPr>
        <w:t>קהל ובית דין לעכב</w:t>
      </w:r>
      <w:r w:rsidR="008B7D01">
        <w:rPr>
          <w:rFonts w:ascii="David" w:hAnsi="David"/>
          <w:b/>
          <w:rtl/>
        </w:rPr>
        <w:t xml:space="preserve">ה </w:t>
      </w:r>
      <w:r w:rsidRPr="005174DA">
        <w:rPr>
          <w:rFonts w:ascii="David" w:hAnsi="David"/>
          <w:b/>
          <w:rtl/>
        </w:rPr>
        <w:t xml:space="preserve">עד </w:t>
      </w:r>
      <w:r w:rsidR="00680684">
        <w:rPr>
          <w:rFonts w:ascii="David" w:hAnsi="David"/>
          <w:b/>
          <w:rtl/>
        </w:rPr>
        <w:t xml:space="preserve">שיציית </w:t>
      </w:r>
      <w:r w:rsidR="00F25E72">
        <w:rPr>
          <w:rFonts w:ascii="David" w:hAnsi="David"/>
          <w:b/>
          <w:rtl/>
        </w:rPr>
        <w:t xml:space="preserve">אביה </w:t>
      </w:r>
      <w:r w:rsidR="00680684">
        <w:rPr>
          <w:rFonts w:ascii="David" w:hAnsi="David"/>
          <w:b/>
          <w:rtl/>
        </w:rPr>
        <w:t>לבית הדין</w:t>
      </w:r>
      <w:r w:rsidR="0073193C">
        <w:rPr>
          <w:rFonts w:ascii="David" w:hAnsi="David"/>
          <w:b/>
          <w:rtl/>
        </w:rPr>
        <w:t>.</w:t>
      </w:r>
      <w:r w:rsidR="00680684">
        <w:rPr>
          <w:rFonts w:ascii="David" w:hAnsi="David"/>
          <w:b/>
          <w:rtl/>
        </w:rPr>
        <w:t xml:space="preserve"> </w:t>
      </w:r>
      <w:r>
        <w:rPr>
          <w:rFonts w:ascii="David" w:hAnsi="David"/>
          <w:b/>
          <w:rtl/>
        </w:rPr>
        <w:t>לאחר ש</w:t>
      </w:r>
      <w:r w:rsidR="0073193C">
        <w:rPr>
          <w:rFonts w:ascii="David" w:hAnsi="David"/>
          <w:b/>
          <w:rtl/>
        </w:rPr>
        <w:t xml:space="preserve">הוא </w:t>
      </w:r>
      <w:r>
        <w:rPr>
          <w:rFonts w:ascii="David" w:hAnsi="David"/>
          <w:b/>
          <w:rtl/>
        </w:rPr>
        <w:t>דן בשאלה</w:t>
      </w:r>
      <w:r w:rsidR="0073193C">
        <w:rPr>
          <w:rFonts w:ascii="David" w:hAnsi="David"/>
          <w:b/>
          <w:rtl/>
        </w:rPr>
        <w:t xml:space="preserve"> בהרחבה,</w:t>
      </w:r>
      <w:r>
        <w:rPr>
          <w:rFonts w:ascii="David" w:hAnsi="David"/>
          <w:b/>
          <w:rtl/>
        </w:rPr>
        <w:t xml:space="preserve"> נוטה הר"י ריישר להימנע מ</w:t>
      </w:r>
      <w:r w:rsidR="0073193C">
        <w:rPr>
          <w:rFonts w:ascii="David" w:hAnsi="David"/>
          <w:b/>
          <w:rtl/>
        </w:rPr>
        <w:t>ל</w:t>
      </w:r>
      <w:r>
        <w:rPr>
          <w:rFonts w:ascii="David" w:hAnsi="David"/>
          <w:b/>
          <w:rtl/>
        </w:rPr>
        <w:t>הט</w:t>
      </w:r>
      <w:r w:rsidR="0073193C">
        <w:rPr>
          <w:rFonts w:ascii="David" w:hAnsi="David"/>
          <w:b/>
          <w:rtl/>
        </w:rPr>
        <w:t>יל</w:t>
      </w:r>
      <w:r>
        <w:rPr>
          <w:rFonts w:ascii="David" w:hAnsi="David"/>
          <w:b/>
          <w:rtl/>
        </w:rPr>
        <w:t xml:space="preserve"> סנקציות "שלא מן הדין" על משפחת העבריין</w:t>
      </w:r>
      <w:r w:rsidR="0073193C">
        <w:rPr>
          <w:rFonts w:ascii="David" w:hAnsi="David"/>
          <w:b/>
          <w:rtl/>
        </w:rPr>
        <w:t>, תוך שהוא מבחין בין מי שלא הייתה ידו במעל, שאסור להענישו, לבין שותף לעברה, שמותר להענישו</w:t>
      </w:r>
      <w:r>
        <w:rPr>
          <w:rFonts w:ascii="David" w:hAnsi="David"/>
          <w:b/>
          <w:rtl/>
        </w:rPr>
        <w:t>. ו</w:t>
      </w:r>
      <w:r w:rsidR="0073193C">
        <w:rPr>
          <w:rFonts w:ascii="David" w:hAnsi="David"/>
          <w:b/>
          <w:rtl/>
        </w:rPr>
        <w:t>ז</w:t>
      </w:r>
      <w:r>
        <w:rPr>
          <w:rFonts w:ascii="David" w:hAnsi="David"/>
          <w:b/>
          <w:rtl/>
        </w:rPr>
        <w:t>ה</w:t>
      </w:r>
      <w:r w:rsidR="0073193C">
        <w:rPr>
          <w:rFonts w:ascii="David" w:hAnsi="David"/>
          <w:b/>
          <w:rtl/>
        </w:rPr>
        <w:t xml:space="preserve"> לשונו בסוף תשובתו:</w:t>
      </w:r>
    </w:p>
    <w:p w:rsidR="0073193C" w:rsidRDefault="00441631" w:rsidP="0073193C">
      <w:pPr>
        <w:ind w:left="340"/>
        <w:rPr>
          <w:rFonts w:ascii="David" w:hAnsi="David"/>
          <w:b/>
          <w:rtl/>
        </w:rPr>
      </w:pPr>
      <w:r w:rsidRPr="002C5EFC">
        <w:rPr>
          <w:rFonts w:ascii="David" w:hAnsi="David"/>
          <w:b/>
          <w:spacing w:val="-4"/>
          <w:rtl/>
        </w:rPr>
        <w:t>ואף דנראה לי דאין לנו לזוז אפילו זיז כל שהוא מפסק הב</w:t>
      </w:r>
      <w:r w:rsidR="00240A01" w:rsidRPr="002C5EFC">
        <w:rPr>
          <w:rFonts w:ascii="David" w:hAnsi="David"/>
          <w:b/>
          <w:spacing w:val="-4"/>
          <w:rtl/>
        </w:rPr>
        <w:t>ית יוסף ב"שולחן ערוך"</w:t>
      </w:r>
      <w:r w:rsidRPr="002C5EFC">
        <w:rPr>
          <w:rFonts w:ascii="David" w:hAnsi="David"/>
          <w:b/>
          <w:spacing w:val="-4"/>
          <w:rtl/>
        </w:rPr>
        <w:t xml:space="preserve"> ורמ"א [=שתמכו בהענשת המקורבים]</w:t>
      </w:r>
      <w:r w:rsidR="0073193C" w:rsidRPr="002C5EFC">
        <w:rPr>
          <w:rFonts w:ascii="David" w:hAnsi="David"/>
          <w:b/>
          <w:spacing w:val="-4"/>
          <w:rtl/>
        </w:rPr>
        <w:t>,</w:t>
      </w:r>
      <w:r w:rsidRPr="002C5EFC">
        <w:rPr>
          <w:rFonts w:ascii="David" w:hAnsi="David"/>
          <w:b/>
          <w:spacing w:val="-4"/>
          <w:rtl/>
        </w:rPr>
        <w:t xml:space="preserve"> ואחריהם אנו נמשכין</w:t>
      </w:r>
      <w:r w:rsidR="0073193C" w:rsidRPr="002C5EFC">
        <w:rPr>
          <w:rFonts w:ascii="David" w:hAnsi="David"/>
          <w:b/>
          <w:spacing w:val="-4"/>
          <w:rtl/>
        </w:rPr>
        <w:t>,</w:t>
      </w:r>
      <w:r w:rsidRPr="002C5EFC">
        <w:rPr>
          <w:rFonts w:ascii="David" w:hAnsi="David"/>
          <w:b/>
          <w:spacing w:val="-4"/>
          <w:rtl/>
        </w:rPr>
        <w:t xml:space="preserve"> ודלא כמהרש"ל, מכל מקום הבו דלא לוסיף עלה [=</w:t>
      </w:r>
      <w:r w:rsidR="0073193C" w:rsidRPr="002C5EFC">
        <w:rPr>
          <w:rFonts w:ascii="David" w:hAnsi="David"/>
          <w:b/>
          <w:spacing w:val="-4"/>
          <w:rtl/>
        </w:rPr>
        <w:t xml:space="preserve">הבה לא </w:t>
      </w:r>
      <w:r w:rsidRPr="002C5EFC">
        <w:rPr>
          <w:rFonts w:ascii="David" w:hAnsi="David"/>
          <w:b/>
          <w:spacing w:val="-4"/>
          <w:rtl/>
        </w:rPr>
        <w:t>נוסיף על מה שכבר נפסק] לעכב בתו מן החליצה, והיא כבר נסתלקה מרשות אביה ביום חת</w:t>
      </w:r>
      <w:r w:rsidR="00240A01" w:rsidRPr="002C5EFC">
        <w:rPr>
          <w:rFonts w:ascii="David" w:hAnsi="David"/>
          <w:b/>
          <w:spacing w:val="-4"/>
          <w:rtl/>
        </w:rPr>
        <w:t>ו</w:t>
      </w:r>
      <w:r w:rsidRPr="002C5EFC">
        <w:rPr>
          <w:rFonts w:ascii="David" w:hAnsi="David"/>
          <w:b/>
          <w:spacing w:val="-4"/>
          <w:rtl/>
        </w:rPr>
        <w:t>נתה, ולעגן אותה בחנם</w:t>
      </w:r>
      <w:r w:rsidR="0073193C" w:rsidRPr="002C5EFC">
        <w:rPr>
          <w:rFonts w:ascii="David" w:hAnsi="David"/>
          <w:b/>
          <w:spacing w:val="-4"/>
          <w:rtl/>
        </w:rPr>
        <w:t>,</w:t>
      </w:r>
      <w:r w:rsidRPr="002C5EFC">
        <w:rPr>
          <w:rFonts w:ascii="David" w:hAnsi="David"/>
          <w:b/>
          <w:spacing w:val="-4"/>
          <w:rtl/>
        </w:rPr>
        <w:t xml:space="preserve"> אשר כבר חששו חכמי הש"ס וכל ראשונים ואחרונים לתקנות עגונות, ובפרט לעכב מצווה של החלוץ</w:t>
      </w:r>
      <w:r w:rsidR="0073193C" w:rsidRPr="002C5EFC">
        <w:rPr>
          <w:rFonts w:ascii="David" w:hAnsi="David"/>
          <w:b/>
          <w:spacing w:val="-4"/>
          <w:rtl/>
        </w:rPr>
        <w:t>,</w:t>
      </w:r>
      <w:r w:rsidRPr="002C5EFC">
        <w:rPr>
          <w:rFonts w:ascii="David" w:hAnsi="David"/>
          <w:b/>
          <w:spacing w:val="-4"/>
          <w:rtl/>
        </w:rPr>
        <w:t xml:space="preserve"> שאין לו שום שייכות עם המוחרם...</w:t>
      </w:r>
      <w:r>
        <w:rPr>
          <w:rFonts w:ascii="David" w:hAnsi="David"/>
          <w:b/>
          <w:rtl/>
        </w:rPr>
        <w:t xml:space="preserve"> </w:t>
      </w:r>
      <w:r w:rsidRPr="008E17F9">
        <w:rPr>
          <w:rStyle w:val="aff2"/>
          <w:rtl/>
        </w:rPr>
        <w:t>אבל אם החלוצה עצמה גם כן היתה במרד ובמעל הזאת</w:t>
      </w:r>
      <w:r w:rsidR="0073193C" w:rsidRPr="008E17F9">
        <w:rPr>
          <w:rStyle w:val="aff2"/>
          <w:rtl/>
        </w:rPr>
        <w:t>,</w:t>
      </w:r>
      <w:r w:rsidRPr="008E17F9">
        <w:rPr>
          <w:rStyle w:val="aff2"/>
          <w:rtl/>
        </w:rPr>
        <w:t xml:space="preserve"> ודאי יכולים לקנסה</w:t>
      </w:r>
      <w:r>
        <w:rPr>
          <w:rFonts w:ascii="David" w:hAnsi="David"/>
          <w:b/>
          <w:rtl/>
        </w:rPr>
        <w:t>.</w:t>
      </w:r>
    </w:p>
    <w:p w:rsidR="004375C4" w:rsidRPr="008E17F9" w:rsidRDefault="009155D7" w:rsidP="008E17F9">
      <w:pPr>
        <w:rPr>
          <w:b/>
          <w:rtl/>
        </w:rPr>
      </w:pPr>
      <w:r>
        <w:rPr>
          <w:noProof/>
        </w:rPr>
        <w:pict>
          <v:shapetype id="_x0000_t202" coordsize="21600,21600" o:spt="202" path="m,l,21600r21600,l21600,xe">
            <v:stroke joinstyle="miter"/>
            <v:path gradientshapeok="t" o:connecttype="rect"/>
          </v:shapetype>
          <v:shape id="_x0000_s1026" type="#_x0000_t202" style="position:absolute;left:0;text-align:left;margin-left:61.05pt;margin-top:261.75pt;width:482.4pt;height:33pt;z-index:251658240;mso-position-horizontal-relative:page" stroked="f">
            <v:textbox style="mso-next-textbox:#_x0000_s1026">
              <w:txbxContent>
                <w:p w:rsidR="002C5EFC" w:rsidRPr="00992204" w:rsidRDefault="002C5EFC" w:rsidP="002C5EFC">
                  <w:pPr>
                    <w:spacing w:after="0" w:line="240" w:lineRule="auto"/>
                    <w:jc w:val="center"/>
                    <w:rPr>
                      <w:b/>
                      <w:bCs/>
                      <w:spacing w:val="2"/>
                      <w:sz w:val="18"/>
                      <w:szCs w:val="18"/>
                      <w:rtl/>
                    </w:rPr>
                  </w:pPr>
                  <w:r w:rsidRPr="00992204">
                    <w:rPr>
                      <w:spacing w:val="2"/>
                      <w:sz w:val="18"/>
                      <w:szCs w:val="18"/>
                      <w:rtl/>
                    </w:rPr>
                    <w:t xml:space="preserve">להצטרפות לרשימת התפוצה האלקטרונית </w:t>
                  </w:r>
                  <w:hyperlink r:id="rId7" w:history="1">
                    <w:r w:rsidRPr="00992204">
                      <w:rPr>
                        <w:rStyle w:val="Hyperlink"/>
                        <w:spacing w:val="2"/>
                        <w:sz w:val="18"/>
                        <w:szCs w:val="18"/>
                      </w:rPr>
                      <w:t>www.justice.gov.il/mojheb/tfuza</w:t>
                    </w:r>
                  </w:hyperlink>
                </w:p>
                <w:p w:rsidR="002C5EFC" w:rsidRPr="00992204" w:rsidRDefault="002C5EFC" w:rsidP="002C5EFC">
                  <w:pPr>
                    <w:spacing w:after="0" w:line="240" w:lineRule="auto"/>
                    <w:jc w:val="center"/>
                    <w:rPr>
                      <w:sz w:val="18"/>
                      <w:szCs w:val="18"/>
                      <w:rtl/>
                    </w:rPr>
                  </w:pPr>
                  <w:r w:rsidRPr="00992204">
                    <w:rPr>
                      <w:sz w:val="18"/>
                      <w:szCs w:val="18"/>
                      <w:rtl/>
                    </w:rPr>
                    <w:t>גיליונות "פרשת השבוע" מתפרסמים גם באתר "דעת" שבניהולו של פרופ' י' איזנברג (</w:t>
                  </w:r>
                  <w:hyperlink r:id="rId8" w:history="1">
                    <w:r w:rsidRPr="00992204">
                      <w:rPr>
                        <w:rStyle w:val="Hyperlink"/>
                        <w:sz w:val="18"/>
                        <w:szCs w:val="18"/>
                      </w:rPr>
                      <w:t>www.daat.ac.il/mishpat-ivri</w:t>
                    </w:r>
                  </w:hyperlink>
                  <w:r w:rsidRPr="00992204">
                    <w:rPr>
                      <w:sz w:val="18"/>
                      <w:szCs w:val="18"/>
                    </w:rPr>
                    <w:t>(</w:t>
                  </w:r>
                </w:p>
              </w:txbxContent>
            </v:textbox>
            <w10:wrap anchorx="page"/>
          </v:shape>
        </w:pict>
      </w:r>
      <w:r w:rsidR="00680684">
        <w:rPr>
          <w:rFonts w:ascii="David" w:hAnsi="David"/>
          <w:b/>
          <w:rtl/>
        </w:rPr>
        <w:t>דומה ש</w:t>
      </w:r>
      <w:r w:rsidR="00441631">
        <w:rPr>
          <w:b/>
          <w:rtl/>
        </w:rPr>
        <w:t xml:space="preserve">מקורות אלה, כמו גם מקורות נוספים </w:t>
      </w:r>
      <w:r w:rsidR="005073DA">
        <w:rPr>
          <w:b/>
          <w:rtl/>
        </w:rPr>
        <w:t>ה</w:t>
      </w:r>
      <w:r w:rsidR="00441631">
        <w:rPr>
          <w:b/>
          <w:rtl/>
        </w:rPr>
        <w:t xml:space="preserve">שוקלים את התועלת </w:t>
      </w:r>
      <w:r w:rsidR="005073DA">
        <w:rPr>
          <w:b/>
          <w:rtl/>
        </w:rPr>
        <w:t>ה</w:t>
      </w:r>
      <w:r w:rsidR="00441631">
        <w:rPr>
          <w:b/>
          <w:rtl/>
        </w:rPr>
        <w:t xml:space="preserve">עשויה לצמוח מן ה"ענישה הסביבתית" לעומת הנזק </w:t>
      </w:r>
      <w:r w:rsidR="005073DA">
        <w:rPr>
          <w:b/>
          <w:rtl/>
        </w:rPr>
        <w:t>העלול לה</w:t>
      </w:r>
      <w:r w:rsidR="00441631">
        <w:rPr>
          <w:b/>
          <w:rtl/>
        </w:rPr>
        <w:t>יגרם כתוצאה ממנה, ומאזנים ביניהם כראוי, עשויים לפתוח פתח רחב וראוי להטלת סנקציות על חוג תומכיהם של סרבני גט, למען יחדלו מעושק ידיהם וי</w:t>
      </w:r>
      <w:r w:rsidR="005073DA">
        <w:rPr>
          <w:b/>
          <w:rtl/>
        </w:rPr>
        <w:t>תי</w:t>
      </w:r>
      <w:r w:rsidR="00441631">
        <w:rPr>
          <w:b/>
          <w:rtl/>
        </w:rPr>
        <w:t xml:space="preserve">רו את בנות ישראל מעגינותן. </w:t>
      </w:r>
      <w:r w:rsidR="00240A01">
        <w:rPr>
          <w:b/>
          <w:rtl/>
        </w:rPr>
        <w:t xml:space="preserve">אכן, לנוכח פגיעתן הקשה של הסנקציות בזכויות יסוד, דומה שיש מקום לעשות לתיקון החוק בעניין זה ולכלול סנקציות אלה במפורש בחקיקה ראשית בתוספת מתן "זכות שמיעה" לנפגע הפוטנציאלי בדרך שתאזן בין השמירה על זכויותיו לבין המטרה הנעלה והתכלית הראויה של שחרור נשים מעגינותן.  </w:t>
      </w:r>
    </w:p>
    <w:sectPr w:rsidR="004375C4" w:rsidRPr="008E17F9">
      <w:headerReference w:type="default" r:id="rId9"/>
      <w:type w:val="continuous"/>
      <w:pgSz w:w="11907" w:h="16840" w:code="9"/>
      <w:pgMar w:top="737" w:right="1021" w:bottom="1077" w:left="1021" w:header="709" w:footer="340" w:gutter="0"/>
      <w:cols w:num="2" w:space="709" w:equalWidth="0">
        <w:col w:w="4578" w:space="709"/>
        <w:col w:w="4578"/>
      </w:cols>
      <w:titlePg/>
      <w:bidi/>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5D7" w:rsidRDefault="009155D7" w:rsidP="004375C4">
      <w:r>
        <w:separator/>
      </w:r>
    </w:p>
  </w:endnote>
  <w:endnote w:type="continuationSeparator" w:id="0">
    <w:p w:rsidR="009155D7" w:rsidRDefault="009155D7" w:rsidP="004375C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Arial"/>
    <w:panose1 w:val="02020603050405020304"/>
    <w:charset w:val="00"/>
    <w:family w:val="roman"/>
    <w:pitch w:val="variable"/>
    <w:sig w:usb0="E0002EFF" w:usb1="C0007843" w:usb2="00000009" w:usb3="00000000" w:csb0="000001FF" w:csb1="00000000"/>
  </w:font>
  <w:font w:name="FrankRuehl">
    <w:panose1 w:val="020E0503060101010101"/>
    <w:charset w:val="00"/>
    <w:family w:val="swiss"/>
    <w:pitch w:val="variable"/>
    <w:sig w:usb0="00000803" w:usb1="00000000" w:usb2="00000000" w:usb3="00000000" w:csb0="00000021" w:csb1="00000000"/>
  </w:font>
  <w:font w:name="RmzRashi">
    <w:altName w:val="Times New Roman"/>
    <w:panose1 w:val="00000000000000000000"/>
    <w:charset w:val="B1"/>
    <w:family w:val="swiss"/>
    <w:notTrueType/>
    <w:pitch w:val="variable"/>
    <w:sig w:usb0="00000801" w:usb1="00000000" w:usb2="00000000" w:usb3="00000000" w:csb0="00000020" w:csb1="00000000"/>
  </w:font>
  <w:font w:name="Arial">
    <w:altName w:val="Times New Roman"/>
    <w:panose1 w:val="020B0604020202020204"/>
    <w:charset w:val="00"/>
    <w:family w:val="swiss"/>
    <w:pitch w:val="variable"/>
    <w:sig w:usb0="E0002AFF" w:usb1="C0007843" w:usb2="00000009" w:usb3="00000000" w:csb0="000001FF" w:csb1="00000000"/>
  </w:font>
  <w:font w:name="Miriam">
    <w:altName w:val="Lucida Sans Unicode"/>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altName w:val="Times New Roman"/>
    <w:panose1 w:val="020B0604030504040204"/>
    <w:charset w:val="00"/>
    <w:family w:val="swiss"/>
    <w:pitch w:val="variable"/>
    <w:sig w:usb0="E1002EFF" w:usb1="C000605B" w:usb2="00000029" w:usb3="00000000" w:csb0="000101FF" w:csb1="00000000"/>
  </w:font>
  <w:font w:name="David">
    <w:altName w:val="Times New Roman"/>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5D7" w:rsidRDefault="009155D7" w:rsidP="004375C4">
      <w:pPr>
        <w:rPr>
          <w:szCs w:val="20"/>
        </w:rPr>
      </w:pPr>
      <w:r>
        <w:rPr>
          <w:rtl/>
        </w:rPr>
        <w:separator/>
      </w:r>
    </w:p>
  </w:footnote>
  <w:footnote w:type="continuationSeparator" w:id="0">
    <w:p w:rsidR="009155D7" w:rsidRDefault="009155D7" w:rsidP="004375C4">
      <w:r>
        <w:continuationSeparator/>
      </w:r>
    </w:p>
  </w:footnote>
  <w:footnote w:id="1">
    <w:p w:rsidR="00884A25" w:rsidRPr="00784991" w:rsidRDefault="00884A25" w:rsidP="001A4D75">
      <w:pPr>
        <w:pStyle w:val="a9"/>
        <w:rPr>
          <w:sz w:val="20"/>
          <w:rtl/>
        </w:rPr>
      </w:pPr>
      <w:r w:rsidRPr="00784991">
        <w:rPr>
          <w:sz w:val="20"/>
          <w:rtl/>
        </w:rPr>
        <w:t>*</w:t>
      </w:r>
      <w:r w:rsidRPr="00784991">
        <w:rPr>
          <w:sz w:val="20"/>
          <w:rtl/>
        </w:rPr>
        <w:tab/>
        <w:t xml:space="preserve">ד"ר אביעד הכהן, דקאן מכללת "שערי משפט"; מרצה בכיר למשפט עברי, משפט חוקתי ונושאי דת ומדינה במכללה ובפקולטה למשפטים באוניברסיטה העברית; עמית מחקר במכון ון ליר בירושלים. </w:t>
      </w:r>
    </w:p>
    <w:p w:rsidR="00884A25" w:rsidRPr="00784991" w:rsidRDefault="00884A25" w:rsidP="00441631">
      <w:pPr>
        <w:pStyle w:val="a9"/>
        <w:rPr>
          <w:rFonts w:ascii="Times New Roman" w:hAnsi="Times New Roman"/>
          <w:sz w:val="20"/>
          <w:rtl/>
        </w:rPr>
      </w:pPr>
    </w:p>
    <w:p w:rsidR="00000000" w:rsidRDefault="00884A25" w:rsidP="001A4D75">
      <w:pPr>
        <w:pStyle w:val="a9"/>
      </w:pPr>
      <w:r w:rsidRPr="00784991">
        <w:rPr>
          <w:rStyle w:val="a8"/>
        </w:rPr>
        <w:footnoteRef/>
      </w:r>
      <w:r w:rsidRPr="00784991">
        <w:rPr>
          <w:sz w:val="20"/>
          <w:rtl/>
        </w:rPr>
        <w:t xml:space="preserve"> קיים ויכוח רב שנים לגבי מספרן המדויק של מסורבות הגט. </w:t>
      </w:r>
      <w:r>
        <w:rPr>
          <w:sz w:val="20"/>
          <w:rtl/>
        </w:rPr>
        <w:t xml:space="preserve">יסוד </w:t>
      </w:r>
      <w:r w:rsidRPr="00784991">
        <w:rPr>
          <w:sz w:val="20"/>
          <w:rtl/>
        </w:rPr>
        <w:t xml:space="preserve">המחלוקת </w:t>
      </w:r>
      <w:r>
        <w:rPr>
          <w:sz w:val="20"/>
          <w:rtl/>
        </w:rPr>
        <w:t xml:space="preserve">גם </w:t>
      </w:r>
      <w:r w:rsidRPr="00784991">
        <w:rPr>
          <w:sz w:val="20"/>
          <w:rtl/>
        </w:rPr>
        <w:t>בשא</w:t>
      </w:r>
      <w:r>
        <w:rPr>
          <w:sz w:val="20"/>
          <w:rtl/>
        </w:rPr>
        <w:t>לה איזו אישה היא בגדר עגונ</w:t>
      </w:r>
      <w:r w:rsidRPr="00784991">
        <w:rPr>
          <w:sz w:val="20"/>
          <w:rtl/>
        </w:rPr>
        <w:t>ה. ראה לאחרונה: ר' הלפרין-קדרי, "סוד הנשים הנעלמות: על הפער בנתוני היקף בעיית מסורבות הגט בישראל", בתוך: ט' כהן (עורכת), להיות אשה יהודיה</w:t>
      </w:r>
      <w:r w:rsidR="001A4D75">
        <w:rPr>
          <w:sz w:val="20"/>
          <w:rtl/>
        </w:rPr>
        <w:t xml:space="preserve">, כרך </w:t>
      </w:r>
      <w:r w:rsidRPr="00784991">
        <w:rPr>
          <w:sz w:val="20"/>
          <w:rtl/>
        </w:rPr>
        <w:t xml:space="preserve">ה (תשס"ט), עמ' 95-83. לפי נתוני בתי הדין הרבניים, מדובר בעשרות מקרים בלבד. ברם, נתונים אלה מתייחסים רק לגברים שניתן לגביהם צו חיוב </w:t>
      </w:r>
      <w:r>
        <w:rPr>
          <w:sz w:val="20"/>
          <w:rtl/>
        </w:rPr>
        <w:t xml:space="preserve">לגרש את נשותיהם </w:t>
      </w:r>
      <w:r w:rsidRPr="00784991">
        <w:rPr>
          <w:sz w:val="20"/>
          <w:rtl/>
        </w:rPr>
        <w:t xml:space="preserve">או </w:t>
      </w:r>
      <w:r>
        <w:rPr>
          <w:sz w:val="20"/>
          <w:rtl/>
        </w:rPr>
        <w:t>צו ל</w:t>
      </w:r>
      <w:r w:rsidRPr="00784991">
        <w:rPr>
          <w:sz w:val="20"/>
          <w:rtl/>
        </w:rPr>
        <w:t xml:space="preserve">כפיית </w:t>
      </w:r>
      <w:r>
        <w:rPr>
          <w:sz w:val="20"/>
          <w:rtl/>
        </w:rPr>
        <w:t xml:space="preserve">מתן </w:t>
      </w:r>
      <w:r w:rsidRPr="00784991">
        <w:rPr>
          <w:sz w:val="20"/>
          <w:rtl/>
        </w:rPr>
        <w:t xml:space="preserve">גט, ומתעלמים ממקרים רבים, ככל הנראה מאות רבות, של נשים שנואשו מלקבל את הגט וזנחו את תביעתן בבית הדין, או של המקרים השכיחים שהאישה </w:t>
      </w:r>
      <w:r>
        <w:rPr>
          <w:sz w:val="20"/>
          <w:rtl/>
        </w:rPr>
        <w:t xml:space="preserve">קונה </w:t>
      </w:r>
      <w:r w:rsidRPr="00784991">
        <w:rPr>
          <w:sz w:val="20"/>
          <w:rtl/>
        </w:rPr>
        <w:t>את גטה בסכו</w:t>
      </w:r>
      <w:r>
        <w:rPr>
          <w:sz w:val="20"/>
          <w:rtl/>
        </w:rPr>
        <w:t>ם</w:t>
      </w:r>
      <w:r w:rsidRPr="00784991">
        <w:rPr>
          <w:sz w:val="20"/>
          <w:rtl/>
        </w:rPr>
        <w:t xml:space="preserve"> כסף גדול </w:t>
      </w:r>
      <w:r>
        <w:rPr>
          <w:sz w:val="20"/>
          <w:rtl/>
        </w:rPr>
        <w:t>ת</w:t>
      </w:r>
      <w:r w:rsidRPr="00784991">
        <w:rPr>
          <w:sz w:val="20"/>
          <w:rtl/>
        </w:rPr>
        <w:t>ו</w:t>
      </w:r>
      <w:r>
        <w:rPr>
          <w:sz w:val="20"/>
          <w:rtl/>
        </w:rPr>
        <w:t xml:space="preserve">ך </w:t>
      </w:r>
      <w:r w:rsidRPr="00784991">
        <w:rPr>
          <w:sz w:val="20"/>
          <w:rtl/>
        </w:rPr>
        <w:t xml:space="preserve">ויתור על זכויותיה. </w:t>
      </w:r>
      <w:r>
        <w:rPr>
          <w:sz w:val="20"/>
          <w:rtl/>
        </w:rPr>
        <w:t>רשמית</w:t>
      </w:r>
      <w:r w:rsidRPr="00784991">
        <w:rPr>
          <w:sz w:val="20"/>
          <w:rtl/>
        </w:rPr>
        <w:t xml:space="preserve">, מקרי סחיטה אלה מסתיימים בגט, אך נסיבותיהם מצדיקות את הגדרת הנשים </w:t>
      </w:r>
      <w:r>
        <w:rPr>
          <w:sz w:val="20"/>
          <w:rtl/>
        </w:rPr>
        <w:t>ה</w:t>
      </w:r>
      <w:r w:rsidRPr="00784991">
        <w:rPr>
          <w:sz w:val="20"/>
          <w:rtl/>
        </w:rPr>
        <w:t>מעורבות בה</w:t>
      </w:r>
      <w:r>
        <w:rPr>
          <w:sz w:val="20"/>
          <w:rtl/>
        </w:rPr>
        <w:t>ם</w:t>
      </w:r>
      <w:r w:rsidRPr="00784991">
        <w:rPr>
          <w:sz w:val="20"/>
          <w:rtl/>
        </w:rPr>
        <w:t xml:space="preserve"> "מסורבות גט". </w:t>
      </w:r>
    </w:p>
  </w:footnote>
  <w:footnote w:id="2">
    <w:p w:rsidR="00000000" w:rsidRDefault="00884A25" w:rsidP="001D1956">
      <w:pPr>
        <w:pStyle w:val="a9"/>
      </w:pPr>
      <w:r w:rsidRPr="00784991">
        <w:rPr>
          <w:rStyle w:val="a8"/>
        </w:rPr>
        <w:footnoteRef/>
      </w:r>
      <w:r w:rsidRPr="00784991">
        <w:rPr>
          <w:sz w:val="20"/>
          <w:rtl/>
        </w:rPr>
        <w:t xml:space="preserve"> "עגינות" זו אינה העגינות הנזכרת </w:t>
      </w:r>
      <w:r>
        <w:rPr>
          <w:sz w:val="20"/>
          <w:rtl/>
        </w:rPr>
        <w:t>ב</w:t>
      </w:r>
      <w:r w:rsidRPr="00784991">
        <w:rPr>
          <w:sz w:val="20"/>
          <w:rtl/>
        </w:rPr>
        <w:t>דרך כלל בספרות ההלכה, שבה נעלם הבעל וא</w:t>
      </w:r>
      <w:r>
        <w:rPr>
          <w:sz w:val="20"/>
          <w:rtl/>
        </w:rPr>
        <w:t>ין</w:t>
      </w:r>
      <w:r w:rsidRPr="00784991">
        <w:rPr>
          <w:sz w:val="20"/>
          <w:rtl/>
        </w:rPr>
        <w:t xml:space="preserve"> </w:t>
      </w:r>
      <w:r>
        <w:rPr>
          <w:sz w:val="20"/>
          <w:rtl/>
        </w:rPr>
        <w:t>י</w:t>
      </w:r>
      <w:r w:rsidRPr="00784991">
        <w:rPr>
          <w:sz w:val="20"/>
          <w:rtl/>
        </w:rPr>
        <w:t>ד</w:t>
      </w:r>
      <w:r>
        <w:rPr>
          <w:sz w:val="20"/>
          <w:rtl/>
        </w:rPr>
        <w:t>ו</w:t>
      </w:r>
      <w:r w:rsidRPr="00784991">
        <w:rPr>
          <w:sz w:val="20"/>
          <w:rtl/>
        </w:rPr>
        <w:t>ע מקום הימצאו. בימינו, ברוב המקרים מדובר בבעל שמקום הימצאו ידוע, אלא ש</w:t>
      </w:r>
      <w:r>
        <w:rPr>
          <w:sz w:val="20"/>
          <w:rtl/>
        </w:rPr>
        <w:t xml:space="preserve">הוא </w:t>
      </w:r>
      <w:r w:rsidRPr="00784991">
        <w:rPr>
          <w:sz w:val="20"/>
          <w:rtl/>
        </w:rPr>
        <w:t xml:space="preserve">מסרב, מסיבות שונות ומשונות, ליתן גט ביד אשתו. </w:t>
      </w:r>
    </w:p>
  </w:footnote>
  <w:footnote w:id="3">
    <w:p w:rsidR="00000000" w:rsidRDefault="00884A25" w:rsidP="008E17F9">
      <w:pPr>
        <w:pStyle w:val="a9"/>
      </w:pPr>
      <w:r w:rsidRPr="00784991">
        <w:rPr>
          <w:rStyle w:val="a8"/>
        </w:rPr>
        <w:footnoteRef/>
      </w:r>
      <w:r w:rsidRPr="00784991">
        <w:rPr>
          <w:sz w:val="20"/>
          <w:rtl/>
        </w:rPr>
        <w:t xml:space="preserve"> זכות זו עשויה להיחשב זכות חוקתית מן המעלה הראשונה, הן מצד שלילת החירות שבה הן מצד היות חיי </w:t>
      </w:r>
      <w:r>
        <w:rPr>
          <w:sz w:val="20"/>
          <w:rtl/>
        </w:rPr>
        <w:t>ה</w:t>
      </w:r>
      <w:r w:rsidRPr="00784991">
        <w:rPr>
          <w:sz w:val="20"/>
          <w:rtl/>
        </w:rPr>
        <w:t>משפחה חלק אינטגראלי של הזכות לחיים. בעניין זה, ראה למשל</w:t>
      </w:r>
      <w:r>
        <w:rPr>
          <w:sz w:val="20"/>
          <w:rtl/>
        </w:rPr>
        <w:t>:</w:t>
      </w:r>
      <w:r w:rsidRPr="00784991">
        <w:rPr>
          <w:sz w:val="20"/>
          <w:rtl/>
        </w:rPr>
        <w:t xml:space="preserve"> בג"צ 114/86 חיים לואיס וייל נ' מדינת ישראל  ו-3 אח',  פ"ד מא(3) 477, 499 (1987); דנ"א 2401/95 רותי נחמני נ' דניאל נחמני ואח', פ"ד נ</w:t>
      </w:r>
      <w:r>
        <w:rPr>
          <w:sz w:val="20"/>
          <w:rtl/>
        </w:rPr>
        <w:t xml:space="preserve"> </w:t>
      </w:r>
      <w:r w:rsidRPr="00784991">
        <w:rPr>
          <w:sz w:val="20"/>
          <w:rtl/>
        </w:rPr>
        <w:t>(4)661; עע"א 4714/04 עמיר נ' שירות בתי הסוהר, פ"ד נ"ט</w:t>
      </w:r>
      <w:r w:rsidR="008E17F9">
        <w:rPr>
          <w:sz w:val="20"/>
          <w:rtl/>
        </w:rPr>
        <w:t>(</w:t>
      </w:r>
      <w:r w:rsidRPr="00784991">
        <w:rPr>
          <w:sz w:val="20"/>
          <w:rtl/>
        </w:rPr>
        <w:t>6) 145, 165 (2005), בג"צ 7052/93 עדאלה ואח' נ' שר הפנים ואח' (2006), ניתן ביום</w:t>
      </w:r>
      <w:r>
        <w:rPr>
          <w:sz w:val="20"/>
          <w:rtl/>
        </w:rPr>
        <w:t xml:space="preserve"> 14.5.06.</w:t>
      </w:r>
      <w:r w:rsidRPr="00784991">
        <w:rPr>
          <w:sz w:val="20"/>
          <w:rtl/>
        </w:rPr>
        <w:t xml:space="preserve"> ו</w:t>
      </w:r>
      <w:r>
        <w:rPr>
          <w:sz w:val="20"/>
          <w:rtl/>
        </w:rPr>
        <w:t xml:space="preserve">ראה </w:t>
      </w:r>
      <w:r w:rsidRPr="00784991">
        <w:rPr>
          <w:sz w:val="20"/>
          <w:rtl/>
        </w:rPr>
        <w:t>פסק דינה של השופטת פרוקצ'יה בבג"צ 2245/06 דוברין ואח' נ' שירות בתי הסוהר ואח' (2006), ניתן ביום 13.6.06.  ו</w:t>
      </w:r>
      <w:r>
        <w:rPr>
          <w:sz w:val="20"/>
          <w:rtl/>
        </w:rPr>
        <w:t xml:space="preserve">ראה </w:t>
      </w:r>
      <w:r w:rsidRPr="00784991">
        <w:rPr>
          <w:sz w:val="20"/>
          <w:rtl/>
        </w:rPr>
        <w:t xml:space="preserve">לאחרונה: א' בנדור וז' סגל, עושה הכובעים (ת"א תשס"ט), 110-108. </w:t>
      </w:r>
    </w:p>
  </w:footnote>
  <w:footnote w:id="4">
    <w:p w:rsidR="00000000" w:rsidRDefault="00884A25" w:rsidP="00207B57">
      <w:pPr>
        <w:pStyle w:val="a9"/>
      </w:pPr>
      <w:r w:rsidRPr="00784991">
        <w:rPr>
          <w:rStyle w:val="a8"/>
        </w:rPr>
        <w:footnoteRef/>
      </w:r>
      <w:r w:rsidRPr="00784991">
        <w:rPr>
          <w:sz w:val="20"/>
          <w:rtl/>
        </w:rPr>
        <w:t xml:space="preserve"> הבעיה </w:t>
      </w:r>
      <w:r>
        <w:rPr>
          <w:sz w:val="20"/>
          <w:rtl/>
        </w:rPr>
        <w:t>מ</w:t>
      </w:r>
      <w:r w:rsidRPr="00784991">
        <w:rPr>
          <w:sz w:val="20"/>
          <w:rtl/>
        </w:rPr>
        <w:t>חמ</w:t>
      </w:r>
      <w:r>
        <w:rPr>
          <w:sz w:val="20"/>
          <w:rtl/>
        </w:rPr>
        <w:t>י</w:t>
      </w:r>
      <w:r w:rsidRPr="00784991">
        <w:rPr>
          <w:sz w:val="20"/>
          <w:rtl/>
        </w:rPr>
        <w:t xml:space="preserve">רה שבעתיים </w:t>
      </w:r>
      <w:r>
        <w:rPr>
          <w:sz w:val="20"/>
          <w:rtl/>
        </w:rPr>
        <w:t xml:space="preserve">אצל </w:t>
      </w:r>
      <w:r w:rsidRPr="00784991">
        <w:rPr>
          <w:sz w:val="20"/>
          <w:rtl/>
        </w:rPr>
        <w:t xml:space="preserve">נשים בגיל הפוריות, שכל שנה עשויה להיות קריטית </w:t>
      </w:r>
      <w:r>
        <w:rPr>
          <w:sz w:val="20"/>
          <w:rtl/>
        </w:rPr>
        <w:t>ב</w:t>
      </w:r>
      <w:r w:rsidRPr="00784991">
        <w:rPr>
          <w:sz w:val="20"/>
          <w:rtl/>
        </w:rPr>
        <w:t xml:space="preserve">עבורן מצד יכולתן להרות ולהביא ילדים לעולם. </w:t>
      </w:r>
    </w:p>
  </w:footnote>
  <w:footnote w:id="5">
    <w:p w:rsidR="00000000" w:rsidRDefault="00884A25" w:rsidP="00381812">
      <w:pPr>
        <w:pStyle w:val="a9"/>
      </w:pPr>
      <w:r w:rsidRPr="00784991">
        <w:rPr>
          <w:rStyle w:val="a8"/>
        </w:rPr>
        <w:footnoteRef/>
      </w:r>
      <w:r w:rsidRPr="00784991">
        <w:rPr>
          <w:sz w:val="20"/>
          <w:rtl/>
        </w:rPr>
        <w:t xml:space="preserve"> </w:t>
      </w:r>
      <w:r w:rsidRPr="00784991">
        <w:rPr>
          <w:rStyle w:val="itext1"/>
          <w:rFonts w:cs="FrankRuehl"/>
          <w:sz w:val="20"/>
          <w:szCs w:val="20"/>
          <w:rtl/>
        </w:rPr>
        <w:t xml:space="preserve">עמדתי על כך בהרחבה במאמרי: "דמעת העשוקים - לתקנתן של עגונות ומעוכבות גט בימינו", עלון שבות בוגרים כ (תשס"ה), עמ' 100-71. </w:t>
      </w:r>
      <w:r>
        <w:rPr>
          <w:rStyle w:val="itext1"/>
          <w:rFonts w:cs="FrankRuehl"/>
          <w:sz w:val="20"/>
          <w:szCs w:val="20"/>
          <w:rtl/>
        </w:rPr>
        <w:t>ו</w:t>
      </w:r>
      <w:r w:rsidRPr="00784991">
        <w:rPr>
          <w:rStyle w:val="itext1"/>
          <w:rFonts w:cs="FrankRuehl"/>
          <w:sz w:val="20"/>
          <w:szCs w:val="20"/>
          <w:rtl/>
        </w:rPr>
        <w:t>ראה גם: א' הכהן,</w:t>
      </w:r>
      <w:r w:rsidRPr="00784991">
        <w:rPr>
          <w:sz w:val="20"/>
          <w:rtl/>
        </w:rPr>
        <w:t xml:space="preserve"> </w:t>
      </w:r>
      <w:r w:rsidR="008E17F9">
        <w:rPr>
          <w:sz w:val="20"/>
          <w:rtl/>
        </w:rPr>
        <w:t>"</w:t>
      </w:r>
      <w:r w:rsidRPr="00784991">
        <w:rPr>
          <w:sz w:val="20"/>
          <w:rtl/>
        </w:rPr>
        <w:t>האמנם תורתנו היא 'תורת חיים'? – האתגר הגדול שבמציאת פתרון הלכתי לבעיית העגונות ומסורבות הגט בימינו", במעגלי צדק 7 (תשס"ו),</w:t>
      </w:r>
      <w:r>
        <w:rPr>
          <w:sz w:val="20"/>
          <w:rtl/>
        </w:rPr>
        <w:t xml:space="preserve"> עמ'</w:t>
      </w:r>
      <w:r w:rsidRPr="00784991">
        <w:rPr>
          <w:sz w:val="20"/>
          <w:rtl/>
        </w:rPr>
        <w:t xml:space="preserve"> 15-18; הנ"ל, </w:t>
      </w:r>
      <w:r w:rsidR="008E17F9">
        <w:rPr>
          <w:sz w:val="20"/>
          <w:rtl/>
        </w:rPr>
        <w:t>"</w:t>
      </w:r>
      <w:r w:rsidRPr="00784991">
        <w:rPr>
          <w:sz w:val="20"/>
          <w:rtl/>
        </w:rPr>
        <w:t xml:space="preserve">אם תרצו </w:t>
      </w:r>
      <w:r>
        <w:rPr>
          <w:sz w:val="20"/>
          <w:rtl/>
        </w:rPr>
        <w:t>-</w:t>
      </w:r>
      <w:r w:rsidRPr="00784991">
        <w:rPr>
          <w:sz w:val="20"/>
          <w:rtl/>
        </w:rPr>
        <w:t xml:space="preserve"> אין זו עגונה", להיות אשה יהודיה ה (לעיל, הערה </w:t>
      </w:r>
      <w:r w:rsidR="00381812">
        <w:rPr>
          <w:sz w:val="20"/>
          <w:rtl/>
        </w:rPr>
        <w:fldChar w:fldCharType="begin"/>
      </w:r>
      <w:r w:rsidR="00381812">
        <w:rPr>
          <w:sz w:val="20"/>
          <w:rtl/>
        </w:rPr>
        <w:instrText xml:space="preserve"> </w:instrText>
      </w:r>
      <w:r w:rsidR="00381812">
        <w:rPr>
          <w:sz w:val="20"/>
        </w:rPr>
        <w:instrText>NOTEREF</w:instrText>
      </w:r>
      <w:r w:rsidR="00381812">
        <w:rPr>
          <w:sz w:val="20"/>
          <w:rtl/>
        </w:rPr>
        <w:instrText xml:space="preserve"> _</w:instrText>
      </w:r>
      <w:r w:rsidR="00381812">
        <w:rPr>
          <w:sz w:val="20"/>
        </w:rPr>
        <w:instrText>Ref239996208 \h</w:instrText>
      </w:r>
      <w:r w:rsidR="00381812">
        <w:rPr>
          <w:sz w:val="20"/>
          <w:rtl/>
        </w:rPr>
        <w:instrText xml:space="preserve"> </w:instrText>
      </w:r>
      <w:r w:rsidR="00C230C2" w:rsidRPr="00381812">
        <w:rPr>
          <w:sz w:val="20"/>
        </w:rPr>
      </w:r>
      <w:r w:rsidR="00381812">
        <w:rPr>
          <w:sz w:val="20"/>
          <w:rtl/>
        </w:rPr>
        <w:fldChar w:fldCharType="separate"/>
      </w:r>
      <w:r w:rsidR="002C5EFC">
        <w:rPr>
          <w:sz w:val="20"/>
          <w:rtl/>
        </w:rPr>
        <w:t>1</w:t>
      </w:r>
      <w:r w:rsidR="00381812">
        <w:rPr>
          <w:sz w:val="20"/>
          <w:rtl/>
        </w:rPr>
        <w:fldChar w:fldCharType="end"/>
      </w:r>
      <w:r w:rsidRPr="00784991">
        <w:rPr>
          <w:sz w:val="20"/>
          <w:rtl/>
        </w:rPr>
        <w:t xml:space="preserve">), עמ' 133-122.  </w:t>
      </w:r>
    </w:p>
  </w:footnote>
  <w:footnote w:id="6">
    <w:p w:rsidR="00000000" w:rsidRDefault="00884A25" w:rsidP="00207B57">
      <w:pPr>
        <w:pStyle w:val="a9"/>
      </w:pPr>
      <w:r w:rsidRPr="00784991">
        <w:rPr>
          <w:rStyle w:val="a8"/>
        </w:rPr>
        <w:footnoteRef/>
      </w:r>
      <w:r w:rsidRPr="00784991">
        <w:rPr>
          <w:sz w:val="20"/>
          <w:rtl/>
        </w:rPr>
        <w:t xml:space="preserve"> ראה הר"ש דיכובסקי, "הסכמי ממון קדם-נישואין [התחיבות לשלם מזונות אם יסרב גט]", תחומין כא (תשס</w:t>
      </w:r>
      <w:r>
        <w:rPr>
          <w:sz w:val="20"/>
          <w:rtl/>
        </w:rPr>
        <w:t>"</w:t>
      </w:r>
      <w:r w:rsidRPr="00784991">
        <w:rPr>
          <w:sz w:val="20"/>
          <w:rtl/>
        </w:rPr>
        <w:t>א)</w:t>
      </w:r>
      <w:r>
        <w:rPr>
          <w:sz w:val="20"/>
          <w:rtl/>
        </w:rPr>
        <w:t>, עמ'</w:t>
      </w:r>
      <w:r w:rsidRPr="00784991">
        <w:rPr>
          <w:sz w:val="20"/>
          <w:rtl/>
        </w:rPr>
        <w:t xml:space="preserve"> 279-287</w:t>
      </w:r>
      <w:r w:rsidRPr="00784991">
        <w:rPr>
          <w:sz w:val="20"/>
        </w:rPr>
        <w:t xml:space="preserve"> </w:t>
      </w:r>
      <w:r w:rsidRPr="00784991">
        <w:rPr>
          <w:sz w:val="20"/>
          <w:rtl/>
        </w:rPr>
        <w:t xml:space="preserve">; הרב ד' בס, </w:t>
      </w:r>
      <w:r w:rsidR="001A4D75">
        <w:rPr>
          <w:sz w:val="20"/>
          <w:rtl/>
        </w:rPr>
        <w:t>"</w:t>
      </w:r>
      <w:r w:rsidRPr="00784991">
        <w:rPr>
          <w:sz w:val="20"/>
          <w:rtl/>
        </w:rPr>
        <w:t xml:space="preserve">הסכמי קדם נישואין - מטרתם ודרך ניסוחם", צהר כ </w:t>
      </w:r>
      <w:r>
        <w:rPr>
          <w:sz w:val="20"/>
          <w:rtl/>
        </w:rPr>
        <w:t>(</w:t>
      </w:r>
      <w:r w:rsidRPr="00784991">
        <w:rPr>
          <w:sz w:val="20"/>
          <w:rtl/>
        </w:rPr>
        <w:t>טבת תשס</w:t>
      </w:r>
      <w:r>
        <w:rPr>
          <w:sz w:val="20"/>
          <w:rtl/>
        </w:rPr>
        <w:t>"</w:t>
      </w:r>
      <w:r w:rsidRPr="00784991">
        <w:rPr>
          <w:sz w:val="20"/>
          <w:rtl/>
        </w:rPr>
        <w:t>ה</w:t>
      </w:r>
      <w:r>
        <w:rPr>
          <w:sz w:val="20"/>
          <w:rtl/>
        </w:rPr>
        <w:t>),</w:t>
      </w:r>
      <w:r w:rsidRPr="00784991">
        <w:rPr>
          <w:sz w:val="20"/>
          <w:rtl/>
        </w:rPr>
        <w:t xml:space="preserve"> עמ' </w:t>
      </w:r>
      <w:r>
        <w:rPr>
          <w:sz w:val="20"/>
          <w:rtl/>
        </w:rPr>
        <w:t>103-93.</w:t>
      </w:r>
      <w:r w:rsidRPr="00784991">
        <w:rPr>
          <w:sz w:val="20"/>
          <w:rtl/>
        </w:rPr>
        <w:t xml:space="preserve"> ו</w:t>
      </w:r>
      <w:r>
        <w:rPr>
          <w:sz w:val="20"/>
          <w:rtl/>
        </w:rPr>
        <w:t xml:space="preserve">ראה </w:t>
      </w:r>
      <w:r w:rsidRPr="00784991">
        <w:rPr>
          <w:sz w:val="20"/>
          <w:rtl/>
        </w:rPr>
        <w:t xml:space="preserve">ספרה החדש של ר' לבמור, מנעי עינייך מדמעה, ירושלים תשס"ט. </w:t>
      </w:r>
    </w:p>
  </w:footnote>
  <w:footnote w:id="7">
    <w:p w:rsidR="00000000" w:rsidRDefault="00884A25" w:rsidP="000949D2">
      <w:pPr>
        <w:pStyle w:val="a9"/>
      </w:pPr>
      <w:r w:rsidRPr="008E17F9">
        <w:rPr>
          <w:rStyle w:val="a8"/>
          <w:spacing w:val="-4"/>
        </w:rPr>
        <w:footnoteRef/>
      </w:r>
      <w:r w:rsidRPr="008E17F9">
        <w:rPr>
          <w:spacing w:val="-4"/>
          <w:sz w:val="20"/>
          <w:rtl/>
        </w:rPr>
        <w:t xml:space="preserve"> על הפיתרון "מקח טעות", ראה בהרחבה בספרי: </w:t>
      </w:r>
      <w:r w:rsidRPr="008E17F9">
        <w:rPr>
          <w:spacing w:val="-4"/>
          <w:sz w:val="18"/>
          <w:szCs w:val="18"/>
        </w:rPr>
        <w:t>A. Hacohen, The Tears of the Oppressed - An Examination of</w:t>
      </w:r>
      <w:r w:rsidR="001A4D75" w:rsidRPr="008E17F9">
        <w:rPr>
          <w:spacing w:val="-4"/>
          <w:sz w:val="18"/>
          <w:szCs w:val="18"/>
        </w:rPr>
        <w:t xml:space="preserve"> the Agunah Problem: </w:t>
      </w:r>
      <w:r w:rsidRPr="008E17F9">
        <w:rPr>
          <w:spacing w:val="-4"/>
          <w:sz w:val="18"/>
          <w:szCs w:val="18"/>
        </w:rPr>
        <w:t>Background and Halakhic Sources</w:t>
      </w:r>
      <w:r w:rsidR="001A4D75" w:rsidRPr="008E17F9">
        <w:rPr>
          <w:spacing w:val="-4"/>
          <w:sz w:val="18"/>
          <w:szCs w:val="18"/>
        </w:rPr>
        <w:t>, (</w:t>
      </w:r>
      <w:r w:rsidRPr="008E17F9">
        <w:rPr>
          <w:spacing w:val="-4"/>
          <w:sz w:val="18"/>
          <w:szCs w:val="18"/>
        </w:rPr>
        <w:t>New York, 2004)</w:t>
      </w:r>
      <w:r w:rsidRPr="008E17F9">
        <w:rPr>
          <w:spacing w:val="-4"/>
          <w:sz w:val="20"/>
          <w:rtl/>
        </w:rPr>
        <w:t xml:space="preserve">. </w:t>
      </w:r>
    </w:p>
  </w:footnote>
  <w:footnote w:id="8">
    <w:p w:rsidR="00000000" w:rsidRDefault="00884A25" w:rsidP="007A00E8">
      <w:pPr>
        <w:pStyle w:val="a9"/>
      </w:pPr>
      <w:r w:rsidRPr="00784991">
        <w:rPr>
          <w:rStyle w:val="a8"/>
        </w:rPr>
        <w:footnoteRef/>
      </w:r>
      <w:r w:rsidRPr="00784991">
        <w:rPr>
          <w:sz w:val="20"/>
          <w:rtl/>
        </w:rPr>
        <w:t xml:space="preserve"> על הפקעת קידושין, ראה: ב' ליפשיץ, </w:t>
      </w:r>
      <w:r w:rsidRPr="00784991">
        <w:rPr>
          <w:rStyle w:val="syn1"/>
          <w:rFonts w:ascii="Arial" w:hAnsi="Arial" w:cs="FrankRuehl"/>
          <w:sz w:val="20"/>
          <w:rtl/>
        </w:rPr>
        <w:t>"אפקעינהו רבנן לקידושין מיניהו", מפירות הכרם, ישיבת כרם ביבנה תשס"ד,</w:t>
      </w:r>
      <w:r>
        <w:rPr>
          <w:rStyle w:val="syn1"/>
          <w:rFonts w:ascii="Arial" w:hAnsi="Arial" w:cs="FrankRuehl"/>
          <w:sz w:val="20"/>
          <w:rtl/>
        </w:rPr>
        <w:t xml:space="preserve"> עמ'</w:t>
      </w:r>
      <w:r w:rsidRPr="00784991">
        <w:rPr>
          <w:rStyle w:val="syn1"/>
          <w:rFonts w:ascii="Arial" w:hAnsi="Arial" w:cs="FrankRuehl"/>
          <w:sz w:val="20"/>
          <w:rtl/>
        </w:rPr>
        <w:t xml:space="preserve"> 317; </w:t>
      </w:r>
      <w:r w:rsidRPr="00784991">
        <w:rPr>
          <w:sz w:val="20"/>
          <w:rtl/>
        </w:rPr>
        <w:t xml:space="preserve">הרב ש' ריסקין, "הפקעת קידושין </w:t>
      </w:r>
      <w:r>
        <w:rPr>
          <w:sz w:val="20"/>
          <w:rtl/>
        </w:rPr>
        <w:t>-</w:t>
      </w:r>
      <w:r w:rsidRPr="00784991">
        <w:rPr>
          <w:sz w:val="20"/>
          <w:rtl/>
        </w:rPr>
        <w:t xml:space="preserve"> פיתרון לעגינות", תחומין כב (תשס</w:t>
      </w:r>
      <w:r>
        <w:rPr>
          <w:sz w:val="20"/>
          <w:rtl/>
        </w:rPr>
        <w:t>"</w:t>
      </w:r>
      <w:r w:rsidRPr="00784991">
        <w:rPr>
          <w:sz w:val="20"/>
          <w:rtl/>
        </w:rPr>
        <w:t>ב)</w:t>
      </w:r>
      <w:r>
        <w:rPr>
          <w:sz w:val="20"/>
          <w:rtl/>
        </w:rPr>
        <w:t>, עמ'</w:t>
      </w:r>
      <w:r w:rsidR="007A00E8">
        <w:rPr>
          <w:sz w:val="20"/>
          <w:rtl/>
        </w:rPr>
        <w:t xml:space="preserve"> 209-191</w:t>
      </w:r>
      <w:r>
        <w:rPr>
          <w:sz w:val="20"/>
          <w:rtl/>
        </w:rPr>
        <w:t>.</w:t>
      </w:r>
      <w:r w:rsidRPr="00784991">
        <w:rPr>
          <w:sz w:val="20"/>
          <w:rtl/>
        </w:rPr>
        <w:t xml:space="preserve"> השווה א' שוחטמן, "הפקעת קידושין - דרך אפשרית לפתרון בעיית מעוכבות הגט</w:t>
      </w:r>
      <w:r>
        <w:rPr>
          <w:sz w:val="20"/>
          <w:rtl/>
        </w:rPr>
        <w:t>?</w:t>
      </w:r>
      <w:r w:rsidRPr="00784991">
        <w:rPr>
          <w:sz w:val="20"/>
          <w:rtl/>
        </w:rPr>
        <w:t xml:space="preserve">", שנתון המשפט העברי כ </w:t>
      </w:r>
      <w:r>
        <w:rPr>
          <w:sz w:val="20"/>
          <w:rtl/>
        </w:rPr>
        <w:t>(</w:t>
      </w:r>
      <w:r w:rsidRPr="00784991">
        <w:rPr>
          <w:sz w:val="20"/>
          <w:rtl/>
        </w:rPr>
        <w:t>תשנ</w:t>
      </w:r>
      <w:r>
        <w:rPr>
          <w:sz w:val="20"/>
          <w:rtl/>
        </w:rPr>
        <w:t>"</w:t>
      </w:r>
      <w:r w:rsidRPr="00784991">
        <w:rPr>
          <w:sz w:val="20"/>
          <w:rtl/>
        </w:rPr>
        <w:t>ה-תשנ</w:t>
      </w:r>
      <w:r>
        <w:rPr>
          <w:sz w:val="20"/>
          <w:rtl/>
        </w:rPr>
        <w:t>"</w:t>
      </w:r>
      <w:r w:rsidRPr="00784991">
        <w:rPr>
          <w:sz w:val="20"/>
          <w:rtl/>
        </w:rPr>
        <w:t>ז</w:t>
      </w:r>
      <w:r>
        <w:rPr>
          <w:sz w:val="20"/>
          <w:rtl/>
        </w:rPr>
        <w:t>),</w:t>
      </w:r>
      <w:r w:rsidRPr="00784991">
        <w:rPr>
          <w:sz w:val="20"/>
          <w:rtl/>
        </w:rPr>
        <w:t xml:space="preserve"> עמ'</w:t>
      </w:r>
      <w:r w:rsidR="007A00E8">
        <w:rPr>
          <w:sz w:val="20"/>
          <w:rtl/>
        </w:rPr>
        <w:t xml:space="preserve"> 397-349;</w:t>
      </w:r>
      <w:r w:rsidRPr="00784991">
        <w:rPr>
          <w:sz w:val="20"/>
          <w:rtl/>
        </w:rPr>
        <w:t xml:space="preserve"> הרי"ד סולובייצ'יק, "אפקעינהו רבנן לקידושין", המאור נב (תשנ"ט),</w:t>
      </w:r>
      <w:r>
        <w:rPr>
          <w:sz w:val="20"/>
          <w:rtl/>
        </w:rPr>
        <w:t xml:space="preserve"> עמ'</w:t>
      </w:r>
      <w:r w:rsidRPr="00784991">
        <w:rPr>
          <w:sz w:val="20"/>
          <w:rtl/>
        </w:rPr>
        <w:t xml:space="preserve"> 14-13; הרב ד' לאו, "הפקעת קידושין למפרע בימינו", תחומין יז (תשנ</w:t>
      </w:r>
      <w:r>
        <w:rPr>
          <w:sz w:val="20"/>
          <w:rtl/>
        </w:rPr>
        <w:t>"</w:t>
      </w:r>
      <w:r w:rsidRPr="00784991">
        <w:rPr>
          <w:sz w:val="20"/>
          <w:rtl/>
        </w:rPr>
        <w:t>ז)</w:t>
      </w:r>
      <w:r>
        <w:rPr>
          <w:sz w:val="20"/>
          <w:rtl/>
        </w:rPr>
        <w:t>, עמ'</w:t>
      </w:r>
      <w:r w:rsidRPr="00784991">
        <w:rPr>
          <w:sz w:val="20"/>
          <w:rtl/>
        </w:rPr>
        <w:t xml:space="preserve"> </w:t>
      </w:r>
      <w:r w:rsidR="007A00E8">
        <w:rPr>
          <w:sz w:val="20"/>
          <w:rtl/>
        </w:rPr>
        <w:t>242-235</w:t>
      </w:r>
      <w:r w:rsidRPr="00784991">
        <w:rPr>
          <w:sz w:val="20"/>
          <w:rtl/>
        </w:rPr>
        <w:t>; הרב א' לביא, "האם ניתן להפקיע קידושין של סרבן גט?", תחומין כז (תשס"ז),</w:t>
      </w:r>
      <w:r>
        <w:rPr>
          <w:sz w:val="20"/>
          <w:rtl/>
        </w:rPr>
        <w:t xml:space="preserve"> עמ'</w:t>
      </w:r>
      <w:r w:rsidRPr="00784991">
        <w:rPr>
          <w:sz w:val="20"/>
          <w:rtl/>
        </w:rPr>
        <w:t xml:space="preserve"> 310-304. לסקירת הפתרונות, ראה מ' זיסקינד-גולדברג וד' וילה, זעקת דלות (ירושלים תשס"ו), והמקורות שנזכרו שם. </w:t>
      </w:r>
    </w:p>
  </w:footnote>
  <w:footnote w:id="9">
    <w:p w:rsidR="00000000" w:rsidRDefault="00884A25" w:rsidP="007A00E8">
      <w:pPr>
        <w:pStyle w:val="a9"/>
      </w:pPr>
      <w:r>
        <w:rPr>
          <w:rStyle w:val="a8"/>
        </w:rPr>
        <w:footnoteRef/>
      </w:r>
      <w:r>
        <w:rPr>
          <w:rtl/>
        </w:rPr>
        <w:t xml:space="preserve"> </w:t>
      </w:r>
      <w:r w:rsidRPr="00784991">
        <w:rPr>
          <w:sz w:val="20"/>
          <w:rtl/>
        </w:rPr>
        <w:t xml:space="preserve">לשימוש בדרך זו, ראה פסקי הדין של </w:t>
      </w:r>
      <w:r w:rsidRPr="00784991">
        <w:rPr>
          <w:rFonts w:ascii="Arial" w:hAnsi="Arial"/>
          <w:color w:val="000000"/>
          <w:sz w:val="20"/>
          <w:rtl/>
        </w:rPr>
        <w:t xml:space="preserve">השופט מרכוס, בתמ"ש (י-ם) 9101/00; השופט אלבז בתמ"ש (י-ם) 12130/03, השופט הכהן  בתמ"ש </w:t>
      </w:r>
      <w:r w:rsidRPr="00784991">
        <w:rPr>
          <w:sz w:val="20"/>
          <w:rtl/>
        </w:rPr>
        <w:t xml:space="preserve">(י-ם) 19270/03 כ.ש. נ' כ.פ. (טרם פורסם, 21.12.2004); השופט גרינברגר בתמ"ש (י-ם) 6743/02 כ. נ' כ. (טרם פורסם, 21.7.08); השופט </w:t>
      </w:r>
      <w:r w:rsidR="007A00E8">
        <w:rPr>
          <w:sz w:val="20"/>
          <w:rtl/>
        </w:rPr>
        <w:t>קי</w:t>
      </w:r>
      <w:r w:rsidRPr="00784991">
        <w:rPr>
          <w:sz w:val="20"/>
          <w:rtl/>
        </w:rPr>
        <w:t>ציס בתמ"ש (ראשל"צ) 30560/07 ה.ש. נ' ה.א. (טרם פורסם, 2.12.08); השופטת</w:t>
      </w:r>
      <w:r w:rsidR="007A00E8">
        <w:rPr>
          <w:sz w:val="20"/>
          <w:rtl/>
        </w:rPr>
        <w:t xml:space="preserve"> </w:t>
      </w:r>
      <w:r w:rsidRPr="00784991">
        <w:rPr>
          <w:sz w:val="20"/>
          <w:rtl/>
        </w:rPr>
        <w:t xml:space="preserve">סיוון בתמ"ש (ת"א) 24782/98 נ.ש. נ' נ.י. (טרם פורסם, 14.12.08); השופט ויצמן בתמ"ש (כ"ס) 19480/05 פלונית נ' עיזבון פלוני (טרם פורסם, 30.4.2006). וראה עוד: י"ש </w:t>
      </w:r>
      <w:r w:rsidRPr="00784991">
        <w:rPr>
          <w:spacing w:val="-2"/>
          <w:sz w:val="20"/>
          <w:rtl/>
        </w:rPr>
        <w:t>קפלן ור</w:t>
      </w:r>
      <w:r>
        <w:rPr>
          <w:spacing w:val="-2"/>
          <w:sz w:val="20"/>
          <w:rtl/>
        </w:rPr>
        <w:t>'</w:t>
      </w:r>
      <w:r w:rsidRPr="00784991">
        <w:rPr>
          <w:spacing w:val="-2"/>
          <w:sz w:val="20"/>
          <w:rtl/>
        </w:rPr>
        <w:t xml:space="preserve"> פרי</w:t>
      </w:r>
      <w:r w:rsidR="000949D2">
        <w:rPr>
          <w:spacing w:val="-2"/>
          <w:sz w:val="20"/>
          <w:rtl/>
        </w:rPr>
        <w:t>,</w:t>
      </w:r>
      <w:r w:rsidRPr="00784991">
        <w:rPr>
          <w:spacing w:val="-2"/>
          <w:sz w:val="20"/>
          <w:rtl/>
        </w:rPr>
        <w:t xml:space="preserve"> "על אחריותם בנזיקין של סרבני גט"</w:t>
      </w:r>
      <w:r>
        <w:rPr>
          <w:spacing w:val="-2"/>
          <w:sz w:val="20"/>
          <w:rtl/>
        </w:rPr>
        <w:t>,</w:t>
      </w:r>
      <w:r w:rsidRPr="00784991">
        <w:rPr>
          <w:spacing w:val="-2"/>
          <w:sz w:val="20"/>
          <w:rtl/>
        </w:rPr>
        <w:t xml:space="preserve"> עיוני משפט כח</w:t>
      </w:r>
      <w:r>
        <w:rPr>
          <w:spacing w:val="-2"/>
          <w:sz w:val="20"/>
          <w:rtl/>
        </w:rPr>
        <w:t xml:space="preserve"> </w:t>
      </w:r>
      <w:r w:rsidRPr="00784991">
        <w:rPr>
          <w:spacing w:val="-2"/>
          <w:sz w:val="20"/>
          <w:rtl/>
        </w:rPr>
        <w:t xml:space="preserve"> (2005)</w:t>
      </w:r>
      <w:r>
        <w:rPr>
          <w:spacing w:val="-2"/>
          <w:sz w:val="20"/>
          <w:rtl/>
        </w:rPr>
        <w:t>, עמ'</w:t>
      </w:r>
      <w:r w:rsidRPr="00784991">
        <w:rPr>
          <w:spacing w:val="-2"/>
          <w:sz w:val="20"/>
          <w:rtl/>
        </w:rPr>
        <w:t xml:space="preserve"> 870-773; י</w:t>
      </w:r>
      <w:r>
        <w:rPr>
          <w:spacing w:val="-2"/>
          <w:sz w:val="20"/>
          <w:rtl/>
        </w:rPr>
        <w:t>'</w:t>
      </w:r>
      <w:r w:rsidRPr="00784991">
        <w:rPr>
          <w:spacing w:val="-2"/>
          <w:sz w:val="20"/>
          <w:rtl/>
        </w:rPr>
        <w:t xml:space="preserve"> ביטון "עניינים נשיים, ניתוח פמיניסטי והפער המסוכן ביניהם </w:t>
      </w:r>
      <w:r>
        <w:rPr>
          <w:spacing w:val="-2"/>
          <w:sz w:val="20"/>
          <w:rtl/>
        </w:rPr>
        <w:t>-</w:t>
      </w:r>
      <w:r w:rsidRPr="00784991">
        <w:rPr>
          <w:spacing w:val="-2"/>
          <w:sz w:val="20"/>
          <w:rtl/>
        </w:rPr>
        <w:t xml:space="preserve"> מענה ליחיאל קפלן ורונן פרי" עיוני משפט כח (2005)</w:t>
      </w:r>
      <w:r>
        <w:rPr>
          <w:spacing w:val="-2"/>
          <w:sz w:val="20"/>
          <w:rtl/>
        </w:rPr>
        <w:t>, עמ'</w:t>
      </w:r>
      <w:r w:rsidRPr="00784991">
        <w:rPr>
          <w:spacing w:val="-2"/>
          <w:sz w:val="20"/>
          <w:rtl/>
        </w:rPr>
        <w:t xml:space="preserve"> 902-871; ב</w:t>
      </w:r>
      <w:r>
        <w:rPr>
          <w:spacing w:val="-2"/>
          <w:sz w:val="20"/>
          <w:rtl/>
        </w:rPr>
        <w:t>'</w:t>
      </w:r>
      <w:r w:rsidRPr="00784991">
        <w:rPr>
          <w:spacing w:val="-2"/>
          <w:sz w:val="20"/>
          <w:rtl/>
        </w:rPr>
        <w:t xml:space="preserve"> שמואלי "פיצוי נזיקי למסורבות גט"</w:t>
      </w:r>
      <w:r>
        <w:rPr>
          <w:spacing w:val="-2"/>
          <w:sz w:val="20"/>
          <w:rtl/>
        </w:rPr>
        <w:t>,</w:t>
      </w:r>
      <w:r w:rsidRPr="00784991">
        <w:rPr>
          <w:spacing w:val="-2"/>
          <w:sz w:val="20"/>
          <w:rtl/>
        </w:rPr>
        <w:t xml:space="preserve"> המשפט יב (2007)</w:t>
      </w:r>
      <w:r>
        <w:rPr>
          <w:spacing w:val="-2"/>
          <w:sz w:val="20"/>
          <w:rtl/>
        </w:rPr>
        <w:t>, עמ'</w:t>
      </w:r>
      <w:r w:rsidRPr="00784991">
        <w:rPr>
          <w:spacing w:val="-2"/>
          <w:sz w:val="20"/>
          <w:rtl/>
        </w:rPr>
        <w:t xml:space="preserve"> 343-285; א</w:t>
      </w:r>
      <w:r>
        <w:rPr>
          <w:spacing w:val="-2"/>
          <w:sz w:val="20"/>
          <w:rtl/>
        </w:rPr>
        <w:t>'</w:t>
      </w:r>
      <w:r w:rsidRPr="00784991">
        <w:rPr>
          <w:spacing w:val="-2"/>
          <w:sz w:val="20"/>
          <w:rtl/>
        </w:rPr>
        <w:t xml:space="preserve"> לביא</w:t>
      </w:r>
      <w:r>
        <w:rPr>
          <w:spacing w:val="-2"/>
          <w:sz w:val="20"/>
          <w:rtl/>
        </w:rPr>
        <w:t>,</w:t>
      </w:r>
      <w:r w:rsidRPr="00784991">
        <w:rPr>
          <w:spacing w:val="-2"/>
          <w:sz w:val="20"/>
          <w:rtl/>
        </w:rPr>
        <w:t xml:space="preserve"> "סידור גט לאחר חיוב הבעל בפיצוי כספי לאשתו"</w:t>
      </w:r>
      <w:r>
        <w:rPr>
          <w:spacing w:val="-2"/>
          <w:sz w:val="20"/>
          <w:rtl/>
        </w:rPr>
        <w:t>,</w:t>
      </w:r>
      <w:r w:rsidRPr="00784991">
        <w:rPr>
          <w:spacing w:val="-2"/>
          <w:sz w:val="20"/>
          <w:rtl/>
        </w:rPr>
        <w:t xml:space="preserve"> תחומין כו (תשס"ו)</w:t>
      </w:r>
      <w:r>
        <w:rPr>
          <w:spacing w:val="-2"/>
          <w:sz w:val="20"/>
          <w:rtl/>
        </w:rPr>
        <w:t xml:space="preserve">, עמ' </w:t>
      </w:r>
      <w:r w:rsidRPr="00784991">
        <w:rPr>
          <w:spacing w:val="-2"/>
          <w:sz w:val="20"/>
          <w:rtl/>
        </w:rPr>
        <w:t>160; ש</w:t>
      </w:r>
      <w:r>
        <w:rPr>
          <w:spacing w:val="-2"/>
          <w:sz w:val="20"/>
          <w:rtl/>
        </w:rPr>
        <w:t>'</w:t>
      </w:r>
      <w:r w:rsidRPr="00784991">
        <w:rPr>
          <w:spacing w:val="-2"/>
          <w:sz w:val="20"/>
          <w:rtl/>
        </w:rPr>
        <w:t xml:space="preserve"> דיכובסקי</w:t>
      </w:r>
      <w:r>
        <w:rPr>
          <w:spacing w:val="-2"/>
          <w:sz w:val="20"/>
          <w:rtl/>
        </w:rPr>
        <w:t>,</w:t>
      </w:r>
      <w:r w:rsidRPr="00784991">
        <w:rPr>
          <w:spacing w:val="-2"/>
          <w:sz w:val="20"/>
          <w:rtl/>
        </w:rPr>
        <w:t xml:space="preserve"> "צעדי אכיפה ממוניים כנגד סרבני גט"</w:t>
      </w:r>
      <w:r>
        <w:rPr>
          <w:spacing w:val="-2"/>
          <w:sz w:val="20"/>
          <w:rtl/>
        </w:rPr>
        <w:t>,</w:t>
      </w:r>
      <w:r w:rsidRPr="00784991">
        <w:rPr>
          <w:spacing w:val="-2"/>
          <w:sz w:val="20"/>
          <w:rtl/>
        </w:rPr>
        <w:t xml:space="preserve"> תחומין כו (תשס"ו)</w:t>
      </w:r>
      <w:r>
        <w:rPr>
          <w:spacing w:val="-2"/>
          <w:sz w:val="20"/>
          <w:rtl/>
        </w:rPr>
        <w:t>, עמ'</w:t>
      </w:r>
      <w:r w:rsidRPr="00784991">
        <w:rPr>
          <w:spacing w:val="-2"/>
          <w:sz w:val="20"/>
          <w:rtl/>
        </w:rPr>
        <w:t xml:space="preserve"> 173</w:t>
      </w:r>
      <w:r>
        <w:rPr>
          <w:spacing w:val="-2"/>
          <w:sz w:val="20"/>
          <w:rtl/>
        </w:rPr>
        <w:t>.</w:t>
      </w:r>
      <w:r w:rsidRPr="00784991">
        <w:rPr>
          <w:spacing w:val="-2"/>
          <w:sz w:val="20"/>
          <w:rtl/>
        </w:rPr>
        <w:t xml:space="preserve"> </w:t>
      </w:r>
      <w:r w:rsidRPr="00784991">
        <w:rPr>
          <w:rFonts w:ascii="Arial" w:hAnsi="Arial"/>
          <w:color w:val="000000"/>
          <w:sz w:val="20"/>
          <w:rtl/>
        </w:rPr>
        <w:t xml:space="preserve">וראה עוד: </w:t>
      </w:r>
      <w:r w:rsidRPr="00784991">
        <w:rPr>
          <w:sz w:val="20"/>
          <w:rtl/>
        </w:rPr>
        <w:t>י"ש קפלן, "מגמה חדשה בנוגע לקיום פסקי-דין של גירושין: שיקולי מדיניות לאור המשפט העברי</w:t>
      </w:r>
      <w:r w:rsidRPr="00784991">
        <w:rPr>
          <w:sz w:val="20"/>
        </w:rPr>
        <w:t xml:space="preserve"> </w:t>
      </w:r>
      <w:r w:rsidRPr="00784991">
        <w:rPr>
          <w:sz w:val="20"/>
          <w:rtl/>
        </w:rPr>
        <w:t xml:space="preserve">וחוקי היסוד", מחקרי משפט כא (תשס"ד), עמ' </w:t>
      </w:r>
      <w:r w:rsidR="007A00E8">
        <w:rPr>
          <w:sz w:val="20"/>
          <w:rtl/>
        </w:rPr>
        <w:t xml:space="preserve">703-609. </w:t>
      </w:r>
      <w:r w:rsidRPr="00784991">
        <w:rPr>
          <w:sz w:val="20"/>
          <w:rtl/>
        </w:rPr>
        <w:t xml:space="preserve"> </w:t>
      </w:r>
    </w:p>
  </w:footnote>
  <w:footnote w:id="10">
    <w:p w:rsidR="00000000" w:rsidRDefault="00884A25" w:rsidP="007A00E8">
      <w:pPr>
        <w:pStyle w:val="a9"/>
      </w:pPr>
      <w:r w:rsidRPr="00784991">
        <w:rPr>
          <w:rStyle w:val="a8"/>
        </w:rPr>
        <w:footnoteRef/>
      </w:r>
      <w:r w:rsidRPr="00784991">
        <w:rPr>
          <w:sz w:val="20"/>
          <w:rtl/>
        </w:rPr>
        <w:t xml:space="preserve"> ראה: י"ש קפלן, "פתרון מצוקת מסורבות הגט באמצעות מזונות עונשיים", המשפט י </w:t>
      </w:r>
      <w:r>
        <w:rPr>
          <w:sz w:val="20"/>
          <w:rtl/>
        </w:rPr>
        <w:t>(</w:t>
      </w:r>
      <w:r w:rsidRPr="00784991">
        <w:rPr>
          <w:sz w:val="20"/>
          <w:rtl/>
        </w:rPr>
        <w:t>תשס</w:t>
      </w:r>
      <w:r>
        <w:rPr>
          <w:sz w:val="20"/>
          <w:rtl/>
        </w:rPr>
        <w:t>"</w:t>
      </w:r>
      <w:r w:rsidRPr="00784991">
        <w:rPr>
          <w:sz w:val="20"/>
          <w:rtl/>
        </w:rPr>
        <w:t>ה</w:t>
      </w:r>
      <w:r>
        <w:rPr>
          <w:sz w:val="20"/>
          <w:rtl/>
        </w:rPr>
        <w:t>),</w:t>
      </w:r>
      <w:r w:rsidRPr="00784991">
        <w:rPr>
          <w:sz w:val="20"/>
          <w:rtl/>
        </w:rPr>
        <w:t xml:space="preserve"> עמ' </w:t>
      </w:r>
      <w:r w:rsidR="007A00E8">
        <w:rPr>
          <w:sz w:val="20"/>
          <w:rtl/>
        </w:rPr>
        <w:t>448-381</w:t>
      </w:r>
      <w:r w:rsidRPr="00784991">
        <w:rPr>
          <w:sz w:val="20"/>
          <w:rtl/>
        </w:rPr>
        <w:t xml:space="preserve">. </w:t>
      </w:r>
    </w:p>
  </w:footnote>
  <w:footnote w:id="11">
    <w:p w:rsidR="00000000" w:rsidRDefault="00381812">
      <w:pPr>
        <w:pStyle w:val="a9"/>
      </w:pPr>
      <w:r>
        <w:rPr>
          <w:rStyle w:val="a8"/>
        </w:rPr>
        <w:footnoteRef/>
      </w:r>
      <w:r>
        <w:rPr>
          <w:rtl/>
        </w:rPr>
        <w:t xml:space="preserve"> משנה, </w:t>
      </w:r>
      <w:r w:rsidRPr="00C758F7">
        <w:rPr>
          <w:rtl/>
        </w:rPr>
        <w:t>יבמות יד, א</w:t>
      </w:r>
      <w:r>
        <w:rPr>
          <w:rtl/>
        </w:rPr>
        <w:t>.</w:t>
      </w:r>
    </w:p>
  </w:footnote>
  <w:footnote w:id="12">
    <w:p w:rsidR="00000000" w:rsidRDefault="00884A25" w:rsidP="002A08C2">
      <w:pPr>
        <w:pStyle w:val="a9"/>
      </w:pPr>
      <w:r w:rsidRPr="00784991">
        <w:rPr>
          <w:rStyle w:val="a8"/>
        </w:rPr>
        <w:footnoteRef/>
      </w:r>
      <w:r w:rsidRPr="00784991">
        <w:rPr>
          <w:sz w:val="20"/>
          <w:rtl/>
        </w:rPr>
        <w:t xml:space="preserve"> אכן, למן המאה הי"א, הלך ופשט החרם המיוחס לרבנו גרשם מא</w:t>
      </w:r>
      <w:r>
        <w:rPr>
          <w:sz w:val="20"/>
          <w:rtl/>
        </w:rPr>
        <w:t>ו</w:t>
      </w:r>
      <w:r w:rsidRPr="00784991">
        <w:rPr>
          <w:sz w:val="20"/>
          <w:rtl/>
        </w:rPr>
        <w:t xml:space="preserve">ר הגולה, גדול חכמי אשכנז בעת ההיא, שגזר על </w:t>
      </w:r>
      <w:r>
        <w:rPr>
          <w:sz w:val="20"/>
          <w:rtl/>
        </w:rPr>
        <w:t>מי שמבקש ל</w:t>
      </w:r>
      <w:r w:rsidRPr="00784991">
        <w:rPr>
          <w:sz w:val="20"/>
          <w:rtl/>
        </w:rPr>
        <w:t xml:space="preserve">גרש את אשתו </w:t>
      </w:r>
      <w:r>
        <w:rPr>
          <w:sz w:val="20"/>
          <w:rtl/>
        </w:rPr>
        <w:t xml:space="preserve">שלא יגרשנה </w:t>
      </w:r>
      <w:r w:rsidRPr="00784991">
        <w:rPr>
          <w:sz w:val="20"/>
          <w:rtl/>
        </w:rPr>
        <w:t xml:space="preserve">אלא לרצונה. על החרם והתפתחותו, ראה: א' גרוסמן, חכמי אשכנז הראשונים (ירושלים תשס"א); א' וסטרייך, תמורות במעמד האשה במשפט העברי (ירושלים תשס"ב). </w:t>
      </w:r>
    </w:p>
  </w:footnote>
  <w:footnote w:id="13">
    <w:p w:rsidR="00000000" w:rsidRDefault="00884A25" w:rsidP="00441631">
      <w:pPr>
        <w:pStyle w:val="a9"/>
      </w:pPr>
      <w:r w:rsidRPr="00784991">
        <w:rPr>
          <w:rStyle w:val="a8"/>
        </w:rPr>
        <w:footnoteRef/>
      </w:r>
      <w:r w:rsidRPr="00784991">
        <w:rPr>
          <w:sz w:val="20"/>
          <w:rtl/>
        </w:rPr>
        <w:t xml:space="preserve"> וכך פסק גם הרמב"ם, הלכות גירושין</w:t>
      </w:r>
      <w:r>
        <w:rPr>
          <w:sz w:val="20"/>
          <w:rtl/>
        </w:rPr>
        <w:t>,</w:t>
      </w:r>
      <w:r w:rsidRPr="00784991">
        <w:rPr>
          <w:sz w:val="20"/>
          <w:rtl/>
        </w:rPr>
        <w:t xml:space="preserve"> </w:t>
      </w:r>
      <w:r>
        <w:rPr>
          <w:sz w:val="20"/>
          <w:rtl/>
        </w:rPr>
        <w:t xml:space="preserve">פרק </w:t>
      </w:r>
      <w:r w:rsidRPr="00784991">
        <w:rPr>
          <w:sz w:val="20"/>
          <w:rtl/>
        </w:rPr>
        <w:t xml:space="preserve">א, </w:t>
      </w:r>
      <w:r>
        <w:rPr>
          <w:sz w:val="20"/>
          <w:rtl/>
        </w:rPr>
        <w:t xml:space="preserve">הלכות </w:t>
      </w:r>
      <w:r w:rsidRPr="00784991">
        <w:rPr>
          <w:sz w:val="20"/>
          <w:rtl/>
        </w:rPr>
        <w:t xml:space="preserve">א-ב.  </w:t>
      </w:r>
    </w:p>
  </w:footnote>
  <w:footnote w:id="14">
    <w:p w:rsidR="00000000" w:rsidRDefault="00C069C3">
      <w:pPr>
        <w:pStyle w:val="a9"/>
      </w:pPr>
      <w:r>
        <w:rPr>
          <w:rStyle w:val="a8"/>
        </w:rPr>
        <w:footnoteRef/>
      </w:r>
      <w:r>
        <w:rPr>
          <w:rtl/>
        </w:rPr>
        <w:t xml:space="preserve"> משנה תורה, </w:t>
      </w:r>
      <w:r w:rsidRPr="00C758F7">
        <w:rPr>
          <w:rtl/>
        </w:rPr>
        <w:t>הלכות גירושין</w:t>
      </w:r>
      <w:r>
        <w:rPr>
          <w:rtl/>
        </w:rPr>
        <w:t>, פרק</w:t>
      </w:r>
      <w:r w:rsidRPr="00C758F7">
        <w:rPr>
          <w:rtl/>
        </w:rPr>
        <w:t xml:space="preserve"> ב, </w:t>
      </w:r>
      <w:r>
        <w:rPr>
          <w:rtl/>
        </w:rPr>
        <w:t xml:space="preserve">הלכה </w:t>
      </w:r>
      <w:r w:rsidRPr="00C758F7">
        <w:rPr>
          <w:rtl/>
        </w:rPr>
        <w:t>כ</w:t>
      </w:r>
      <w:r>
        <w:rPr>
          <w:rtl/>
        </w:rPr>
        <w:t>.</w:t>
      </w:r>
    </w:p>
  </w:footnote>
  <w:footnote w:id="15">
    <w:p w:rsidR="00000000" w:rsidRDefault="00884A25" w:rsidP="000949D2">
      <w:pPr>
        <w:pStyle w:val="a9"/>
      </w:pPr>
      <w:r w:rsidRPr="000949D2">
        <w:rPr>
          <w:rStyle w:val="a8"/>
          <w:spacing w:val="-2"/>
        </w:rPr>
        <w:footnoteRef/>
      </w:r>
      <w:r w:rsidRPr="000949D2">
        <w:rPr>
          <w:spacing w:val="-2"/>
          <w:sz w:val="20"/>
          <w:rtl/>
        </w:rPr>
        <w:t xml:space="preserve"> חלק מחכמי ההלכה סבורים שנימוק זה היה יפה רק לתקופה שבה הייתה רוב החברה היהודית שומרת מצוות, ולפיכך הנחת היסוד היא שכל אדם רוצה בקיום המצוות, אלא שלעתים "יצרו תקפו". לעומת זאת בימינו, כשרבים מבני החברה היהודית אינם שומרי מצוות, וחלקם אף סולדים משמירתן, אין לנימוק זה אחיזה ויש חשש שגט כפוי ייחשב כ"מעושה". וראה: י"ש קפלן, "</w:t>
      </w:r>
      <w:r w:rsidR="000949D2" w:rsidRPr="000949D2">
        <w:rPr>
          <w:spacing w:val="-2"/>
          <w:sz w:val="20"/>
          <w:rtl/>
        </w:rPr>
        <w:t>'</w:t>
      </w:r>
      <w:r w:rsidRPr="000949D2">
        <w:rPr>
          <w:spacing w:val="-2"/>
          <w:sz w:val="20"/>
          <w:rtl/>
        </w:rPr>
        <w:t>כופין אותו עד שיאמר רוצה אני</w:t>
      </w:r>
      <w:r w:rsidR="000949D2" w:rsidRPr="000949D2">
        <w:rPr>
          <w:spacing w:val="-2"/>
          <w:sz w:val="20"/>
          <w:rtl/>
        </w:rPr>
        <w:t>'</w:t>
      </w:r>
      <w:r w:rsidRPr="000949D2">
        <w:rPr>
          <w:spacing w:val="-2"/>
          <w:sz w:val="20"/>
          <w:rtl/>
        </w:rPr>
        <w:t xml:space="preserve"> - מהות העיקרון ויישומו בזמננו", בתוך ע' רדזינר וי' חבה (עורכים), עיונים במשפט עברי ובהלכה - דיין ודיון</w:t>
      </w:r>
      <w:r w:rsidR="007A00E8" w:rsidRPr="000949D2">
        <w:rPr>
          <w:spacing w:val="-2"/>
          <w:sz w:val="20"/>
          <w:rtl/>
        </w:rPr>
        <w:t>,</w:t>
      </w:r>
      <w:r w:rsidRPr="000949D2">
        <w:rPr>
          <w:spacing w:val="-2"/>
          <w:sz w:val="20"/>
          <w:rtl/>
        </w:rPr>
        <w:t xml:space="preserve"> רמת-גן תשס"ז, עמ'</w:t>
      </w:r>
      <w:r w:rsidR="007A00E8" w:rsidRPr="000949D2">
        <w:rPr>
          <w:spacing w:val="-2"/>
          <w:sz w:val="20"/>
          <w:rtl/>
        </w:rPr>
        <w:t xml:space="preserve"> 247-189. </w:t>
      </w:r>
    </w:p>
  </w:footnote>
  <w:footnote w:id="16">
    <w:p w:rsidR="00000000" w:rsidRDefault="00884A25" w:rsidP="000A72C1">
      <w:pPr>
        <w:pStyle w:val="a9"/>
      </w:pPr>
      <w:r w:rsidRPr="00784991">
        <w:rPr>
          <w:rStyle w:val="a8"/>
        </w:rPr>
        <w:footnoteRef/>
      </w:r>
      <w:r w:rsidRPr="00784991">
        <w:rPr>
          <w:sz w:val="20"/>
          <w:rtl/>
        </w:rPr>
        <w:t xml:space="preserve"> בהלכה ה"קלסית" מוכרת בעיקר החלופה של כפיית גט. במהלך הדורות, פותחו רמות נמוכות יותר של צווים המופנים מבית הדין לבעל לתת גט לאשתו, כגון</w:t>
      </w:r>
      <w:r>
        <w:rPr>
          <w:sz w:val="20"/>
          <w:rtl/>
        </w:rPr>
        <w:t>:</w:t>
      </w:r>
      <w:r w:rsidRPr="00784991">
        <w:rPr>
          <w:sz w:val="20"/>
          <w:rtl/>
        </w:rPr>
        <w:t xml:space="preserve"> "חיוב" לגרש, "מצווה לגרש", "ראוי" לגרש (מעין המלצה לתת גט). שלוש הדרגות האחרונות אינן מלוות בסנקציה הלכתית ממשית, בוודאי לא בחברה שרובה אינה שומרת מצוות</w:t>
      </w:r>
      <w:r>
        <w:rPr>
          <w:sz w:val="20"/>
          <w:rtl/>
        </w:rPr>
        <w:t>,</w:t>
      </w:r>
      <w:r w:rsidRPr="00784991">
        <w:rPr>
          <w:sz w:val="20"/>
          <w:rtl/>
        </w:rPr>
        <w:t xml:space="preserve"> שכוח הכפייה של בית הדין מוגבל ביותר לגביה. לעניין השימוש בסמכות </w:t>
      </w:r>
      <w:r>
        <w:rPr>
          <w:sz w:val="20"/>
          <w:rtl/>
        </w:rPr>
        <w:t>זו</w:t>
      </w:r>
      <w:r w:rsidRPr="00784991">
        <w:rPr>
          <w:sz w:val="20"/>
          <w:rtl/>
        </w:rPr>
        <w:t xml:space="preserve"> ושורשיה ההלכתיים, רא</w:t>
      </w:r>
      <w:r>
        <w:rPr>
          <w:sz w:val="20"/>
          <w:rtl/>
        </w:rPr>
        <w:t>ה</w:t>
      </w:r>
      <w:r w:rsidRPr="00784991">
        <w:rPr>
          <w:sz w:val="20"/>
          <w:rtl/>
        </w:rPr>
        <w:t xml:space="preserve">: ז' ורהפטיג, </w:t>
      </w:r>
      <w:r w:rsidRPr="00784991">
        <w:rPr>
          <w:rFonts w:ascii="Arial" w:hAnsi="Arial"/>
          <w:sz w:val="20"/>
          <w:rtl/>
        </w:rPr>
        <w:t>"כפיית גט להלכה ולמעשה"</w:t>
      </w:r>
      <w:r>
        <w:rPr>
          <w:rFonts w:ascii="Arial" w:hAnsi="Arial"/>
          <w:sz w:val="20"/>
          <w:rtl/>
        </w:rPr>
        <w:t>,</w:t>
      </w:r>
      <w:r w:rsidRPr="00784991">
        <w:rPr>
          <w:rFonts w:ascii="Arial" w:hAnsi="Arial"/>
          <w:sz w:val="20"/>
          <w:rtl/>
        </w:rPr>
        <w:t xml:space="preserve"> שנתון המשפט העברי ג-ד (תשל"ו-תשל"ז)</w:t>
      </w:r>
      <w:r>
        <w:rPr>
          <w:rFonts w:ascii="Arial" w:hAnsi="Arial"/>
          <w:sz w:val="20"/>
          <w:rtl/>
        </w:rPr>
        <w:t xml:space="preserve">, </w:t>
      </w:r>
      <w:r w:rsidR="007A00E8">
        <w:rPr>
          <w:rFonts w:ascii="Arial" w:hAnsi="Arial"/>
          <w:sz w:val="20"/>
          <w:rtl/>
        </w:rPr>
        <w:t xml:space="preserve">עמ' </w:t>
      </w:r>
      <w:r w:rsidRPr="00784991">
        <w:rPr>
          <w:rFonts w:ascii="Arial" w:hAnsi="Arial"/>
          <w:sz w:val="20"/>
          <w:rtl/>
        </w:rPr>
        <w:t>153</w:t>
      </w:r>
      <w:r w:rsidRPr="00784991">
        <w:rPr>
          <w:sz w:val="20"/>
          <w:rtl/>
        </w:rPr>
        <w:t>. על היכולת ל</w:t>
      </w:r>
      <w:r>
        <w:rPr>
          <w:sz w:val="20"/>
          <w:rtl/>
        </w:rPr>
        <w:t>הש</w:t>
      </w:r>
      <w:r w:rsidRPr="00784991">
        <w:rPr>
          <w:sz w:val="20"/>
          <w:rtl/>
        </w:rPr>
        <w:t>ת</w:t>
      </w:r>
      <w:r>
        <w:rPr>
          <w:sz w:val="20"/>
          <w:rtl/>
        </w:rPr>
        <w:t>מש</w:t>
      </w:r>
      <w:r w:rsidRPr="00784991">
        <w:rPr>
          <w:sz w:val="20"/>
          <w:rtl/>
        </w:rPr>
        <w:t xml:space="preserve"> בה בימינו, ראה: הרש"י כהן, "כפיית הגט בזמן הזה", תחומין יא (תש</w:t>
      </w:r>
      <w:r>
        <w:rPr>
          <w:sz w:val="20"/>
          <w:rtl/>
        </w:rPr>
        <w:t>"</w:t>
      </w:r>
      <w:r w:rsidRPr="00784991">
        <w:rPr>
          <w:sz w:val="20"/>
          <w:rtl/>
        </w:rPr>
        <w:t>ן)</w:t>
      </w:r>
      <w:r>
        <w:rPr>
          <w:sz w:val="20"/>
          <w:rtl/>
        </w:rPr>
        <w:t>, עמ'</w:t>
      </w:r>
      <w:r w:rsidRPr="00784991">
        <w:rPr>
          <w:sz w:val="20"/>
          <w:rtl/>
        </w:rPr>
        <w:t xml:space="preserve"> </w:t>
      </w:r>
      <w:r w:rsidR="007A00E8">
        <w:rPr>
          <w:sz w:val="20"/>
          <w:rtl/>
        </w:rPr>
        <w:t>202-193</w:t>
      </w:r>
      <w:r w:rsidRPr="00784991">
        <w:rPr>
          <w:sz w:val="20"/>
          <w:rtl/>
        </w:rPr>
        <w:t xml:space="preserve">; י' אחיטוב, </w:t>
      </w:r>
      <w:r w:rsidR="007A00E8">
        <w:rPr>
          <w:sz w:val="20"/>
          <w:rtl/>
        </w:rPr>
        <w:t>"</w:t>
      </w:r>
      <w:r w:rsidRPr="00784991">
        <w:rPr>
          <w:sz w:val="20"/>
          <w:rtl/>
        </w:rPr>
        <w:t>לחידוש כפיית גט בטענת 'מאיס עלי'</w:t>
      </w:r>
      <w:r w:rsidR="007A00E8">
        <w:rPr>
          <w:sz w:val="20"/>
          <w:rtl/>
        </w:rPr>
        <w:t>"</w:t>
      </w:r>
      <w:r w:rsidRPr="00784991">
        <w:rPr>
          <w:sz w:val="20"/>
          <w:rtl/>
        </w:rPr>
        <w:t>, ט</w:t>
      </w:r>
      <w:r>
        <w:rPr>
          <w:sz w:val="20"/>
          <w:rtl/>
        </w:rPr>
        <w:t>'</w:t>
      </w:r>
      <w:r w:rsidRPr="00784991">
        <w:rPr>
          <w:sz w:val="20"/>
          <w:rtl/>
        </w:rPr>
        <w:t xml:space="preserve"> כהן וע</w:t>
      </w:r>
      <w:r>
        <w:rPr>
          <w:sz w:val="20"/>
          <w:rtl/>
        </w:rPr>
        <w:t>'</w:t>
      </w:r>
      <w:r w:rsidRPr="00784991">
        <w:rPr>
          <w:sz w:val="20"/>
          <w:rtl/>
        </w:rPr>
        <w:t xml:space="preserve"> לביא (עורכות)</w:t>
      </w:r>
      <w:r w:rsidRPr="00EF6866">
        <w:rPr>
          <w:sz w:val="20"/>
          <w:rtl/>
        </w:rPr>
        <w:t>, להיות אישה יהודיה</w:t>
      </w:r>
      <w:r w:rsidR="000A72C1">
        <w:rPr>
          <w:sz w:val="20"/>
          <w:rtl/>
        </w:rPr>
        <w:t>, כרך</w:t>
      </w:r>
      <w:r w:rsidRPr="00EF6866">
        <w:rPr>
          <w:sz w:val="20"/>
          <w:rtl/>
        </w:rPr>
        <w:t xml:space="preserve"> ג</w:t>
      </w:r>
      <w:r>
        <w:rPr>
          <w:sz w:val="20"/>
          <w:rtl/>
        </w:rPr>
        <w:t xml:space="preserve"> (</w:t>
      </w:r>
      <w:r w:rsidRPr="00784991">
        <w:rPr>
          <w:sz w:val="20"/>
          <w:rtl/>
        </w:rPr>
        <w:t>תשס"ה</w:t>
      </w:r>
      <w:r>
        <w:rPr>
          <w:sz w:val="20"/>
          <w:rtl/>
        </w:rPr>
        <w:t>)</w:t>
      </w:r>
      <w:r w:rsidRPr="00784991">
        <w:rPr>
          <w:sz w:val="20"/>
          <w:rtl/>
        </w:rPr>
        <w:t xml:space="preserve">, עמ' 63-25. </w:t>
      </w:r>
    </w:p>
  </w:footnote>
  <w:footnote w:id="17">
    <w:p w:rsidR="00000000" w:rsidRDefault="00884A25" w:rsidP="007A00E8">
      <w:pPr>
        <w:pStyle w:val="a9"/>
      </w:pPr>
      <w:r w:rsidRPr="00784991">
        <w:rPr>
          <w:rStyle w:val="a8"/>
        </w:rPr>
        <w:footnoteRef/>
      </w:r>
      <w:r w:rsidRPr="00784991">
        <w:rPr>
          <w:sz w:val="20"/>
          <w:rtl/>
        </w:rPr>
        <w:t xml:space="preserve"> חריגים בעניין זה הם פסקי הדין האמיצים של הרב שלמה דיכובסקי, דיין בית הדין הרבני הגדול לערעורים. רא</w:t>
      </w:r>
      <w:r>
        <w:rPr>
          <w:sz w:val="20"/>
          <w:rtl/>
        </w:rPr>
        <w:t>ה</w:t>
      </w:r>
      <w:r w:rsidRPr="00784991">
        <w:rPr>
          <w:sz w:val="20"/>
          <w:rtl/>
        </w:rPr>
        <w:t xml:space="preserve"> למשל פסק דינו בתיק 8455-64-1 פלוני נ' פלונית</w:t>
      </w:r>
      <w:r w:rsidR="007A00E8">
        <w:rPr>
          <w:sz w:val="20"/>
          <w:rtl/>
        </w:rPr>
        <w:t xml:space="preserve"> (</w:t>
      </w:r>
      <w:r w:rsidRPr="00784991">
        <w:rPr>
          <w:sz w:val="20"/>
          <w:rtl/>
        </w:rPr>
        <w:t>פורסם גם באתר "דעת" (</w:t>
      </w:r>
      <w:hyperlink r:id="rId1" w:history="1">
        <w:r w:rsidRPr="00784991">
          <w:rPr>
            <w:rStyle w:val="Hyperlink"/>
            <w:sz w:val="20"/>
          </w:rPr>
          <w:t>http://www.daat.ac.il/daat/psk/psk.asp?id=230</w:t>
        </w:r>
      </w:hyperlink>
      <w:r w:rsidRPr="00784991">
        <w:rPr>
          <w:sz w:val="20"/>
          <w:rtl/>
        </w:rPr>
        <w:t>), שאסר על שירות בתי הסוהר להיענות לבקשת סרבן גט לתת לו רק מזון בהכשר מהודר</w:t>
      </w:r>
      <w:r>
        <w:rPr>
          <w:sz w:val="20"/>
          <w:rtl/>
        </w:rPr>
        <w:t xml:space="preserve"> באמרו</w:t>
      </w:r>
      <w:r w:rsidRPr="00784991">
        <w:rPr>
          <w:sz w:val="20"/>
          <w:rtl/>
        </w:rPr>
        <w:t>: "</w:t>
      </w:r>
      <w:r w:rsidRPr="00784991">
        <w:rPr>
          <w:rFonts w:ascii="Arial" w:hAnsi="Arial"/>
          <w:sz w:val="20"/>
          <w:rtl/>
        </w:rPr>
        <w:t>כאשר בית הדין מצווה על החזקת סרבן גט בבידוד, ראוי כי בידוד זה ייעשה תוך הפרדת האסיר מכל הכבודה המלווה אותו. במסגרת בידוד זה, אין לאפשר לסרבן הגט קריאה, כתיבה ובוודאי לא צפייה בטלביזיה. ואם בבידוד עסקינן, צריך שיהיה זה תא צר שיעודד את סרבן הגט להושיט לעצמו את מפתחות הכלא, על ידי מתן הגט לאשתו. על פי ההלכה, כאשר ניתן לכפות גט בשוטים, ניתן לאסור את הבעל הסרבן במאסר צר... יש מקום לשקול שלילת הזכות מסרבן גט הנמצא בבידוד לישון על גבי מזרן. י</w:t>
      </w:r>
      <w:r w:rsidR="007A00E8">
        <w:rPr>
          <w:rFonts w:ascii="Arial" w:hAnsi="Arial"/>
          <w:sz w:val="20"/>
          <w:rtl/>
        </w:rPr>
        <w:t>ֵ</w:t>
      </w:r>
      <w:r w:rsidRPr="00784991">
        <w:rPr>
          <w:rFonts w:ascii="Arial" w:hAnsi="Arial"/>
          <w:sz w:val="20"/>
          <w:rtl/>
        </w:rPr>
        <w:t xml:space="preserve">דע סרבן הגט כי בית הכלא אינו בית הבראה!". </w:t>
      </w:r>
    </w:p>
  </w:footnote>
  <w:footnote w:id="18">
    <w:p w:rsidR="00000000" w:rsidRDefault="00884A25" w:rsidP="00381812">
      <w:pPr>
        <w:pStyle w:val="a9"/>
      </w:pPr>
      <w:r w:rsidRPr="00784991">
        <w:rPr>
          <w:rStyle w:val="a8"/>
        </w:rPr>
        <w:footnoteRef/>
      </w:r>
      <w:r w:rsidRPr="00784991">
        <w:rPr>
          <w:sz w:val="20"/>
          <w:rtl/>
        </w:rPr>
        <w:t xml:space="preserve"> </w:t>
      </w:r>
      <w:r>
        <w:rPr>
          <w:sz w:val="20"/>
          <w:rtl/>
        </w:rPr>
        <w:t>ל</w:t>
      </w:r>
      <w:r w:rsidRPr="00784991">
        <w:rPr>
          <w:sz w:val="20"/>
          <w:rtl/>
        </w:rPr>
        <w:t xml:space="preserve">נתונים חשובים </w:t>
      </w:r>
      <w:r>
        <w:rPr>
          <w:sz w:val="20"/>
          <w:rtl/>
        </w:rPr>
        <w:t xml:space="preserve">ראה </w:t>
      </w:r>
      <w:r w:rsidRPr="00784991">
        <w:rPr>
          <w:sz w:val="20"/>
          <w:rtl/>
        </w:rPr>
        <w:t xml:space="preserve">ר' קדרי וע' קארו (עורכות), </w:t>
      </w:r>
      <w:r w:rsidRPr="00EF6866">
        <w:rPr>
          <w:sz w:val="20"/>
          <w:rtl/>
        </w:rPr>
        <w:t>נשים ומשפחה בישראל</w:t>
      </w:r>
      <w:r>
        <w:rPr>
          <w:sz w:val="20"/>
          <w:rtl/>
        </w:rPr>
        <w:t>,</w:t>
      </w:r>
      <w:r w:rsidRPr="00EF6866">
        <w:rPr>
          <w:sz w:val="20"/>
          <w:rtl/>
        </w:rPr>
        <w:t xml:space="preserve"> דו-שנתון סטטיסטי</w:t>
      </w:r>
      <w:r w:rsidRPr="00784991">
        <w:rPr>
          <w:sz w:val="20"/>
          <w:rtl/>
        </w:rPr>
        <w:t>, רמת</w:t>
      </w:r>
      <w:r>
        <w:rPr>
          <w:sz w:val="20"/>
          <w:rtl/>
        </w:rPr>
        <w:t>-</w:t>
      </w:r>
      <w:r w:rsidRPr="00784991">
        <w:rPr>
          <w:sz w:val="20"/>
          <w:rtl/>
        </w:rPr>
        <w:t xml:space="preserve">גן תשס"ה, ובמהדורה שהופיעה </w:t>
      </w:r>
      <w:r>
        <w:rPr>
          <w:sz w:val="20"/>
          <w:rtl/>
        </w:rPr>
        <w:t>בעת ה</w:t>
      </w:r>
      <w:r w:rsidRPr="00784991">
        <w:rPr>
          <w:sz w:val="20"/>
          <w:rtl/>
        </w:rPr>
        <w:t>אחרונה, רמת</w:t>
      </w:r>
      <w:r>
        <w:rPr>
          <w:sz w:val="20"/>
          <w:rtl/>
        </w:rPr>
        <w:t>-</w:t>
      </w:r>
      <w:r w:rsidRPr="00784991">
        <w:rPr>
          <w:sz w:val="20"/>
          <w:rtl/>
        </w:rPr>
        <w:t>גן תשס"ט. רוב הנתונים בקובץ זה מבוססים על נתוני הלמ"ס</w:t>
      </w:r>
      <w:r>
        <w:rPr>
          <w:sz w:val="20"/>
          <w:rtl/>
        </w:rPr>
        <w:t xml:space="preserve"> (</w:t>
      </w:r>
      <w:r w:rsidRPr="00784991">
        <w:rPr>
          <w:sz w:val="20"/>
          <w:rtl/>
        </w:rPr>
        <w:t>הלשכה המרכזית לסטטיסטיקה</w:t>
      </w:r>
      <w:r>
        <w:rPr>
          <w:sz w:val="20"/>
          <w:rtl/>
        </w:rPr>
        <w:t>)</w:t>
      </w:r>
      <w:r w:rsidRPr="00784991">
        <w:rPr>
          <w:sz w:val="20"/>
          <w:rtl/>
        </w:rPr>
        <w:t xml:space="preserve"> ועל נתונים שנאספו מהנהלת בתי הדין הרבניים. </w:t>
      </w:r>
      <w:r w:rsidR="007A00E8">
        <w:rPr>
          <w:sz w:val="20"/>
          <w:rtl/>
        </w:rPr>
        <w:t xml:space="preserve">אכן, יש </w:t>
      </w:r>
      <w:r w:rsidRPr="00784991">
        <w:rPr>
          <w:sz w:val="20"/>
          <w:rtl/>
        </w:rPr>
        <w:t xml:space="preserve">מחלוקת </w:t>
      </w:r>
      <w:r w:rsidR="007A00E8">
        <w:rPr>
          <w:sz w:val="20"/>
          <w:rtl/>
        </w:rPr>
        <w:t>בש</w:t>
      </w:r>
      <w:r w:rsidRPr="00784991">
        <w:rPr>
          <w:sz w:val="20"/>
          <w:rtl/>
        </w:rPr>
        <w:t xml:space="preserve">אלת </w:t>
      </w:r>
      <w:r>
        <w:rPr>
          <w:sz w:val="20"/>
          <w:rtl/>
        </w:rPr>
        <w:t>ה</w:t>
      </w:r>
      <w:r w:rsidRPr="00784991">
        <w:rPr>
          <w:sz w:val="20"/>
          <w:rtl/>
        </w:rPr>
        <w:t>נתונים</w:t>
      </w:r>
      <w:r w:rsidR="007A00E8">
        <w:rPr>
          <w:sz w:val="20"/>
          <w:rtl/>
        </w:rPr>
        <w:t xml:space="preserve"> (ראה לעיל, הערה </w:t>
      </w:r>
      <w:r w:rsidR="00381812">
        <w:rPr>
          <w:sz w:val="20"/>
          <w:rtl/>
        </w:rPr>
        <w:fldChar w:fldCharType="begin"/>
      </w:r>
      <w:r w:rsidR="00381812">
        <w:rPr>
          <w:sz w:val="20"/>
          <w:rtl/>
        </w:rPr>
        <w:instrText xml:space="preserve"> </w:instrText>
      </w:r>
      <w:r w:rsidR="00381812">
        <w:rPr>
          <w:sz w:val="20"/>
        </w:rPr>
        <w:instrText>NOTEREF</w:instrText>
      </w:r>
      <w:r w:rsidR="00381812">
        <w:rPr>
          <w:sz w:val="20"/>
          <w:rtl/>
        </w:rPr>
        <w:instrText xml:space="preserve"> _</w:instrText>
      </w:r>
      <w:r w:rsidR="00381812">
        <w:rPr>
          <w:sz w:val="20"/>
        </w:rPr>
        <w:instrText>Ref239996208 \h</w:instrText>
      </w:r>
      <w:r w:rsidR="00381812">
        <w:rPr>
          <w:sz w:val="20"/>
          <w:rtl/>
        </w:rPr>
        <w:instrText xml:space="preserve"> </w:instrText>
      </w:r>
      <w:r w:rsidR="00C230C2" w:rsidRPr="00381812">
        <w:rPr>
          <w:sz w:val="20"/>
        </w:rPr>
      </w:r>
      <w:r w:rsidR="00381812">
        <w:rPr>
          <w:sz w:val="20"/>
          <w:rtl/>
        </w:rPr>
        <w:fldChar w:fldCharType="separate"/>
      </w:r>
      <w:r w:rsidR="002C5EFC">
        <w:rPr>
          <w:sz w:val="20"/>
          <w:rtl/>
        </w:rPr>
        <w:t>1</w:t>
      </w:r>
      <w:r w:rsidR="00381812">
        <w:rPr>
          <w:sz w:val="20"/>
          <w:rtl/>
        </w:rPr>
        <w:fldChar w:fldCharType="end"/>
      </w:r>
      <w:r w:rsidR="007A00E8">
        <w:rPr>
          <w:sz w:val="20"/>
          <w:rtl/>
        </w:rPr>
        <w:t>)</w:t>
      </w:r>
      <w:r w:rsidRPr="00784991">
        <w:rPr>
          <w:sz w:val="20"/>
          <w:rtl/>
        </w:rPr>
        <w:t>, אך גם אם יש פער כלשהו, לכולי עלמא עדיין רב מא</w:t>
      </w:r>
      <w:r>
        <w:rPr>
          <w:sz w:val="20"/>
          <w:rtl/>
        </w:rPr>
        <w:t>ו</w:t>
      </w:r>
      <w:r w:rsidRPr="00784991">
        <w:rPr>
          <w:sz w:val="20"/>
          <w:rtl/>
        </w:rPr>
        <w:t xml:space="preserve">ד מספר המקרים הדורשים את פתרונם.  </w:t>
      </w:r>
    </w:p>
  </w:footnote>
  <w:footnote w:id="19">
    <w:p w:rsidR="00000000" w:rsidRDefault="00884A25" w:rsidP="00381812">
      <w:pPr>
        <w:pStyle w:val="a9"/>
      </w:pPr>
      <w:r w:rsidRPr="00784991">
        <w:rPr>
          <w:rStyle w:val="a8"/>
        </w:rPr>
        <w:footnoteRef/>
      </w:r>
      <w:r w:rsidRPr="00784991">
        <w:rPr>
          <w:sz w:val="20"/>
          <w:rtl/>
        </w:rPr>
        <w:t xml:space="preserve"> נשים ומשפחה בישראל (לעיל, הערה </w:t>
      </w:r>
      <w:r w:rsidR="00381812">
        <w:rPr>
          <w:sz w:val="20"/>
          <w:rtl/>
        </w:rPr>
        <w:fldChar w:fldCharType="begin"/>
      </w:r>
      <w:r w:rsidR="00381812">
        <w:rPr>
          <w:sz w:val="20"/>
          <w:rtl/>
        </w:rPr>
        <w:instrText xml:space="preserve"> </w:instrText>
      </w:r>
      <w:r w:rsidR="00381812">
        <w:rPr>
          <w:sz w:val="20"/>
        </w:rPr>
        <w:instrText>NOTEREF</w:instrText>
      </w:r>
      <w:r w:rsidR="00381812">
        <w:rPr>
          <w:sz w:val="20"/>
          <w:rtl/>
        </w:rPr>
        <w:instrText xml:space="preserve"> _</w:instrText>
      </w:r>
      <w:r w:rsidR="00381812">
        <w:rPr>
          <w:sz w:val="20"/>
        </w:rPr>
        <w:instrText>Ref239996236 \h</w:instrText>
      </w:r>
      <w:r w:rsidR="00381812">
        <w:rPr>
          <w:sz w:val="20"/>
          <w:rtl/>
        </w:rPr>
        <w:instrText xml:space="preserve"> </w:instrText>
      </w:r>
      <w:r w:rsidR="00C230C2" w:rsidRPr="00381812">
        <w:rPr>
          <w:sz w:val="20"/>
        </w:rPr>
      </w:r>
      <w:r w:rsidR="00381812">
        <w:rPr>
          <w:sz w:val="20"/>
          <w:rtl/>
        </w:rPr>
        <w:fldChar w:fldCharType="separate"/>
      </w:r>
      <w:r w:rsidR="002C5EFC">
        <w:rPr>
          <w:sz w:val="20"/>
          <w:rtl/>
        </w:rPr>
        <w:t>18</w:t>
      </w:r>
      <w:r w:rsidR="00381812">
        <w:rPr>
          <w:sz w:val="20"/>
          <w:rtl/>
        </w:rPr>
        <w:fldChar w:fldCharType="end"/>
      </w:r>
      <w:r w:rsidRPr="00784991">
        <w:rPr>
          <w:sz w:val="20"/>
          <w:rtl/>
        </w:rPr>
        <w:t xml:space="preserve">), עמ' 51.  </w:t>
      </w:r>
    </w:p>
  </w:footnote>
  <w:footnote w:id="20">
    <w:p w:rsidR="00000000" w:rsidRDefault="00884A25" w:rsidP="00EF6866">
      <w:pPr>
        <w:pStyle w:val="a9"/>
      </w:pPr>
      <w:r w:rsidRPr="00784991">
        <w:rPr>
          <w:rStyle w:val="a8"/>
        </w:rPr>
        <w:footnoteRef/>
      </w:r>
      <w:r w:rsidRPr="00784991">
        <w:rPr>
          <w:sz w:val="20"/>
          <w:rtl/>
        </w:rPr>
        <w:t xml:space="preserve"> נימוקו של הרמב"ם מיוחד במינו: "לפי שאינה כשבויה שתיבעל לשנאוי לה". השוואת מסורבת הגט לשבויה</w:t>
      </w:r>
      <w:r>
        <w:rPr>
          <w:sz w:val="20"/>
          <w:rtl/>
        </w:rPr>
        <w:t>,</w:t>
      </w:r>
      <w:r w:rsidRPr="00784991">
        <w:rPr>
          <w:sz w:val="20"/>
          <w:rtl/>
        </w:rPr>
        <w:t xml:space="preserve"> שחכמים ראו בפדיונה אחת </w:t>
      </w:r>
      <w:r>
        <w:rPr>
          <w:sz w:val="20"/>
          <w:rtl/>
        </w:rPr>
        <w:t xml:space="preserve">מן </w:t>
      </w:r>
      <w:r w:rsidRPr="00784991">
        <w:rPr>
          <w:sz w:val="20"/>
          <w:rtl/>
        </w:rPr>
        <w:t xml:space="preserve">המצוות הגדולות, "מצווה רבה", ראויה לציון. </w:t>
      </w:r>
    </w:p>
  </w:footnote>
  <w:footnote w:id="21">
    <w:p w:rsidR="00000000" w:rsidRDefault="00884A25" w:rsidP="007A00E8">
      <w:pPr>
        <w:pStyle w:val="a9"/>
      </w:pPr>
      <w:r w:rsidRPr="00784991">
        <w:rPr>
          <w:rStyle w:val="a8"/>
        </w:rPr>
        <w:footnoteRef/>
      </w:r>
      <w:r w:rsidRPr="00784991">
        <w:rPr>
          <w:sz w:val="20"/>
          <w:rtl/>
        </w:rPr>
        <w:t xml:space="preserve"> חלק מעילות הגירושין נזכרות כבר במשנה ובתלמודים. במהלך הדורות הוסיפו עליהן </w:t>
      </w:r>
      <w:r>
        <w:rPr>
          <w:sz w:val="20"/>
          <w:rtl/>
        </w:rPr>
        <w:t xml:space="preserve">עוד </w:t>
      </w:r>
      <w:r w:rsidRPr="00784991">
        <w:rPr>
          <w:sz w:val="20"/>
          <w:rtl/>
        </w:rPr>
        <w:t xml:space="preserve">עילות. ראה, למשל, לעניין מחלות חדשות א' שוחטמן, "מחלת האיידס כעילה לגירושין", משפטים כה </w:t>
      </w:r>
      <w:r w:rsidR="007A00E8">
        <w:rPr>
          <w:sz w:val="20"/>
          <w:rtl/>
        </w:rPr>
        <w:t>(</w:t>
      </w:r>
      <w:r w:rsidRPr="00784991">
        <w:rPr>
          <w:sz w:val="20"/>
          <w:rtl/>
        </w:rPr>
        <w:t>תשנ</w:t>
      </w:r>
      <w:r>
        <w:rPr>
          <w:sz w:val="20"/>
          <w:rtl/>
        </w:rPr>
        <w:t>"</w:t>
      </w:r>
      <w:r w:rsidRPr="00784991">
        <w:rPr>
          <w:sz w:val="20"/>
          <w:rtl/>
        </w:rPr>
        <w:t>ה</w:t>
      </w:r>
      <w:r>
        <w:rPr>
          <w:sz w:val="20"/>
          <w:rtl/>
        </w:rPr>
        <w:t>),</w:t>
      </w:r>
      <w:r w:rsidRPr="00784991">
        <w:rPr>
          <w:sz w:val="20"/>
          <w:rtl/>
        </w:rPr>
        <w:t xml:space="preserve"> עמ' </w:t>
      </w:r>
      <w:r w:rsidR="007A00E8">
        <w:rPr>
          <w:sz w:val="20"/>
          <w:rtl/>
        </w:rPr>
        <w:t xml:space="preserve">44-19. </w:t>
      </w:r>
      <w:r w:rsidRPr="00784991">
        <w:rPr>
          <w:sz w:val="20"/>
          <w:rtl/>
        </w:rPr>
        <w:t xml:space="preserve"> </w:t>
      </w:r>
    </w:p>
  </w:footnote>
  <w:footnote w:id="22">
    <w:p w:rsidR="00000000" w:rsidRDefault="00884A25" w:rsidP="002C5EFC">
      <w:pPr>
        <w:pStyle w:val="a9"/>
      </w:pPr>
      <w:r w:rsidRPr="00784991">
        <w:rPr>
          <w:rStyle w:val="a8"/>
        </w:rPr>
        <w:footnoteRef/>
      </w:r>
      <w:r w:rsidRPr="00784991">
        <w:rPr>
          <w:sz w:val="20"/>
          <w:rtl/>
        </w:rPr>
        <w:t xml:space="preserve"> ראה א' בארי, </w:t>
      </w:r>
      <w:r w:rsidRPr="00784991">
        <w:rPr>
          <w:rFonts w:ascii="Arial" w:hAnsi="Arial"/>
          <w:sz w:val="20"/>
          <w:rtl/>
        </w:rPr>
        <w:t>"הרחקות רבנו תם", שנתון המשפט העברי יח-יט (תשנ"ב-תשנ"ד)</w:t>
      </w:r>
      <w:r>
        <w:rPr>
          <w:rFonts w:ascii="Arial" w:hAnsi="Arial"/>
          <w:sz w:val="20"/>
          <w:rtl/>
        </w:rPr>
        <w:t>, עמ'</w:t>
      </w:r>
      <w:r w:rsidRPr="00784991">
        <w:rPr>
          <w:rFonts w:ascii="Arial" w:hAnsi="Arial"/>
          <w:sz w:val="20"/>
          <w:rtl/>
        </w:rPr>
        <w:t xml:space="preserve"> 65</w:t>
      </w:r>
      <w:r w:rsidR="007A00E8">
        <w:rPr>
          <w:rFonts w:ascii="Arial" w:hAnsi="Arial"/>
          <w:sz w:val="20"/>
          <w:rtl/>
        </w:rPr>
        <w:t>; ו</w:t>
      </w:r>
      <w:r w:rsidRPr="00784991">
        <w:rPr>
          <w:rFonts w:ascii="Arial" w:hAnsi="Arial"/>
          <w:sz w:val="20"/>
          <w:rtl/>
        </w:rPr>
        <w:t xml:space="preserve">דברי השופט רובינשטיין בבג"צ </w:t>
      </w:r>
      <w:r w:rsidRPr="00784991">
        <w:rPr>
          <w:sz w:val="20"/>
          <w:rtl/>
        </w:rPr>
        <w:t>6751/04 פלוני נ' ביה"ד הגדול לערעורים (2004), ניתן ביום 28.11.04; א' שוחטמן, "על הזכות לגרש ולהתגרש", פרשת השבוע</w:t>
      </w:r>
      <w:r w:rsidR="002C5EFC">
        <w:rPr>
          <w:sz w:val="20"/>
          <w:rtl/>
        </w:rPr>
        <w:t>, בהעלתך, תשס"ט, גיליון מס'</w:t>
      </w:r>
      <w:r w:rsidRPr="00784991">
        <w:rPr>
          <w:sz w:val="20"/>
          <w:rtl/>
        </w:rPr>
        <w:t xml:space="preserve"> 348. </w:t>
      </w:r>
    </w:p>
  </w:footnote>
  <w:footnote w:id="23">
    <w:p w:rsidR="00000000" w:rsidRDefault="00884A25" w:rsidP="00EF6866">
      <w:pPr>
        <w:pStyle w:val="a9"/>
      </w:pPr>
      <w:r w:rsidRPr="00784991">
        <w:rPr>
          <w:rStyle w:val="a8"/>
        </w:rPr>
        <w:footnoteRef/>
      </w:r>
      <w:r w:rsidRPr="00784991">
        <w:rPr>
          <w:sz w:val="20"/>
          <w:rtl/>
        </w:rPr>
        <w:t xml:space="preserve"> פתרון מעניין בעניין זה עשוי להימצא בדין האזרחי הישראלי באמצעות תביעה נזיקית. במקרה אחד, ניסתה עמותת "מרכז צדק לנשים" ל</w:t>
      </w:r>
      <w:r>
        <w:rPr>
          <w:sz w:val="20"/>
          <w:rtl/>
        </w:rPr>
        <w:t xml:space="preserve">תבוע </w:t>
      </w:r>
      <w:r w:rsidRPr="00784991">
        <w:rPr>
          <w:sz w:val="20"/>
          <w:rtl/>
        </w:rPr>
        <w:t xml:space="preserve">פיצויי נזיקין לא רק </w:t>
      </w:r>
      <w:r>
        <w:rPr>
          <w:sz w:val="20"/>
          <w:rtl/>
        </w:rPr>
        <w:t>מ</w:t>
      </w:r>
      <w:r w:rsidRPr="00784991">
        <w:rPr>
          <w:sz w:val="20"/>
          <w:rtl/>
        </w:rPr>
        <w:t xml:space="preserve">סרבן הגט אלא גם </w:t>
      </w:r>
      <w:r>
        <w:rPr>
          <w:sz w:val="20"/>
          <w:rtl/>
        </w:rPr>
        <w:t>מ</w:t>
      </w:r>
      <w:r w:rsidRPr="00784991">
        <w:rPr>
          <w:sz w:val="20"/>
          <w:rtl/>
        </w:rPr>
        <w:t>בני משפחתו שסייעה</w:t>
      </w:r>
      <w:r>
        <w:rPr>
          <w:sz w:val="20"/>
          <w:rtl/>
        </w:rPr>
        <w:t xml:space="preserve"> </w:t>
      </w:r>
      <w:r w:rsidRPr="00784991">
        <w:rPr>
          <w:sz w:val="20"/>
          <w:rtl/>
        </w:rPr>
        <w:t xml:space="preserve">לו, אולם התיק נסתיים בפשרה ולא הגיע לכלל פסק דין. </w:t>
      </w:r>
    </w:p>
  </w:footnote>
  <w:footnote w:id="24">
    <w:p w:rsidR="00000000" w:rsidRDefault="00884A25" w:rsidP="00EF6866">
      <w:pPr>
        <w:pStyle w:val="a9"/>
      </w:pPr>
      <w:r w:rsidRPr="00784991">
        <w:rPr>
          <w:rStyle w:val="a8"/>
        </w:rPr>
        <w:footnoteRef/>
      </w:r>
      <w:r w:rsidRPr="00784991">
        <w:rPr>
          <w:sz w:val="20"/>
          <w:rtl/>
        </w:rPr>
        <w:t xml:space="preserve"> כך, למשל, לפני כמה שנים, דאגו בני משפחתה של מסורבת גט שבעלה, חסיד ברסלב חסר אמצעים, יזכה ב"כרטיס הגרלה" שזיכה אותו בטיסה חינם לקברו של ר' נחמן מברסלב באומן. משביקש הלה לעזוב את שערי הארץ, נתקל בצו עיכוב יציאה שהוצא נגדו </w:t>
      </w:r>
      <w:r>
        <w:rPr>
          <w:sz w:val="20"/>
          <w:rtl/>
        </w:rPr>
        <w:t>עק</w:t>
      </w:r>
      <w:r w:rsidRPr="00784991">
        <w:rPr>
          <w:sz w:val="20"/>
          <w:rtl/>
        </w:rPr>
        <w:t xml:space="preserve">ב סרבנותו. </w:t>
      </w:r>
      <w:r>
        <w:rPr>
          <w:sz w:val="20"/>
          <w:rtl/>
        </w:rPr>
        <w:t xml:space="preserve">הלה  </w:t>
      </w:r>
      <w:r w:rsidRPr="00784991">
        <w:rPr>
          <w:sz w:val="20"/>
          <w:rtl/>
        </w:rPr>
        <w:t xml:space="preserve">החליט להעדיף את הנסיעה לקבר רבו הנערץ </w:t>
      </w:r>
      <w:r>
        <w:rPr>
          <w:sz w:val="20"/>
          <w:rtl/>
        </w:rPr>
        <w:t>ו</w:t>
      </w:r>
      <w:r w:rsidRPr="00784991">
        <w:rPr>
          <w:sz w:val="20"/>
          <w:rtl/>
        </w:rPr>
        <w:t>מסר גט בידי אש</w:t>
      </w:r>
      <w:r>
        <w:rPr>
          <w:sz w:val="20"/>
          <w:rtl/>
        </w:rPr>
        <w:t>תו</w:t>
      </w:r>
      <w:r w:rsidRPr="00784991">
        <w:rPr>
          <w:sz w:val="20"/>
          <w:rtl/>
        </w:rPr>
        <w:t xml:space="preserve"> ושחררה מעגינותה.  </w:t>
      </w:r>
    </w:p>
  </w:footnote>
  <w:footnote w:id="25">
    <w:p w:rsidR="00000000" w:rsidRDefault="00884A25" w:rsidP="002C5EFC">
      <w:pPr>
        <w:pStyle w:val="a9"/>
      </w:pPr>
      <w:r w:rsidRPr="00784991">
        <w:rPr>
          <w:rStyle w:val="a8"/>
        </w:rPr>
        <w:footnoteRef/>
      </w:r>
      <w:r w:rsidRPr="00784991">
        <w:rPr>
          <w:sz w:val="20"/>
          <w:rtl/>
        </w:rPr>
        <w:t xml:space="preserve"> על ענישה קולקטיבית, ראה א' הכהן, </w:t>
      </w:r>
      <w:r w:rsidR="007A00E8">
        <w:rPr>
          <w:sz w:val="20"/>
          <w:rtl/>
        </w:rPr>
        <w:t>"'</w:t>
      </w:r>
      <w:r w:rsidRPr="00784991">
        <w:rPr>
          <w:sz w:val="20"/>
          <w:rtl/>
        </w:rPr>
        <w:t>האיש אחד יחטא ועל כל העדה תקצוף?</w:t>
      </w:r>
      <w:r w:rsidR="007A00E8">
        <w:rPr>
          <w:sz w:val="20"/>
          <w:rtl/>
        </w:rPr>
        <w:t xml:space="preserve">' - </w:t>
      </w:r>
      <w:r w:rsidRPr="00784991">
        <w:rPr>
          <w:sz w:val="20"/>
          <w:rtl/>
        </w:rPr>
        <w:t>ענישה קולקטיבית במשפט העברי</w:t>
      </w:r>
      <w:r w:rsidR="007A00E8">
        <w:rPr>
          <w:sz w:val="20"/>
          <w:rtl/>
        </w:rPr>
        <w:t>"</w:t>
      </w:r>
      <w:r w:rsidRPr="00784991">
        <w:rPr>
          <w:sz w:val="20"/>
          <w:rtl/>
        </w:rPr>
        <w:t>, פרשת השבוע</w:t>
      </w:r>
      <w:r w:rsidR="002C5EFC">
        <w:rPr>
          <w:sz w:val="20"/>
          <w:rtl/>
        </w:rPr>
        <w:t>, וישלח, תשס"א, גיליון</w:t>
      </w:r>
      <w:r w:rsidRPr="00784991">
        <w:rPr>
          <w:sz w:val="20"/>
          <w:rtl/>
        </w:rPr>
        <w:t xml:space="preserve"> מס' 5</w:t>
      </w:r>
      <w:r>
        <w:rPr>
          <w:sz w:val="20"/>
          <w:rtl/>
        </w:rPr>
        <w:t>.</w:t>
      </w:r>
    </w:p>
  </w:footnote>
  <w:footnote w:id="26">
    <w:p w:rsidR="00000000" w:rsidRDefault="00884A25" w:rsidP="002C5EFC">
      <w:pPr>
        <w:pStyle w:val="a9"/>
      </w:pPr>
      <w:r w:rsidRPr="002C5EFC">
        <w:rPr>
          <w:rStyle w:val="a8"/>
          <w:spacing w:val="-4"/>
        </w:rPr>
        <w:footnoteRef/>
      </w:r>
      <w:r w:rsidRPr="002C5EFC">
        <w:rPr>
          <w:spacing w:val="-4"/>
          <w:sz w:val="20"/>
          <w:rtl/>
        </w:rPr>
        <w:t xml:space="preserve"> לעניין הצורך במידתיות גם בעניין זה, ראה הר"ש דיכובסקי, "מידתיות בכפייה לגט", תחומין כז (תשסז) עמ' 300-303</w:t>
      </w:r>
      <w:r w:rsidRPr="002C5EFC">
        <w:rPr>
          <w:spacing w:val="-4"/>
          <w:sz w:val="20"/>
        </w:rPr>
        <w:t xml:space="preserve"> </w:t>
      </w:r>
      <w:r w:rsidRPr="002C5EFC">
        <w:rPr>
          <w:spacing w:val="-4"/>
          <w:sz w:val="20"/>
          <w:rtl/>
        </w:rPr>
        <w:t>; א' הכהן, "עקרון המידתיות במשפט העברי", פרשת השבוע,</w:t>
      </w:r>
      <w:r w:rsidR="002C5EFC" w:rsidRPr="002C5EFC">
        <w:rPr>
          <w:spacing w:val="-4"/>
          <w:sz w:val="20"/>
          <w:rtl/>
        </w:rPr>
        <w:t xml:space="preserve"> ויקרא, תשס"ט,</w:t>
      </w:r>
      <w:r w:rsidRPr="002C5EFC">
        <w:rPr>
          <w:spacing w:val="-4"/>
          <w:sz w:val="20"/>
          <w:rtl/>
        </w:rPr>
        <w:t xml:space="preserve"> גיליון מס' 342.</w:t>
      </w:r>
    </w:p>
  </w:footnote>
  <w:footnote w:id="27">
    <w:p w:rsidR="00000000" w:rsidRDefault="00884A25" w:rsidP="00884A25">
      <w:pPr>
        <w:pStyle w:val="a9"/>
      </w:pPr>
      <w:r w:rsidRPr="00784991">
        <w:rPr>
          <w:rStyle w:val="a8"/>
        </w:rPr>
        <w:footnoteRef/>
      </w:r>
      <w:r w:rsidRPr="00784991">
        <w:rPr>
          <w:sz w:val="20"/>
          <w:rtl/>
        </w:rPr>
        <w:t xml:space="preserve"> לדיון דומה, א</w:t>
      </w:r>
      <w:r>
        <w:rPr>
          <w:sz w:val="20"/>
          <w:rtl/>
        </w:rPr>
        <w:t>ף שהוא</w:t>
      </w:r>
      <w:r w:rsidRPr="00784991">
        <w:rPr>
          <w:sz w:val="20"/>
          <w:rtl/>
        </w:rPr>
        <w:t xml:space="preserve"> שונה לחלוטין במידתיותו ובתועלתו, התקיים ב</w:t>
      </w:r>
      <w:r>
        <w:rPr>
          <w:sz w:val="20"/>
          <w:rtl/>
        </w:rPr>
        <w:t>שאלת</w:t>
      </w:r>
      <w:r w:rsidRPr="00784991">
        <w:rPr>
          <w:sz w:val="20"/>
          <w:rtl/>
        </w:rPr>
        <w:t xml:space="preserve"> </w:t>
      </w:r>
      <w:r>
        <w:rPr>
          <w:sz w:val="20"/>
          <w:rtl/>
        </w:rPr>
        <w:t>ה</w:t>
      </w:r>
      <w:r w:rsidRPr="00784991">
        <w:rPr>
          <w:sz w:val="20"/>
          <w:rtl/>
        </w:rPr>
        <w:t>היתר להחז</w:t>
      </w:r>
      <w:r>
        <w:rPr>
          <w:sz w:val="20"/>
          <w:rtl/>
        </w:rPr>
        <w:t>י</w:t>
      </w:r>
      <w:r w:rsidRPr="00784991">
        <w:rPr>
          <w:sz w:val="20"/>
          <w:rtl/>
        </w:rPr>
        <w:t xml:space="preserve">ק שבויים, </w:t>
      </w:r>
      <w:r>
        <w:rPr>
          <w:sz w:val="20"/>
          <w:rtl/>
        </w:rPr>
        <w:t xml:space="preserve">שני </w:t>
      </w:r>
      <w:r w:rsidRPr="00784991">
        <w:rPr>
          <w:sz w:val="20"/>
          <w:rtl/>
        </w:rPr>
        <w:t>מנהיגי ארגוני המחבלים</w:t>
      </w:r>
      <w:r>
        <w:rPr>
          <w:sz w:val="20"/>
          <w:rtl/>
        </w:rPr>
        <w:t>,</w:t>
      </w:r>
      <w:r w:rsidRPr="00784991">
        <w:rPr>
          <w:sz w:val="20"/>
          <w:rtl/>
        </w:rPr>
        <w:t xml:space="preserve"> השייח' עובייד ודיראני, כ"קלפי מיקוח" להשגת מידע על נעדרי צה"ל</w:t>
      </w:r>
      <w:r>
        <w:rPr>
          <w:sz w:val="20"/>
          <w:rtl/>
        </w:rPr>
        <w:t>.</w:t>
      </w:r>
      <w:r w:rsidRPr="00784991">
        <w:rPr>
          <w:sz w:val="20"/>
          <w:rtl/>
        </w:rPr>
        <w:t xml:space="preserve"> ראה דנ"פ 7048/97 פלונים נ' שר הביטחון, פ"ד נד(1)</w:t>
      </w:r>
      <w:r w:rsidR="002C5EFC">
        <w:rPr>
          <w:sz w:val="20"/>
          <w:rtl/>
        </w:rPr>
        <w:t xml:space="preserve"> </w:t>
      </w:r>
      <w:r w:rsidRPr="00784991">
        <w:rPr>
          <w:sz w:val="20"/>
          <w:rtl/>
        </w:rPr>
        <w:t xml:space="preserve">721. </w:t>
      </w:r>
    </w:p>
  </w:footnote>
  <w:footnote w:id="28">
    <w:p w:rsidR="00000000" w:rsidRDefault="00884A25" w:rsidP="00441631">
      <w:pPr>
        <w:pStyle w:val="a9"/>
      </w:pPr>
      <w:r w:rsidRPr="00784991">
        <w:rPr>
          <w:rStyle w:val="a8"/>
        </w:rPr>
        <w:footnoteRef/>
      </w:r>
      <w:r w:rsidRPr="00784991">
        <w:rPr>
          <w:sz w:val="20"/>
          <w:rtl/>
        </w:rPr>
        <w:t xml:space="preserve"> </w:t>
      </w:r>
      <w:r w:rsidRPr="00784991">
        <w:rPr>
          <w:rFonts w:ascii="David" w:hAnsi="David"/>
          <w:b/>
          <w:sz w:val="20"/>
          <w:rtl/>
        </w:rPr>
        <w:t xml:space="preserve">תשובות הגאונים שערי צדק, חלק ד, שער ה, סימן יד. </w:t>
      </w:r>
    </w:p>
  </w:footnote>
  <w:footnote w:id="29">
    <w:p w:rsidR="00000000" w:rsidRDefault="00884A25" w:rsidP="00884A25">
      <w:pPr>
        <w:pStyle w:val="a9"/>
      </w:pPr>
      <w:r w:rsidRPr="00784991">
        <w:rPr>
          <w:rStyle w:val="a8"/>
        </w:rPr>
        <w:footnoteRef/>
      </w:r>
      <w:r w:rsidRPr="00784991">
        <w:rPr>
          <w:sz w:val="20"/>
          <w:rtl/>
        </w:rPr>
        <w:t xml:space="preserve"> </w:t>
      </w:r>
      <w:r w:rsidRPr="00784991">
        <w:rPr>
          <w:rFonts w:ascii="David" w:hAnsi="David"/>
          <w:b/>
          <w:sz w:val="20"/>
          <w:rtl/>
        </w:rPr>
        <w:t>על הסנקציות הנזכרות, מוסיף רבי יוסף חביבא, בעל "נימוקי יוסף" (בבא קמא, פרק י</w:t>
      </w:r>
      <w:r>
        <w:rPr>
          <w:rFonts w:ascii="David" w:hAnsi="David"/>
          <w:b/>
          <w:sz w:val="20"/>
          <w:rtl/>
        </w:rPr>
        <w:t>;</w:t>
      </w:r>
      <w:r w:rsidRPr="00784991">
        <w:rPr>
          <w:rFonts w:ascii="David" w:hAnsi="David"/>
          <w:b/>
          <w:sz w:val="20"/>
          <w:rtl/>
        </w:rPr>
        <w:t xml:space="preserve"> לט ע"ב</w:t>
      </w:r>
      <w:r w:rsidR="002C5EFC">
        <w:rPr>
          <w:rFonts w:ascii="David" w:hAnsi="David"/>
          <w:b/>
          <w:sz w:val="20"/>
          <w:rtl/>
        </w:rPr>
        <w:t xml:space="preserve"> בדפי הרי"ף</w:t>
      </w:r>
      <w:r w:rsidRPr="00784991">
        <w:rPr>
          <w:rFonts w:ascii="David" w:hAnsi="David"/>
          <w:b/>
          <w:sz w:val="20"/>
          <w:rtl/>
        </w:rPr>
        <w:t>), גם את "הוצאת אשתו [=של העבריין] מבית הכנסת".</w:t>
      </w:r>
    </w:p>
  </w:footnote>
  <w:footnote w:id="30">
    <w:p w:rsidR="00000000" w:rsidRDefault="00C069C3" w:rsidP="002C5EFC">
      <w:pPr>
        <w:pStyle w:val="a9"/>
      </w:pPr>
      <w:r>
        <w:rPr>
          <w:rStyle w:val="a8"/>
        </w:rPr>
        <w:footnoteRef/>
      </w:r>
      <w:r>
        <w:rPr>
          <w:rtl/>
        </w:rPr>
        <w:t xml:space="preserve"> </w:t>
      </w:r>
      <w:r w:rsidRPr="005174DA">
        <w:rPr>
          <w:rFonts w:ascii="David" w:hAnsi="David"/>
          <w:b/>
          <w:rtl/>
        </w:rPr>
        <w:t>ים של שלמה</w:t>
      </w:r>
      <w:r>
        <w:rPr>
          <w:rFonts w:ascii="David" w:hAnsi="David"/>
          <w:b/>
          <w:rtl/>
        </w:rPr>
        <w:t>,</w:t>
      </w:r>
      <w:r w:rsidRPr="005174DA">
        <w:rPr>
          <w:rFonts w:ascii="David" w:hAnsi="David"/>
          <w:b/>
          <w:rtl/>
        </w:rPr>
        <w:t xml:space="preserve"> בבא קמא</w:t>
      </w:r>
      <w:r>
        <w:rPr>
          <w:rFonts w:ascii="David" w:hAnsi="David"/>
          <w:b/>
          <w:rtl/>
        </w:rPr>
        <w:t>,</w:t>
      </w:r>
      <w:r w:rsidRPr="005174DA">
        <w:rPr>
          <w:rFonts w:ascii="David" w:hAnsi="David"/>
          <w:b/>
          <w:rtl/>
        </w:rPr>
        <w:t xml:space="preserve"> פרק י</w:t>
      </w:r>
      <w:r>
        <w:rPr>
          <w:rFonts w:ascii="David" w:hAnsi="David"/>
          <w:b/>
          <w:rtl/>
        </w:rPr>
        <w:t>,</w:t>
      </w:r>
      <w:r w:rsidRPr="005174DA">
        <w:rPr>
          <w:rFonts w:ascii="David" w:hAnsi="David"/>
          <w:b/>
          <w:rtl/>
        </w:rPr>
        <w:t xml:space="preserve"> סימן יג</w:t>
      </w:r>
      <w:r>
        <w:rPr>
          <w:rFonts w:ascii="David" w:hAnsi="David"/>
          <w:b/>
          <w:rtl/>
        </w:rPr>
        <w:t>.</w:t>
      </w:r>
    </w:p>
  </w:footnote>
  <w:footnote w:id="31">
    <w:p w:rsidR="00000000" w:rsidRDefault="00884A25" w:rsidP="00884A25">
      <w:pPr>
        <w:pStyle w:val="a9"/>
      </w:pPr>
      <w:r w:rsidRPr="00784991">
        <w:rPr>
          <w:rStyle w:val="a8"/>
        </w:rPr>
        <w:footnoteRef/>
      </w:r>
      <w:r w:rsidRPr="00784991">
        <w:rPr>
          <w:sz w:val="20"/>
          <w:rtl/>
        </w:rPr>
        <w:t xml:space="preserve"> על נימוק חשוב זה, כיסוד בהלכה היהודית, ראה א' הכהן, </w:t>
      </w:r>
      <w:r w:rsidR="002C5EFC">
        <w:rPr>
          <w:sz w:val="20"/>
          <w:rtl/>
        </w:rPr>
        <w:t>"</w:t>
      </w:r>
      <w:r w:rsidRPr="00784991">
        <w:rPr>
          <w:sz w:val="20"/>
          <w:rtl/>
        </w:rPr>
        <w:t xml:space="preserve">שלא לבייש </w:t>
      </w:r>
      <w:r>
        <w:rPr>
          <w:sz w:val="20"/>
          <w:rtl/>
        </w:rPr>
        <w:t>-</w:t>
      </w:r>
      <w:r w:rsidRPr="00784991">
        <w:rPr>
          <w:sz w:val="20"/>
          <w:rtl/>
        </w:rPr>
        <w:t xml:space="preserve"> זה כלל גדול בתורה", במעגלי צדק 12 (ינואר 2007), עמ' 27-22.</w:t>
      </w:r>
    </w:p>
  </w:footnote>
  <w:footnote w:id="32">
    <w:p w:rsidR="00000000" w:rsidRDefault="008E17F9" w:rsidP="008E17F9">
      <w:pPr>
        <w:pStyle w:val="a9"/>
      </w:pPr>
      <w:r>
        <w:rPr>
          <w:rStyle w:val="a8"/>
        </w:rPr>
        <w:footnoteRef/>
      </w:r>
      <w:r>
        <w:rPr>
          <w:rtl/>
        </w:rPr>
        <w:t xml:space="preserve"> </w:t>
      </w:r>
      <w:r w:rsidRPr="005174DA">
        <w:rPr>
          <w:rFonts w:ascii="David" w:hAnsi="David"/>
          <w:b/>
          <w:rtl/>
        </w:rPr>
        <w:t>שו"ת שבות יעקב</w:t>
      </w:r>
      <w:r>
        <w:rPr>
          <w:rFonts w:ascii="David" w:hAnsi="David"/>
          <w:b/>
          <w:rtl/>
        </w:rPr>
        <w:t xml:space="preserve">, חלק </w:t>
      </w:r>
      <w:r w:rsidRPr="005174DA">
        <w:rPr>
          <w:rFonts w:ascii="David" w:hAnsi="David"/>
          <w:b/>
          <w:rtl/>
        </w:rPr>
        <w:t>ג</w:t>
      </w:r>
      <w:r>
        <w:rPr>
          <w:rFonts w:ascii="David" w:hAnsi="David"/>
          <w:b/>
          <w:rtl/>
        </w:rPr>
        <w:t xml:space="preserve">, סימן </w:t>
      </w:r>
      <w:r w:rsidRPr="005174DA">
        <w:rPr>
          <w:rFonts w:ascii="David" w:hAnsi="David"/>
          <w:b/>
          <w:rtl/>
        </w:rPr>
        <w:t>צז</w:t>
      </w:r>
      <w:r>
        <w:rPr>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A25" w:rsidRDefault="00884A25" w:rsidP="004375C4">
    <w:pPr>
      <w:pStyle w:val="ab"/>
      <w:rPr>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03E1D"/>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1B1E0477"/>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F372D95"/>
    <w:multiLevelType w:val="multilevel"/>
    <w:tmpl w:val="04090023"/>
    <w:styleLink w:val="a"/>
    <w:lvl w:ilvl="0">
      <w:start w:val="1"/>
      <w:numFmt w:val="upperRoman"/>
      <w:lvlText w:val="מאמר %1."/>
      <w:lvlJc w:val="left"/>
      <w:pPr>
        <w:tabs>
          <w:tab w:val="num" w:pos="1080"/>
        </w:tabs>
      </w:pPr>
      <w:rPr>
        <w:rFonts w:cs="Times New Roman"/>
      </w:rPr>
    </w:lvl>
    <w:lvl w:ilvl="1">
      <w:start w:val="1"/>
      <w:numFmt w:val="decimalZero"/>
      <w:isLgl/>
      <w:lvlText w:val="סעיף %1.%2"/>
      <w:lvlJc w:val="left"/>
      <w:pPr>
        <w:tabs>
          <w:tab w:val="num" w:pos="72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abstractNumId w:val="1"/>
  </w:num>
  <w:num w:numId="2">
    <w:abstractNumId w:val="0"/>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6E4AF6"/>
    <w:rsid w:val="00023699"/>
    <w:rsid w:val="00072963"/>
    <w:rsid w:val="000949D2"/>
    <w:rsid w:val="000A72C1"/>
    <w:rsid w:val="000A7A2B"/>
    <w:rsid w:val="00111BD8"/>
    <w:rsid w:val="00140C04"/>
    <w:rsid w:val="00186621"/>
    <w:rsid w:val="001A4D75"/>
    <w:rsid w:val="001B2A68"/>
    <w:rsid w:val="001C223D"/>
    <w:rsid w:val="001D1956"/>
    <w:rsid w:val="001F7664"/>
    <w:rsid w:val="00207B57"/>
    <w:rsid w:val="002118F7"/>
    <w:rsid w:val="00240A01"/>
    <w:rsid w:val="00271C57"/>
    <w:rsid w:val="002A08C2"/>
    <w:rsid w:val="002B2E2C"/>
    <w:rsid w:val="002C5EFC"/>
    <w:rsid w:val="002E0201"/>
    <w:rsid w:val="0037555B"/>
    <w:rsid w:val="00381812"/>
    <w:rsid w:val="00393EB8"/>
    <w:rsid w:val="00394C7D"/>
    <w:rsid w:val="003C20A1"/>
    <w:rsid w:val="003E7C1B"/>
    <w:rsid w:val="00406E1D"/>
    <w:rsid w:val="004321E8"/>
    <w:rsid w:val="004375C4"/>
    <w:rsid w:val="00441631"/>
    <w:rsid w:val="00452CBC"/>
    <w:rsid w:val="004A1B88"/>
    <w:rsid w:val="005073DA"/>
    <w:rsid w:val="005174DA"/>
    <w:rsid w:val="00564BB8"/>
    <w:rsid w:val="00594FDA"/>
    <w:rsid w:val="006068F6"/>
    <w:rsid w:val="006358DA"/>
    <w:rsid w:val="0065160F"/>
    <w:rsid w:val="00651B15"/>
    <w:rsid w:val="00661C99"/>
    <w:rsid w:val="00680684"/>
    <w:rsid w:val="00696448"/>
    <w:rsid w:val="006A7877"/>
    <w:rsid w:val="006C068C"/>
    <w:rsid w:val="006C2A45"/>
    <w:rsid w:val="006D172F"/>
    <w:rsid w:val="006E4AF6"/>
    <w:rsid w:val="0073193C"/>
    <w:rsid w:val="00747191"/>
    <w:rsid w:val="007474F7"/>
    <w:rsid w:val="00784991"/>
    <w:rsid w:val="007A00E8"/>
    <w:rsid w:val="007A7D17"/>
    <w:rsid w:val="007E149A"/>
    <w:rsid w:val="007E4781"/>
    <w:rsid w:val="00814625"/>
    <w:rsid w:val="00850ADC"/>
    <w:rsid w:val="00854F5A"/>
    <w:rsid w:val="00871EA5"/>
    <w:rsid w:val="00884A25"/>
    <w:rsid w:val="008908E4"/>
    <w:rsid w:val="008B7D01"/>
    <w:rsid w:val="008E17F9"/>
    <w:rsid w:val="0091048E"/>
    <w:rsid w:val="009116EC"/>
    <w:rsid w:val="009155D7"/>
    <w:rsid w:val="00942A55"/>
    <w:rsid w:val="0096658A"/>
    <w:rsid w:val="00992204"/>
    <w:rsid w:val="009F0C44"/>
    <w:rsid w:val="009F15D5"/>
    <w:rsid w:val="00A24A02"/>
    <w:rsid w:val="00A24EFC"/>
    <w:rsid w:val="00A43B16"/>
    <w:rsid w:val="00AB4F6C"/>
    <w:rsid w:val="00AB57B5"/>
    <w:rsid w:val="00B27708"/>
    <w:rsid w:val="00B517F4"/>
    <w:rsid w:val="00B602B3"/>
    <w:rsid w:val="00BF4F8D"/>
    <w:rsid w:val="00C069C3"/>
    <w:rsid w:val="00C230C2"/>
    <w:rsid w:val="00C2542C"/>
    <w:rsid w:val="00C66B83"/>
    <w:rsid w:val="00C758F7"/>
    <w:rsid w:val="00C97609"/>
    <w:rsid w:val="00CB0FF0"/>
    <w:rsid w:val="00CD0585"/>
    <w:rsid w:val="00CE4994"/>
    <w:rsid w:val="00D13505"/>
    <w:rsid w:val="00D170C5"/>
    <w:rsid w:val="00D2608D"/>
    <w:rsid w:val="00D66662"/>
    <w:rsid w:val="00D72DF8"/>
    <w:rsid w:val="00E1143B"/>
    <w:rsid w:val="00E6346B"/>
    <w:rsid w:val="00E65D47"/>
    <w:rsid w:val="00EB260A"/>
    <w:rsid w:val="00EB60B1"/>
    <w:rsid w:val="00EF6866"/>
    <w:rsid w:val="00F25E72"/>
    <w:rsid w:val="00F93CC7"/>
    <w:rsid w:val="00F95FBB"/>
    <w:rsid w:val="00FE047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375C4"/>
    <w:pPr>
      <w:autoSpaceDE w:val="0"/>
      <w:autoSpaceDN w:val="0"/>
      <w:bidi/>
      <w:spacing w:after="120" w:line="300" w:lineRule="exact"/>
      <w:jc w:val="both"/>
    </w:pPr>
    <w:rPr>
      <w:rFonts w:cs="FrankRuehl"/>
      <w:sz w:val="24"/>
      <w:szCs w:val="24"/>
    </w:rPr>
  </w:style>
  <w:style w:type="paragraph" w:styleId="1">
    <w:name w:val="heading 1"/>
    <w:aliases w:val="כותרת 1 ישן"/>
    <w:basedOn w:val="a0"/>
    <w:next w:val="a0"/>
    <w:link w:val="10"/>
    <w:uiPriority w:val="99"/>
    <w:qFormat/>
    <w:pPr>
      <w:keepNext/>
      <w:spacing w:line="240" w:lineRule="auto"/>
      <w:jc w:val="center"/>
      <w:outlineLvl w:val="0"/>
    </w:pPr>
    <w:rPr>
      <w:rFonts w:cs="RmzRashi"/>
      <w:b/>
      <w:bCs/>
      <w:shadow/>
      <w:szCs w:val="88"/>
    </w:rPr>
  </w:style>
  <w:style w:type="paragraph" w:styleId="2">
    <w:name w:val="heading 2"/>
    <w:basedOn w:val="a0"/>
    <w:next w:val="a0"/>
    <w:link w:val="20"/>
    <w:uiPriority w:val="99"/>
    <w:qFormat/>
    <w:pPr>
      <w:keepNext/>
      <w:spacing w:before="240"/>
      <w:jc w:val="left"/>
      <w:outlineLvl w:val="1"/>
    </w:pPr>
    <w:rPr>
      <w:b/>
      <w:bCs/>
      <w:shadow/>
      <w:szCs w:val="28"/>
    </w:rPr>
  </w:style>
  <w:style w:type="paragraph" w:styleId="3">
    <w:name w:val="heading 3"/>
    <w:basedOn w:val="a0"/>
    <w:next w:val="a0"/>
    <w:link w:val="30"/>
    <w:uiPriority w:val="99"/>
    <w:qFormat/>
    <w:pPr>
      <w:keepNext/>
      <w:spacing w:after="0" w:line="280" w:lineRule="exact"/>
      <w:jc w:val="center"/>
      <w:outlineLvl w:val="2"/>
    </w:pPr>
    <w:rPr>
      <w:b/>
      <w:bCs/>
    </w:rPr>
  </w:style>
  <w:style w:type="paragraph" w:styleId="4">
    <w:name w:val="heading 4"/>
    <w:basedOn w:val="a0"/>
    <w:next w:val="a0"/>
    <w:link w:val="40"/>
    <w:uiPriority w:val="99"/>
    <w:qFormat/>
    <w:pPr>
      <w:keepNext/>
      <w:spacing w:line="360" w:lineRule="auto"/>
      <w:outlineLvl w:val="3"/>
    </w:pPr>
    <w:rPr>
      <w:b/>
      <w:bCs/>
      <w:szCs w:val="22"/>
    </w:rPr>
  </w:style>
  <w:style w:type="paragraph" w:styleId="5">
    <w:name w:val="heading 5"/>
    <w:basedOn w:val="a0"/>
    <w:next w:val="a0"/>
    <w:link w:val="50"/>
    <w:uiPriority w:val="99"/>
    <w:qFormat/>
    <w:pPr>
      <w:keepNext/>
      <w:outlineLvl w:val="4"/>
    </w:pPr>
    <w:rPr>
      <w:b/>
      <w:bCs/>
    </w:rPr>
  </w:style>
  <w:style w:type="paragraph" w:styleId="6">
    <w:name w:val="heading 6"/>
    <w:basedOn w:val="a0"/>
    <w:next w:val="a0"/>
    <w:link w:val="60"/>
    <w:uiPriority w:val="99"/>
    <w:qFormat/>
    <w:pPr>
      <w:keepNext/>
      <w:spacing w:line="360" w:lineRule="auto"/>
      <w:jc w:val="center"/>
      <w:outlineLvl w:val="5"/>
    </w:pPr>
    <w:rPr>
      <w:rFonts w:cs="RmzRashi"/>
      <w:b/>
      <w:bCs/>
      <w:szCs w:val="72"/>
    </w:rPr>
  </w:style>
  <w:style w:type="paragraph" w:styleId="7">
    <w:name w:val="heading 7"/>
    <w:basedOn w:val="a0"/>
    <w:next w:val="a0"/>
    <w:link w:val="70"/>
    <w:uiPriority w:val="99"/>
    <w:qFormat/>
    <w:pPr>
      <w:spacing w:before="240" w:after="60"/>
      <w:ind w:right="2124" w:hanging="709"/>
      <w:outlineLvl w:val="6"/>
    </w:pPr>
    <w:rPr>
      <w:rFonts w:ascii="Arial" w:hAnsi="Arial" w:cs="Miriam"/>
      <w:szCs w:val="20"/>
    </w:rPr>
  </w:style>
  <w:style w:type="paragraph" w:styleId="8">
    <w:name w:val="heading 8"/>
    <w:basedOn w:val="a0"/>
    <w:next w:val="a0"/>
    <w:link w:val="80"/>
    <w:uiPriority w:val="99"/>
    <w:qFormat/>
    <w:pPr>
      <w:spacing w:before="240" w:after="60"/>
      <w:ind w:right="2832" w:hanging="709"/>
      <w:outlineLvl w:val="7"/>
    </w:pPr>
    <w:rPr>
      <w:rFonts w:ascii="Arial" w:hAnsi="Arial" w:cs="Miriam"/>
      <w:i/>
      <w:iCs/>
      <w:szCs w:val="20"/>
    </w:rPr>
  </w:style>
  <w:style w:type="paragraph" w:styleId="9">
    <w:name w:val="heading 9"/>
    <w:basedOn w:val="a0"/>
    <w:next w:val="a0"/>
    <w:link w:val="90"/>
    <w:uiPriority w:val="99"/>
    <w:qFormat/>
    <w:pPr>
      <w:spacing w:before="240" w:after="60"/>
      <w:ind w:right="3540" w:hanging="709"/>
      <w:outlineLvl w:val="8"/>
    </w:pPr>
    <w:rPr>
      <w:rFonts w:ascii="Arial" w:hAnsi="Arial" w:cs="Miriam"/>
      <w:i/>
      <w:iCs/>
      <w:sz w:val="18"/>
      <w:szCs w:val="18"/>
    </w:rPr>
  </w:style>
  <w:style w:type="character" w:default="1" w:styleId="a1">
    <w:name w:val="Default Paragraph Font"/>
    <w:uiPriority w:val="99"/>
    <w:semiHidden/>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aliases w:val="כותרת 1 ישן תו"/>
    <w:basedOn w:val="a1"/>
    <w:link w:val="1"/>
    <w:uiPriority w:val="9"/>
    <w:rPr>
      <w:rFonts w:asciiTheme="majorHAnsi" w:eastAsiaTheme="majorEastAsia" w:hAnsiTheme="majorHAnsi" w:cstheme="majorBidi"/>
      <w:b/>
      <w:bCs/>
      <w:kern w:val="32"/>
      <w:sz w:val="32"/>
      <w:szCs w:val="32"/>
    </w:rPr>
  </w:style>
  <w:style w:type="character" w:customStyle="1" w:styleId="20">
    <w:name w:val="כותרת 2 תו"/>
    <w:basedOn w:val="a1"/>
    <w:link w:val="2"/>
    <w:uiPriority w:val="9"/>
    <w:semiHidden/>
    <w:rPr>
      <w:rFonts w:asciiTheme="majorHAnsi" w:eastAsiaTheme="majorEastAsia" w:hAnsiTheme="majorHAnsi" w:cstheme="majorBidi"/>
      <w:b/>
      <w:bCs/>
      <w:i/>
      <w:iCs/>
      <w:sz w:val="28"/>
      <w:szCs w:val="28"/>
    </w:rPr>
  </w:style>
  <w:style w:type="character" w:customStyle="1" w:styleId="30">
    <w:name w:val="כותרת 3 תו"/>
    <w:basedOn w:val="a1"/>
    <w:link w:val="3"/>
    <w:uiPriority w:val="9"/>
    <w:semiHidden/>
    <w:rPr>
      <w:rFonts w:asciiTheme="majorHAnsi" w:eastAsiaTheme="majorEastAsia" w:hAnsiTheme="majorHAnsi" w:cstheme="majorBidi"/>
      <w:b/>
      <w:bCs/>
      <w:sz w:val="26"/>
      <w:szCs w:val="26"/>
    </w:rPr>
  </w:style>
  <w:style w:type="character" w:customStyle="1" w:styleId="40">
    <w:name w:val="כותרת 4 תו"/>
    <w:basedOn w:val="a1"/>
    <w:link w:val="4"/>
    <w:uiPriority w:val="9"/>
    <w:semiHidden/>
    <w:rPr>
      <w:rFonts w:asciiTheme="minorHAnsi" w:eastAsiaTheme="minorEastAsia" w:hAnsiTheme="minorHAnsi" w:cstheme="minorBidi"/>
      <w:b/>
      <w:bCs/>
      <w:sz w:val="28"/>
      <w:szCs w:val="28"/>
    </w:rPr>
  </w:style>
  <w:style w:type="character" w:customStyle="1" w:styleId="50">
    <w:name w:val="כותרת 5 תו"/>
    <w:basedOn w:val="a1"/>
    <w:link w:val="5"/>
    <w:uiPriority w:val="9"/>
    <w:semiHidden/>
    <w:rPr>
      <w:rFonts w:asciiTheme="minorHAnsi" w:eastAsiaTheme="minorEastAsia" w:hAnsiTheme="minorHAnsi" w:cstheme="minorBidi"/>
      <w:b/>
      <w:bCs/>
      <w:i/>
      <w:iCs/>
      <w:sz w:val="26"/>
      <w:szCs w:val="26"/>
    </w:rPr>
  </w:style>
  <w:style w:type="character" w:customStyle="1" w:styleId="60">
    <w:name w:val="כותרת 6 תו"/>
    <w:basedOn w:val="a1"/>
    <w:link w:val="6"/>
    <w:uiPriority w:val="9"/>
    <w:semiHidden/>
    <w:rPr>
      <w:rFonts w:asciiTheme="minorHAnsi" w:eastAsiaTheme="minorEastAsia" w:hAnsiTheme="minorHAnsi" w:cstheme="minorBidi"/>
      <w:b/>
      <w:bCs/>
    </w:rPr>
  </w:style>
  <w:style w:type="character" w:customStyle="1" w:styleId="70">
    <w:name w:val="כותרת 7 תו"/>
    <w:basedOn w:val="a1"/>
    <w:link w:val="7"/>
    <w:uiPriority w:val="9"/>
    <w:semiHidden/>
    <w:rPr>
      <w:rFonts w:asciiTheme="minorHAnsi" w:eastAsiaTheme="minorEastAsia" w:hAnsiTheme="minorHAnsi" w:cstheme="minorBidi"/>
      <w:sz w:val="24"/>
      <w:szCs w:val="24"/>
    </w:rPr>
  </w:style>
  <w:style w:type="character" w:customStyle="1" w:styleId="80">
    <w:name w:val="כותרת 8 תו"/>
    <w:basedOn w:val="a1"/>
    <w:link w:val="8"/>
    <w:uiPriority w:val="9"/>
    <w:semiHidden/>
    <w:rPr>
      <w:rFonts w:asciiTheme="minorHAnsi" w:eastAsiaTheme="minorEastAsia" w:hAnsiTheme="minorHAnsi" w:cstheme="minorBidi"/>
      <w:i/>
      <w:iCs/>
      <w:sz w:val="24"/>
      <w:szCs w:val="24"/>
    </w:rPr>
  </w:style>
  <w:style w:type="character" w:customStyle="1" w:styleId="90">
    <w:name w:val="כותרת 9 תו"/>
    <w:basedOn w:val="a1"/>
    <w:link w:val="9"/>
    <w:uiPriority w:val="9"/>
    <w:semiHidden/>
    <w:rPr>
      <w:rFonts w:asciiTheme="majorHAnsi" w:eastAsiaTheme="majorEastAsia" w:hAnsiTheme="majorHAnsi" w:cstheme="majorBidi"/>
    </w:rPr>
  </w:style>
  <w:style w:type="paragraph" w:styleId="a4">
    <w:name w:val="Balloon Text"/>
    <w:basedOn w:val="a0"/>
    <w:link w:val="a5"/>
    <w:uiPriority w:val="99"/>
    <w:semiHidden/>
    <w:rsid w:val="00854F5A"/>
    <w:rPr>
      <w:rFonts w:ascii="Tahoma" w:hAnsi="Tahoma" w:cs="Tahoma"/>
      <w:sz w:val="16"/>
      <w:szCs w:val="16"/>
    </w:rPr>
  </w:style>
  <w:style w:type="character" w:customStyle="1" w:styleId="a5">
    <w:name w:val="טקסט בלונים תו"/>
    <w:basedOn w:val="a1"/>
    <w:link w:val="a4"/>
    <w:uiPriority w:val="99"/>
    <w:semiHidden/>
    <w:rPr>
      <w:rFonts w:ascii="Tahoma" w:hAnsi="Tahoma" w:cs="Tahoma"/>
      <w:sz w:val="16"/>
      <w:szCs w:val="16"/>
    </w:rPr>
  </w:style>
  <w:style w:type="paragraph" w:styleId="a6">
    <w:name w:val="footer"/>
    <w:basedOn w:val="a0"/>
    <w:link w:val="a7"/>
    <w:uiPriority w:val="99"/>
    <w:semiHidden/>
    <w:pPr>
      <w:tabs>
        <w:tab w:val="center" w:pos="4153"/>
        <w:tab w:val="right" w:pos="8306"/>
      </w:tabs>
      <w:spacing w:line="360" w:lineRule="auto"/>
    </w:pPr>
  </w:style>
  <w:style w:type="character" w:customStyle="1" w:styleId="a7">
    <w:name w:val="כותרת תחתונה תו"/>
    <w:basedOn w:val="a1"/>
    <w:link w:val="a6"/>
    <w:uiPriority w:val="99"/>
    <w:semiHidden/>
    <w:rPr>
      <w:rFonts w:cs="FrankRuehl"/>
      <w:sz w:val="24"/>
      <w:szCs w:val="24"/>
    </w:rPr>
  </w:style>
  <w:style w:type="character" w:styleId="a8">
    <w:name w:val="footnote reference"/>
    <w:basedOn w:val="a1"/>
    <w:uiPriority w:val="99"/>
    <w:semiHidden/>
    <w:rsid w:val="00F93CC7"/>
    <w:rPr>
      <w:rFonts w:ascii="FrankRuehl" w:hAnsi="FrankRuehl" w:cs="FrankRuehl"/>
      <w:sz w:val="20"/>
      <w:szCs w:val="20"/>
      <w:vertAlign w:val="superscript"/>
      <w:lang w:bidi="he-IL"/>
    </w:rPr>
  </w:style>
  <w:style w:type="paragraph" w:styleId="a9">
    <w:name w:val="footnote text"/>
    <w:basedOn w:val="a0"/>
    <w:link w:val="aa"/>
    <w:uiPriority w:val="99"/>
    <w:semiHidden/>
    <w:rsid w:val="00186621"/>
    <w:pPr>
      <w:spacing w:after="0" w:line="240" w:lineRule="auto"/>
      <w:ind w:left="142" w:hanging="142"/>
    </w:pPr>
    <w:rPr>
      <w:rFonts w:ascii="FrankRuehl" w:hAnsi="FrankRuehl"/>
      <w:szCs w:val="20"/>
    </w:rPr>
  </w:style>
  <w:style w:type="character" w:customStyle="1" w:styleId="syn1">
    <w:name w:val="syn1"/>
    <w:basedOn w:val="a1"/>
    <w:uiPriority w:val="99"/>
    <w:rsid w:val="00441631"/>
    <w:rPr>
      <w:rFonts w:cs="Times New Roman"/>
      <w:color w:val="000000"/>
    </w:rPr>
  </w:style>
  <w:style w:type="paragraph" w:styleId="ab">
    <w:name w:val="header"/>
    <w:basedOn w:val="a0"/>
    <w:link w:val="ac"/>
    <w:uiPriority w:val="99"/>
    <w:semiHidden/>
    <w:pPr>
      <w:tabs>
        <w:tab w:val="center" w:pos="4153"/>
        <w:tab w:val="right" w:pos="8306"/>
      </w:tabs>
      <w:spacing w:line="360" w:lineRule="auto"/>
      <w:jc w:val="center"/>
    </w:pPr>
    <w:rPr>
      <w:szCs w:val="20"/>
    </w:rPr>
  </w:style>
  <w:style w:type="character" w:customStyle="1" w:styleId="ac">
    <w:name w:val="כותרת עליונה תו"/>
    <w:basedOn w:val="a1"/>
    <w:link w:val="ab"/>
    <w:uiPriority w:val="99"/>
    <w:semiHidden/>
    <w:rPr>
      <w:rFonts w:cs="FrankRuehl"/>
      <w:sz w:val="24"/>
      <w:szCs w:val="24"/>
    </w:rPr>
  </w:style>
  <w:style w:type="character" w:styleId="ad">
    <w:name w:val="page number"/>
    <w:basedOn w:val="a1"/>
    <w:uiPriority w:val="99"/>
    <w:semiHidden/>
    <w:rPr>
      <w:rFonts w:cs="FrankRuehl"/>
      <w:sz w:val="22"/>
      <w:szCs w:val="22"/>
      <w:lang w:bidi="he-IL"/>
    </w:rPr>
  </w:style>
  <w:style w:type="paragraph" w:styleId="TOC1">
    <w:name w:val="toc 1"/>
    <w:basedOn w:val="a0"/>
    <w:next w:val="a0"/>
    <w:autoRedefine/>
    <w:uiPriority w:val="99"/>
    <w:semiHidden/>
    <w:pPr>
      <w:tabs>
        <w:tab w:val="right" w:pos="8313"/>
      </w:tabs>
      <w:spacing w:before="360"/>
    </w:pPr>
    <w:rPr>
      <w:rFonts w:ascii="Arial" w:hAnsi="Arial"/>
      <w:szCs w:val="33"/>
    </w:rPr>
  </w:style>
  <w:style w:type="paragraph" w:styleId="TOC2">
    <w:name w:val="toc 2"/>
    <w:basedOn w:val="a0"/>
    <w:next w:val="a0"/>
    <w:autoRedefine/>
    <w:uiPriority w:val="99"/>
    <w:semiHidden/>
    <w:pPr>
      <w:tabs>
        <w:tab w:val="right" w:pos="8313"/>
      </w:tabs>
      <w:ind w:right="240"/>
    </w:pPr>
    <w:rPr>
      <w:szCs w:val="28"/>
    </w:rPr>
  </w:style>
  <w:style w:type="paragraph" w:styleId="TOC3">
    <w:name w:val="toc 3"/>
    <w:basedOn w:val="a0"/>
    <w:next w:val="a0"/>
    <w:autoRedefine/>
    <w:uiPriority w:val="99"/>
    <w:semiHidden/>
    <w:pPr>
      <w:tabs>
        <w:tab w:val="right" w:pos="8313"/>
      </w:tabs>
      <w:ind w:right="482"/>
      <w:jc w:val="left"/>
    </w:pPr>
    <w:rPr>
      <w:szCs w:val="28"/>
    </w:rPr>
  </w:style>
  <w:style w:type="paragraph" w:styleId="TOC4">
    <w:name w:val="toc 4"/>
    <w:basedOn w:val="a0"/>
    <w:next w:val="a0"/>
    <w:autoRedefine/>
    <w:uiPriority w:val="99"/>
    <w:semiHidden/>
    <w:pPr>
      <w:tabs>
        <w:tab w:val="right" w:pos="8313"/>
      </w:tabs>
      <w:ind w:right="720"/>
      <w:jc w:val="left"/>
    </w:pPr>
    <w:rPr>
      <w:szCs w:val="20"/>
    </w:rPr>
  </w:style>
  <w:style w:type="paragraph" w:styleId="TOC5">
    <w:name w:val="toc 5"/>
    <w:basedOn w:val="a0"/>
    <w:next w:val="a0"/>
    <w:autoRedefine/>
    <w:uiPriority w:val="99"/>
    <w:semiHidden/>
    <w:pPr>
      <w:tabs>
        <w:tab w:val="right" w:pos="8313"/>
      </w:tabs>
      <w:ind w:right="960"/>
      <w:jc w:val="left"/>
    </w:pPr>
    <w:rPr>
      <w:rFonts w:cs="Miriam"/>
    </w:rPr>
  </w:style>
  <w:style w:type="paragraph" w:styleId="TOC6">
    <w:name w:val="toc 6"/>
    <w:basedOn w:val="a0"/>
    <w:next w:val="a0"/>
    <w:autoRedefine/>
    <w:uiPriority w:val="99"/>
    <w:semiHidden/>
    <w:pPr>
      <w:tabs>
        <w:tab w:val="right" w:pos="8313"/>
      </w:tabs>
      <w:ind w:right="1200"/>
      <w:jc w:val="left"/>
    </w:pPr>
    <w:rPr>
      <w:rFonts w:cs="Miriam"/>
    </w:rPr>
  </w:style>
  <w:style w:type="paragraph" w:styleId="TOC7">
    <w:name w:val="toc 7"/>
    <w:basedOn w:val="a0"/>
    <w:next w:val="a0"/>
    <w:autoRedefine/>
    <w:uiPriority w:val="99"/>
    <w:semiHidden/>
    <w:pPr>
      <w:tabs>
        <w:tab w:val="right" w:pos="8313"/>
      </w:tabs>
      <w:ind w:right="1440"/>
      <w:jc w:val="left"/>
    </w:pPr>
    <w:rPr>
      <w:rFonts w:cs="Miriam"/>
    </w:rPr>
  </w:style>
  <w:style w:type="paragraph" w:styleId="TOC8">
    <w:name w:val="toc 8"/>
    <w:basedOn w:val="a0"/>
    <w:next w:val="a0"/>
    <w:autoRedefine/>
    <w:uiPriority w:val="99"/>
    <w:semiHidden/>
    <w:pPr>
      <w:tabs>
        <w:tab w:val="right" w:pos="8313"/>
      </w:tabs>
      <w:ind w:right="1680"/>
      <w:jc w:val="left"/>
    </w:pPr>
    <w:rPr>
      <w:rFonts w:cs="Miriam"/>
    </w:rPr>
  </w:style>
  <w:style w:type="paragraph" w:styleId="TOC9">
    <w:name w:val="toc 9"/>
    <w:basedOn w:val="a0"/>
    <w:next w:val="a0"/>
    <w:autoRedefine/>
    <w:uiPriority w:val="99"/>
    <w:semiHidden/>
    <w:pPr>
      <w:tabs>
        <w:tab w:val="right" w:pos="8313"/>
      </w:tabs>
      <w:ind w:right="1920"/>
      <w:jc w:val="left"/>
    </w:pPr>
    <w:rPr>
      <w:rFonts w:cs="Miriam"/>
    </w:rPr>
  </w:style>
  <w:style w:type="paragraph" w:customStyle="1" w:styleId="ae">
    <w:name w:val="הערות"/>
    <w:basedOn w:val="a0"/>
    <w:uiPriority w:val="99"/>
    <w:semiHidden/>
    <w:pPr>
      <w:spacing w:line="240" w:lineRule="auto"/>
      <w:ind w:right="284" w:hanging="284"/>
    </w:pPr>
  </w:style>
  <w:style w:type="paragraph" w:customStyle="1" w:styleId="af">
    <w:name w:val="פרקים"/>
    <w:basedOn w:val="a0"/>
    <w:uiPriority w:val="99"/>
    <w:semiHidden/>
    <w:pPr>
      <w:jc w:val="center"/>
    </w:pPr>
    <w:rPr>
      <w:b/>
      <w:bCs/>
      <w:szCs w:val="36"/>
    </w:rPr>
  </w:style>
  <w:style w:type="paragraph" w:customStyle="1" w:styleId="af0">
    <w:name w:val="ציטטה"/>
    <w:basedOn w:val="a0"/>
    <w:link w:val="af1"/>
    <w:uiPriority w:val="99"/>
    <w:rsid w:val="007E149A"/>
    <w:pPr>
      <w:ind w:left="340"/>
    </w:pPr>
  </w:style>
  <w:style w:type="paragraph" w:customStyle="1" w:styleId="af2">
    <w:name w:val="כניסה"/>
    <w:basedOn w:val="a0"/>
    <w:uiPriority w:val="99"/>
    <w:semiHidden/>
    <w:pPr>
      <w:ind w:left="1247" w:right="1304"/>
    </w:pPr>
    <w:rPr>
      <w:rFonts w:cs="David"/>
    </w:rPr>
  </w:style>
  <w:style w:type="paragraph" w:styleId="af3">
    <w:name w:val="Body Text"/>
    <w:basedOn w:val="a0"/>
    <w:link w:val="af4"/>
    <w:uiPriority w:val="99"/>
    <w:semiHidden/>
    <w:pPr>
      <w:spacing w:line="220" w:lineRule="exact"/>
    </w:pPr>
  </w:style>
  <w:style w:type="character" w:customStyle="1" w:styleId="af4">
    <w:name w:val="גוף טקסט תו"/>
    <w:basedOn w:val="a1"/>
    <w:link w:val="af3"/>
    <w:uiPriority w:val="99"/>
    <w:semiHidden/>
    <w:rPr>
      <w:rFonts w:cs="FrankRuehl"/>
      <w:sz w:val="24"/>
      <w:szCs w:val="24"/>
    </w:rPr>
  </w:style>
  <w:style w:type="paragraph" w:styleId="af5">
    <w:name w:val="endnote text"/>
    <w:basedOn w:val="a0"/>
    <w:link w:val="af6"/>
    <w:uiPriority w:val="99"/>
    <w:semiHidden/>
  </w:style>
  <w:style w:type="character" w:customStyle="1" w:styleId="af6">
    <w:name w:val="טקסט הערת סיום תו"/>
    <w:basedOn w:val="a1"/>
    <w:link w:val="af5"/>
    <w:uiPriority w:val="99"/>
    <w:semiHidden/>
    <w:rPr>
      <w:rFonts w:cs="FrankRuehl"/>
      <w:sz w:val="20"/>
      <w:szCs w:val="20"/>
    </w:rPr>
  </w:style>
  <w:style w:type="character" w:styleId="af7">
    <w:name w:val="endnote reference"/>
    <w:basedOn w:val="a1"/>
    <w:uiPriority w:val="99"/>
    <w:semiHidden/>
    <w:rPr>
      <w:rFonts w:cs="FrankRuehl"/>
      <w:vertAlign w:val="superscript"/>
      <w:lang w:bidi="he-IL"/>
    </w:rPr>
  </w:style>
  <w:style w:type="paragraph" w:styleId="21">
    <w:name w:val="Body Text 2"/>
    <w:basedOn w:val="a0"/>
    <w:link w:val="22"/>
    <w:uiPriority w:val="99"/>
    <w:semiHidden/>
    <w:rPr>
      <w:u w:val="single"/>
    </w:rPr>
  </w:style>
  <w:style w:type="character" w:customStyle="1" w:styleId="22">
    <w:name w:val="גוף טקסט 2 תו"/>
    <w:basedOn w:val="a1"/>
    <w:link w:val="21"/>
    <w:uiPriority w:val="99"/>
    <w:semiHidden/>
    <w:rPr>
      <w:rFonts w:cs="FrankRuehl"/>
      <w:sz w:val="24"/>
      <w:szCs w:val="24"/>
    </w:rPr>
  </w:style>
  <w:style w:type="paragraph" w:styleId="af8">
    <w:name w:val="Document Map"/>
    <w:basedOn w:val="a0"/>
    <w:link w:val="af9"/>
    <w:uiPriority w:val="99"/>
    <w:semiHidden/>
    <w:pPr>
      <w:shd w:val="clear" w:color="auto" w:fill="000080"/>
    </w:pPr>
    <w:rPr>
      <w:rFonts w:ascii="Tahoma" w:hAnsi="Tahoma" w:cs="Miriam"/>
    </w:rPr>
  </w:style>
  <w:style w:type="character" w:customStyle="1" w:styleId="af9">
    <w:name w:val="מפת מסמך תו"/>
    <w:basedOn w:val="a1"/>
    <w:link w:val="af8"/>
    <w:uiPriority w:val="99"/>
    <w:semiHidden/>
    <w:rPr>
      <w:rFonts w:ascii="Tahoma" w:hAnsi="Tahoma" w:cs="Tahoma"/>
      <w:sz w:val="16"/>
      <w:szCs w:val="16"/>
    </w:rPr>
  </w:style>
  <w:style w:type="character" w:styleId="Hyperlink">
    <w:name w:val="Hyperlink"/>
    <w:basedOn w:val="a1"/>
    <w:uiPriority w:val="99"/>
    <w:semiHidden/>
    <w:rPr>
      <w:rFonts w:cs="FrankRuehl"/>
      <w:color w:val="0000FF"/>
      <w:u w:val="single"/>
      <w:lang w:bidi="he-IL"/>
    </w:rPr>
  </w:style>
  <w:style w:type="paragraph" w:styleId="31">
    <w:name w:val="Body Text 3"/>
    <w:basedOn w:val="a0"/>
    <w:link w:val="32"/>
    <w:uiPriority w:val="99"/>
    <w:semiHidden/>
    <w:rPr>
      <w:szCs w:val="16"/>
    </w:rPr>
  </w:style>
  <w:style w:type="character" w:customStyle="1" w:styleId="32">
    <w:name w:val="גוף טקסט 3 תו"/>
    <w:basedOn w:val="a1"/>
    <w:link w:val="31"/>
    <w:uiPriority w:val="99"/>
    <w:semiHidden/>
    <w:rPr>
      <w:rFonts w:cs="FrankRuehl"/>
      <w:sz w:val="16"/>
      <w:szCs w:val="16"/>
    </w:rPr>
  </w:style>
  <w:style w:type="paragraph" w:styleId="afa">
    <w:name w:val="Block Text"/>
    <w:basedOn w:val="a0"/>
    <w:uiPriority w:val="99"/>
    <w:semiHidden/>
    <w:pPr>
      <w:ind w:left="340"/>
    </w:pPr>
  </w:style>
  <w:style w:type="paragraph" w:customStyle="1" w:styleId="afb">
    <w:name w:val="אזכורים"/>
    <w:basedOn w:val="a0"/>
    <w:uiPriority w:val="99"/>
    <w:semiHidden/>
    <w:pPr>
      <w:tabs>
        <w:tab w:val="left" w:pos="567"/>
      </w:tabs>
      <w:spacing w:after="40" w:line="270" w:lineRule="exact"/>
      <w:ind w:right="567" w:hanging="567"/>
    </w:pPr>
  </w:style>
  <w:style w:type="paragraph" w:styleId="23">
    <w:name w:val="Body Text Indent 2"/>
    <w:basedOn w:val="a0"/>
    <w:link w:val="24"/>
    <w:uiPriority w:val="99"/>
    <w:semiHidden/>
    <w:pPr>
      <w:spacing w:line="360" w:lineRule="auto"/>
      <w:ind w:right="720"/>
    </w:pPr>
  </w:style>
  <w:style w:type="character" w:customStyle="1" w:styleId="24">
    <w:name w:val="כניסה בגוף טקסט 2 תו"/>
    <w:basedOn w:val="a1"/>
    <w:link w:val="23"/>
    <w:uiPriority w:val="99"/>
    <w:semiHidden/>
    <w:rPr>
      <w:rFonts w:cs="FrankRuehl"/>
      <w:sz w:val="24"/>
      <w:szCs w:val="24"/>
    </w:rPr>
  </w:style>
  <w:style w:type="paragraph" w:customStyle="1" w:styleId="afc">
    <w:name w:val="כותרת פרשת השבוע"/>
    <w:basedOn w:val="1"/>
    <w:autoRedefine/>
    <w:uiPriority w:val="99"/>
    <w:semiHidden/>
    <w:rsid w:val="00594FDA"/>
    <w:rPr>
      <w:rFonts w:cs="FrankRuehl"/>
    </w:rPr>
  </w:style>
  <w:style w:type="paragraph" w:customStyle="1" w:styleId="afd">
    <w:name w:val="כותרת ראשית"/>
    <w:basedOn w:val="2"/>
    <w:uiPriority w:val="99"/>
    <w:semiHidden/>
    <w:rsid w:val="009116EC"/>
    <w:pPr>
      <w:spacing w:before="120"/>
      <w:jc w:val="center"/>
    </w:pPr>
    <w:rPr>
      <w:szCs w:val="32"/>
    </w:rPr>
  </w:style>
  <w:style w:type="paragraph" w:customStyle="1" w:styleId="11">
    <w:name w:val="סגנון1"/>
    <w:basedOn w:val="a0"/>
    <w:autoRedefine/>
    <w:uiPriority w:val="99"/>
    <w:semiHidden/>
    <w:rsid w:val="002118F7"/>
  </w:style>
  <w:style w:type="paragraph" w:customStyle="1" w:styleId="afe">
    <w:name w:val="הדגשה חדש"/>
    <w:basedOn w:val="a0"/>
    <w:link w:val="aff"/>
    <w:autoRedefine/>
    <w:uiPriority w:val="99"/>
    <w:semiHidden/>
    <w:rsid w:val="002118F7"/>
    <w:pPr>
      <w:ind w:left="340"/>
    </w:pPr>
    <w:rPr>
      <w:b/>
      <w:bCs/>
      <w:spacing w:val="16"/>
      <w:sz w:val="26"/>
    </w:rPr>
  </w:style>
  <w:style w:type="character" w:customStyle="1" w:styleId="aff">
    <w:name w:val="הדגשה חדש תו"/>
    <w:basedOn w:val="a1"/>
    <w:link w:val="afe"/>
    <w:uiPriority w:val="99"/>
    <w:locked/>
    <w:rsid w:val="002118F7"/>
    <w:rPr>
      <w:rFonts w:cs="FrankRuehl"/>
      <w:b/>
      <w:bCs/>
      <w:spacing w:val="16"/>
      <w:sz w:val="24"/>
      <w:szCs w:val="24"/>
      <w:lang w:val="en-US" w:eastAsia="en-US" w:bidi="he-IL"/>
    </w:rPr>
  </w:style>
  <w:style w:type="paragraph" w:customStyle="1" w:styleId="060">
    <w:name w:val="סגנון ציטטה + לפני:  0.6 ס''מ אחרי:  0 ס''מ"/>
    <w:basedOn w:val="af0"/>
    <w:autoRedefine/>
    <w:uiPriority w:val="99"/>
    <w:semiHidden/>
    <w:rsid w:val="00CB0FF0"/>
  </w:style>
  <w:style w:type="character" w:styleId="FollowedHyperlink">
    <w:name w:val="FollowedHyperlink"/>
    <w:basedOn w:val="a1"/>
    <w:uiPriority w:val="99"/>
    <w:semiHidden/>
    <w:rsid w:val="00AB57B5"/>
    <w:rPr>
      <w:rFonts w:cs="Times New Roman"/>
      <w:color w:val="800080"/>
      <w:u w:val="single"/>
    </w:rPr>
  </w:style>
  <w:style w:type="character" w:styleId="HTMLCite">
    <w:name w:val="HTML Cite"/>
    <w:basedOn w:val="a1"/>
    <w:uiPriority w:val="99"/>
    <w:semiHidden/>
    <w:rsid w:val="00AB57B5"/>
    <w:rPr>
      <w:rFonts w:cs="Times New Roman"/>
      <w:i/>
      <w:iCs/>
    </w:rPr>
  </w:style>
  <w:style w:type="character" w:styleId="HTMLCode">
    <w:name w:val="HTML Code"/>
    <w:basedOn w:val="a1"/>
    <w:uiPriority w:val="99"/>
    <w:semiHidden/>
    <w:rsid w:val="00AB57B5"/>
    <w:rPr>
      <w:rFonts w:ascii="Courier New" w:hAnsi="Courier New" w:cs="Courier New"/>
      <w:sz w:val="20"/>
      <w:szCs w:val="20"/>
    </w:rPr>
  </w:style>
  <w:style w:type="character" w:styleId="HTMLDefinition">
    <w:name w:val="HTML Definition"/>
    <w:basedOn w:val="a1"/>
    <w:uiPriority w:val="99"/>
    <w:semiHidden/>
    <w:rsid w:val="00AB57B5"/>
    <w:rPr>
      <w:rFonts w:cs="Times New Roman"/>
      <w:i/>
      <w:iCs/>
    </w:rPr>
  </w:style>
  <w:style w:type="character" w:styleId="HTMLVariable">
    <w:name w:val="HTML Variable"/>
    <w:basedOn w:val="a1"/>
    <w:uiPriority w:val="99"/>
    <w:semiHidden/>
    <w:rsid w:val="00AB57B5"/>
    <w:rPr>
      <w:rFonts w:cs="Times New Roman"/>
      <w:i/>
      <w:iCs/>
    </w:rPr>
  </w:style>
  <w:style w:type="paragraph" w:styleId="HTML">
    <w:name w:val="HTML Preformatted"/>
    <w:basedOn w:val="a0"/>
    <w:link w:val="HTML0"/>
    <w:uiPriority w:val="99"/>
    <w:semiHidden/>
    <w:rsid w:val="00AB57B5"/>
    <w:rPr>
      <w:rFonts w:ascii="Courier New" w:hAnsi="Courier New" w:cs="Courier New"/>
      <w:szCs w:val="20"/>
    </w:rPr>
  </w:style>
  <w:style w:type="character" w:customStyle="1" w:styleId="HTML0">
    <w:name w:val="HTML מעוצב מראש תו"/>
    <w:basedOn w:val="a1"/>
    <w:link w:val="HTML"/>
    <w:uiPriority w:val="99"/>
    <w:semiHidden/>
    <w:rPr>
      <w:rFonts w:ascii="Courier New" w:hAnsi="Courier New" w:cs="Courier New"/>
      <w:sz w:val="20"/>
      <w:szCs w:val="20"/>
    </w:rPr>
  </w:style>
  <w:style w:type="paragraph" w:styleId="NormalWeb">
    <w:name w:val="Normal (Web)"/>
    <w:basedOn w:val="a0"/>
    <w:uiPriority w:val="99"/>
    <w:semiHidden/>
    <w:rsid w:val="00AB57B5"/>
    <w:rPr>
      <w:rFonts w:cs="Times New Roman"/>
    </w:rPr>
  </w:style>
  <w:style w:type="table" w:styleId="-1">
    <w:name w:val="Table 3D effects 1"/>
    <w:basedOn w:val="a2"/>
    <w:uiPriority w:val="99"/>
    <w:semiHidden/>
    <w:rsid w:val="00AB57B5"/>
    <w:pPr>
      <w:autoSpaceDE w:val="0"/>
      <w:autoSpaceDN w:val="0"/>
      <w:bidi/>
      <w:spacing w:after="120" w:line="300" w:lineRule="exact"/>
      <w:jc w:val="both"/>
    </w:pPr>
    <w:rPr>
      <w:sz w:val="20"/>
      <w:szCs w:val="20"/>
    </w:rPr>
    <w:tblPr>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2">
    <w:name w:val="Table 3D effects 2"/>
    <w:basedOn w:val="a2"/>
    <w:uiPriority w:val="99"/>
    <w:semiHidden/>
    <w:rsid w:val="00AB57B5"/>
    <w:pPr>
      <w:autoSpaceDE w:val="0"/>
      <w:autoSpaceDN w:val="0"/>
      <w:bidi/>
      <w:spacing w:after="120" w:line="300" w:lineRule="exact"/>
      <w:jc w:val="both"/>
    </w:pPr>
    <w:rPr>
      <w:sz w:val="20"/>
      <w:szCs w:val="20"/>
    </w:rPr>
    <w:tblPr>
      <w:tblStyleRowBandSize w:val="1"/>
      <w:tblCellMar>
        <w:top w:w="0" w:type="dxa"/>
        <w:left w:w="108" w:type="dxa"/>
        <w:bottom w:w="0" w:type="dxa"/>
        <w:right w:w="108" w:type="dxa"/>
      </w:tblCellMar>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3">
    <w:name w:val="Table 3D effects 3"/>
    <w:basedOn w:val="a2"/>
    <w:uiPriority w:val="99"/>
    <w:semiHidden/>
    <w:rsid w:val="00AB57B5"/>
    <w:pPr>
      <w:autoSpaceDE w:val="0"/>
      <w:autoSpaceDN w:val="0"/>
      <w:bidi/>
      <w:spacing w:after="120" w:line="300" w:lineRule="exact"/>
      <w:jc w:val="both"/>
    </w:pPr>
    <w:rPr>
      <w:sz w:val="20"/>
      <w:szCs w:val="20"/>
    </w:rPr>
    <w:tblPr>
      <w:tblStyleRowBandSize w:val="1"/>
      <w:tblStyleColBandSize w:val="1"/>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paragraph" w:styleId="aff0">
    <w:name w:val="Salutation"/>
    <w:basedOn w:val="a0"/>
    <w:next w:val="a0"/>
    <w:link w:val="aff1"/>
    <w:uiPriority w:val="99"/>
    <w:semiHidden/>
    <w:rsid w:val="00AB57B5"/>
  </w:style>
  <w:style w:type="character" w:customStyle="1" w:styleId="aff1">
    <w:name w:val="ברכה תו"/>
    <w:basedOn w:val="a1"/>
    <w:link w:val="aff0"/>
    <w:uiPriority w:val="99"/>
    <w:semiHidden/>
    <w:rPr>
      <w:rFonts w:cs="FrankRuehl"/>
      <w:sz w:val="24"/>
      <w:szCs w:val="24"/>
    </w:rPr>
  </w:style>
  <w:style w:type="character" w:styleId="HTML1">
    <w:name w:val="HTML Sample"/>
    <w:basedOn w:val="a1"/>
    <w:uiPriority w:val="99"/>
    <w:semiHidden/>
    <w:rsid w:val="00AB57B5"/>
    <w:rPr>
      <w:rFonts w:ascii="Courier New" w:hAnsi="Courier New" w:cs="Courier New"/>
    </w:rPr>
  </w:style>
  <w:style w:type="character" w:styleId="aff2">
    <w:name w:val="Emphasis"/>
    <w:basedOn w:val="a1"/>
    <w:uiPriority w:val="99"/>
    <w:qFormat/>
    <w:rsid w:val="00C97609"/>
    <w:rPr>
      <w:rFonts w:ascii="Arial" w:hAnsi="Arial" w:cs="FrankRuehl"/>
      <w:bCs/>
      <w:spacing w:val="16"/>
      <w:sz w:val="24"/>
      <w:szCs w:val="24"/>
      <w:lang w:bidi="he-IL"/>
    </w:rPr>
  </w:style>
  <w:style w:type="paragraph" w:styleId="aff3">
    <w:name w:val="List Continue"/>
    <w:basedOn w:val="a0"/>
    <w:uiPriority w:val="99"/>
    <w:semiHidden/>
    <w:rsid w:val="00AB57B5"/>
    <w:pPr>
      <w:ind w:left="283"/>
    </w:pPr>
  </w:style>
  <w:style w:type="paragraph" w:styleId="25">
    <w:name w:val="List Continue 2"/>
    <w:basedOn w:val="a0"/>
    <w:uiPriority w:val="99"/>
    <w:semiHidden/>
    <w:rsid w:val="00AB57B5"/>
    <w:pPr>
      <w:ind w:left="566"/>
    </w:pPr>
  </w:style>
  <w:style w:type="paragraph" w:styleId="33">
    <w:name w:val="List Continue 3"/>
    <w:basedOn w:val="a0"/>
    <w:uiPriority w:val="99"/>
    <w:semiHidden/>
    <w:rsid w:val="00AB57B5"/>
    <w:pPr>
      <w:ind w:left="849"/>
    </w:pPr>
  </w:style>
  <w:style w:type="paragraph" w:styleId="41">
    <w:name w:val="List Continue 4"/>
    <w:basedOn w:val="a0"/>
    <w:uiPriority w:val="99"/>
    <w:semiHidden/>
    <w:rsid w:val="00AB57B5"/>
    <w:pPr>
      <w:ind w:left="1132"/>
    </w:pPr>
  </w:style>
  <w:style w:type="paragraph" w:styleId="51">
    <w:name w:val="List Continue 5"/>
    <w:basedOn w:val="a0"/>
    <w:uiPriority w:val="99"/>
    <w:semiHidden/>
    <w:rsid w:val="00AB57B5"/>
    <w:pPr>
      <w:ind w:left="1415"/>
    </w:pPr>
  </w:style>
  <w:style w:type="character" w:styleId="aff4">
    <w:name w:val="Strong"/>
    <w:basedOn w:val="a1"/>
    <w:uiPriority w:val="99"/>
    <w:qFormat/>
    <w:rsid w:val="00AB57B5"/>
    <w:rPr>
      <w:rFonts w:cs="Times New Roman"/>
      <w:b/>
      <w:bCs/>
    </w:rPr>
  </w:style>
  <w:style w:type="paragraph" w:styleId="aff5">
    <w:name w:val="Signature"/>
    <w:basedOn w:val="a0"/>
    <w:link w:val="aff6"/>
    <w:uiPriority w:val="99"/>
    <w:semiHidden/>
    <w:rsid w:val="00AB57B5"/>
    <w:pPr>
      <w:ind w:left="4252"/>
    </w:pPr>
  </w:style>
  <w:style w:type="character" w:customStyle="1" w:styleId="aff6">
    <w:name w:val="חתימה תו"/>
    <w:basedOn w:val="a1"/>
    <w:link w:val="aff5"/>
    <w:uiPriority w:val="99"/>
    <w:semiHidden/>
    <w:rPr>
      <w:rFonts w:cs="FrankRuehl"/>
      <w:sz w:val="24"/>
      <w:szCs w:val="24"/>
    </w:rPr>
  </w:style>
  <w:style w:type="paragraph" w:styleId="aff7">
    <w:name w:val="E-mail Signature"/>
    <w:basedOn w:val="a0"/>
    <w:link w:val="aff8"/>
    <w:uiPriority w:val="99"/>
    <w:semiHidden/>
    <w:rsid w:val="00AB57B5"/>
  </w:style>
  <w:style w:type="character" w:customStyle="1" w:styleId="aff8">
    <w:name w:val="חתימת דואר אלקטרוני תו"/>
    <w:basedOn w:val="a1"/>
    <w:link w:val="aff7"/>
    <w:uiPriority w:val="99"/>
    <w:semiHidden/>
    <w:rPr>
      <w:rFonts w:cs="FrankRuehl"/>
      <w:sz w:val="24"/>
      <w:szCs w:val="24"/>
    </w:rPr>
  </w:style>
  <w:style w:type="table" w:styleId="aff9">
    <w:name w:val="Table Elegant"/>
    <w:basedOn w:val="a2"/>
    <w:uiPriority w:val="99"/>
    <w:semiHidden/>
    <w:rsid w:val="00AB57B5"/>
    <w:pPr>
      <w:autoSpaceDE w:val="0"/>
      <w:autoSpaceDN w:val="0"/>
      <w:bidi/>
      <w:spacing w:after="120" w:line="300" w:lineRule="exact"/>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table" w:styleId="12">
    <w:name w:val="Table Subtle 1"/>
    <w:basedOn w:val="a2"/>
    <w:uiPriority w:val="99"/>
    <w:semiHidden/>
    <w:rsid w:val="00AB57B5"/>
    <w:pPr>
      <w:autoSpaceDE w:val="0"/>
      <w:autoSpaceDN w:val="0"/>
      <w:bidi/>
      <w:spacing w:after="120" w:line="300" w:lineRule="exact"/>
      <w:jc w:val="both"/>
    </w:pPr>
    <w:rPr>
      <w:sz w:val="20"/>
      <w:szCs w:val="20"/>
    </w:rPr>
    <w:tblPr>
      <w:tblStyleRowBandSize w:val="1"/>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26">
    <w:name w:val="Table Subtle 2"/>
    <w:basedOn w:val="a2"/>
    <w:uiPriority w:val="99"/>
    <w:semiHidden/>
    <w:rsid w:val="00AB57B5"/>
    <w:pPr>
      <w:autoSpaceDE w:val="0"/>
      <w:autoSpaceDN w:val="0"/>
      <w:bidi/>
      <w:spacing w:after="120" w:line="300" w:lineRule="exact"/>
      <w:jc w:val="both"/>
    </w:pPr>
    <w:rPr>
      <w:sz w:val="20"/>
      <w:szCs w:val="20"/>
    </w:rPr>
    <w:tblPr>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affa">
    <w:name w:val="Table Professional"/>
    <w:basedOn w:val="a2"/>
    <w:uiPriority w:val="99"/>
    <w:semiHidden/>
    <w:rsid w:val="00AB57B5"/>
    <w:pPr>
      <w:autoSpaceDE w:val="0"/>
      <w:autoSpaceDN w:val="0"/>
      <w:bidi/>
      <w:spacing w:after="120" w:line="300" w:lineRule="exact"/>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affb">
    <w:name w:val="Table Contemporary"/>
    <w:basedOn w:val="a2"/>
    <w:uiPriority w:val="99"/>
    <w:semiHidden/>
    <w:rsid w:val="00AB57B5"/>
    <w:pPr>
      <w:autoSpaceDE w:val="0"/>
      <w:autoSpaceDN w:val="0"/>
      <w:bidi/>
      <w:spacing w:after="120" w:line="300" w:lineRule="exact"/>
      <w:jc w:val="both"/>
    </w:pPr>
    <w:rPr>
      <w:sz w:val="20"/>
      <w:szCs w:val="20"/>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13">
    <w:name w:val="Table Simple 1"/>
    <w:basedOn w:val="a2"/>
    <w:uiPriority w:val="99"/>
    <w:semiHidden/>
    <w:rsid w:val="00AB57B5"/>
    <w:pPr>
      <w:autoSpaceDE w:val="0"/>
      <w:autoSpaceDN w:val="0"/>
      <w:bidi/>
      <w:spacing w:after="120" w:line="300" w:lineRule="exact"/>
      <w:jc w:val="both"/>
    </w:pPr>
    <w:rPr>
      <w:sz w:val="20"/>
      <w:szCs w:val="20"/>
    </w:rPr>
    <w:tblPr>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7">
    <w:name w:val="Table Simple 2"/>
    <w:basedOn w:val="a2"/>
    <w:uiPriority w:val="99"/>
    <w:semiHidden/>
    <w:rsid w:val="00AB57B5"/>
    <w:pPr>
      <w:autoSpaceDE w:val="0"/>
      <w:autoSpaceDN w:val="0"/>
      <w:bidi/>
      <w:spacing w:after="120" w:line="300" w:lineRule="exact"/>
      <w:jc w:val="both"/>
    </w:pPr>
    <w:rPr>
      <w:sz w:val="20"/>
      <w:szCs w:val="20"/>
    </w:rPr>
    <w:tblPr>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34">
    <w:name w:val="Table Simple 3"/>
    <w:basedOn w:val="a2"/>
    <w:uiPriority w:val="99"/>
    <w:semiHidden/>
    <w:rsid w:val="00AB57B5"/>
    <w:pPr>
      <w:autoSpaceDE w:val="0"/>
      <w:autoSpaceDN w:val="0"/>
      <w:bidi/>
      <w:spacing w:after="120" w:line="300" w:lineRule="exact"/>
      <w:jc w:val="both"/>
    </w:pPr>
    <w:rPr>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14">
    <w:name w:val="Table Colorful 1"/>
    <w:basedOn w:val="a2"/>
    <w:uiPriority w:val="99"/>
    <w:semiHidden/>
    <w:rsid w:val="00AB57B5"/>
    <w:pPr>
      <w:autoSpaceDE w:val="0"/>
      <w:autoSpaceDN w:val="0"/>
      <w:bidi/>
      <w:spacing w:after="120" w:line="300" w:lineRule="exact"/>
      <w:jc w:val="both"/>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28">
    <w:name w:val="Table Colorful 2"/>
    <w:basedOn w:val="a2"/>
    <w:uiPriority w:val="99"/>
    <w:semiHidden/>
    <w:rsid w:val="00AB57B5"/>
    <w:pPr>
      <w:autoSpaceDE w:val="0"/>
      <w:autoSpaceDN w:val="0"/>
      <w:bidi/>
      <w:spacing w:after="120" w:line="300" w:lineRule="exact"/>
      <w:jc w:val="both"/>
    </w:pPr>
    <w:rPr>
      <w:sz w:val="20"/>
      <w:szCs w:val="20"/>
    </w:rPr>
    <w:tblPr>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35">
    <w:name w:val="Table Colorful 3"/>
    <w:basedOn w:val="a2"/>
    <w:uiPriority w:val="99"/>
    <w:semiHidden/>
    <w:rsid w:val="00AB57B5"/>
    <w:pPr>
      <w:autoSpaceDE w:val="0"/>
      <w:autoSpaceDN w:val="0"/>
      <w:bidi/>
      <w:spacing w:after="120" w:line="300" w:lineRule="exact"/>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15">
    <w:name w:val="Table Classic 1"/>
    <w:basedOn w:val="a2"/>
    <w:uiPriority w:val="99"/>
    <w:semiHidden/>
    <w:rsid w:val="00AB57B5"/>
    <w:pPr>
      <w:autoSpaceDE w:val="0"/>
      <w:autoSpaceDN w:val="0"/>
      <w:bidi/>
      <w:spacing w:after="120" w:line="300" w:lineRule="exact"/>
      <w:jc w:val="both"/>
    </w:pPr>
    <w:rPr>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29">
    <w:name w:val="Table Classic 2"/>
    <w:basedOn w:val="a2"/>
    <w:uiPriority w:val="99"/>
    <w:semiHidden/>
    <w:rsid w:val="00AB57B5"/>
    <w:pPr>
      <w:autoSpaceDE w:val="0"/>
      <w:autoSpaceDN w:val="0"/>
      <w:bidi/>
      <w:spacing w:after="120" w:line="300" w:lineRule="exact"/>
      <w:jc w:val="both"/>
    </w:pPr>
    <w:rPr>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36">
    <w:name w:val="Table Classic 3"/>
    <w:basedOn w:val="a2"/>
    <w:uiPriority w:val="99"/>
    <w:semiHidden/>
    <w:rsid w:val="00AB57B5"/>
    <w:pPr>
      <w:autoSpaceDE w:val="0"/>
      <w:autoSpaceDN w:val="0"/>
      <w:bidi/>
      <w:spacing w:after="120" w:line="300" w:lineRule="exact"/>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42">
    <w:name w:val="Table Classic 4"/>
    <w:basedOn w:val="a2"/>
    <w:uiPriority w:val="99"/>
    <w:semiHidden/>
    <w:rsid w:val="00AB57B5"/>
    <w:pPr>
      <w:autoSpaceDE w:val="0"/>
      <w:autoSpaceDN w:val="0"/>
      <w:bidi/>
      <w:spacing w:after="120" w:line="300" w:lineRule="exact"/>
      <w:jc w:val="both"/>
    </w:pPr>
    <w:rPr>
      <w:sz w:val="20"/>
      <w:szCs w:val="20"/>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16">
    <w:name w:val="Table Web 1"/>
    <w:basedOn w:val="a2"/>
    <w:uiPriority w:val="99"/>
    <w:semiHidden/>
    <w:rsid w:val="00AB57B5"/>
    <w:pPr>
      <w:autoSpaceDE w:val="0"/>
      <w:autoSpaceDN w:val="0"/>
      <w:bidi/>
      <w:spacing w:after="120" w:line="300" w:lineRule="exact"/>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2a">
    <w:name w:val="Table Web 2"/>
    <w:basedOn w:val="a2"/>
    <w:uiPriority w:val="99"/>
    <w:semiHidden/>
    <w:rsid w:val="00AB57B5"/>
    <w:pPr>
      <w:autoSpaceDE w:val="0"/>
      <w:autoSpaceDN w:val="0"/>
      <w:bidi/>
      <w:spacing w:after="120" w:line="300" w:lineRule="exact"/>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37">
    <w:name w:val="Table Web 3"/>
    <w:basedOn w:val="a2"/>
    <w:uiPriority w:val="99"/>
    <w:semiHidden/>
    <w:rsid w:val="00AB57B5"/>
    <w:pPr>
      <w:autoSpaceDE w:val="0"/>
      <w:autoSpaceDN w:val="0"/>
      <w:bidi/>
      <w:spacing w:after="120" w:line="300" w:lineRule="exact"/>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affc">
    <w:name w:val="Table Grid"/>
    <w:basedOn w:val="a2"/>
    <w:uiPriority w:val="99"/>
    <w:semiHidden/>
    <w:rsid w:val="00AB57B5"/>
    <w:pPr>
      <w:autoSpaceDE w:val="0"/>
      <w:autoSpaceDN w:val="0"/>
      <w:bidi/>
      <w:spacing w:after="120" w:line="300" w:lineRule="exact"/>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Grid 1"/>
    <w:basedOn w:val="a2"/>
    <w:uiPriority w:val="99"/>
    <w:semiHidden/>
    <w:rsid w:val="00AB57B5"/>
    <w:pPr>
      <w:autoSpaceDE w:val="0"/>
      <w:autoSpaceDN w:val="0"/>
      <w:bidi/>
      <w:spacing w:after="120" w:line="300" w:lineRule="exact"/>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2b">
    <w:name w:val="Table Grid 2"/>
    <w:basedOn w:val="a2"/>
    <w:uiPriority w:val="99"/>
    <w:semiHidden/>
    <w:rsid w:val="00AB57B5"/>
    <w:pPr>
      <w:autoSpaceDE w:val="0"/>
      <w:autoSpaceDN w:val="0"/>
      <w:bidi/>
      <w:spacing w:after="120" w:line="300" w:lineRule="exact"/>
      <w:jc w:val="both"/>
    </w:pPr>
    <w:rPr>
      <w:sz w:val="20"/>
      <w:szCs w:val="20"/>
    </w:rPr>
    <w:tblPr>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38">
    <w:name w:val="Table Grid 3"/>
    <w:basedOn w:val="a2"/>
    <w:uiPriority w:val="99"/>
    <w:semiHidden/>
    <w:rsid w:val="00AB57B5"/>
    <w:pPr>
      <w:autoSpaceDE w:val="0"/>
      <w:autoSpaceDN w:val="0"/>
      <w:bidi/>
      <w:spacing w:after="120" w:line="300" w:lineRule="exact"/>
      <w:jc w:val="both"/>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43">
    <w:name w:val="Table Grid 4"/>
    <w:basedOn w:val="a2"/>
    <w:uiPriority w:val="99"/>
    <w:semiHidden/>
    <w:rsid w:val="00AB57B5"/>
    <w:pPr>
      <w:autoSpaceDE w:val="0"/>
      <w:autoSpaceDN w:val="0"/>
      <w:bidi/>
      <w:spacing w:after="120" w:line="300" w:lineRule="exact"/>
      <w:jc w:val="both"/>
    </w:pPr>
    <w:rPr>
      <w:sz w:val="20"/>
      <w:szCs w:val="20"/>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52">
    <w:name w:val="Table Grid 5"/>
    <w:basedOn w:val="a2"/>
    <w:uiPriority w:val="99"/>
    <w:semiHidden/>
    <w:rsid w:val="00AB57B5"/>
    <w:pPr>
      <w:autoSpaceDE w:val="0"/>
      <w:autoSpaceDN w:val="0"/>
      <w:bidi/>
      <w:spacing w:after="120" w:line="300" w:lineRule="exact"/>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2"/>
    <w:uiPriority w:val="99"/>
    <w:semiHidden/>
    <w:rsid w:val="00AB57B5"/>
    <w:pPr>
      <w:autoSpaceDE w:val="0"/>
      <w:autoSpaceDN w:val="0"/>
      <w:bidi/>
      <w:spacing w:after="120" w:line="300" w:lineRule="exact"/>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2"/>
    <w:uiPriority w:val="99"/>
    <w:semiHidden/>
    <w:rsid w:val="00AB57B5"/>
    <w:pPr>
      <w:autoSpaceDE w:val="0"/>
      <w:autoSpaceDN w:val="0"/>
      <w:bidi/>
      <w:spacing w:after="120" w:line="300" w:lineRule="exact"/>
      <w:jc w:val="both"/>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2"/>
    <w:uiPriority w:val="99"/>
    <w:semiHidden/>
    <w:rsid w:val="00AB57B5"/>
    <w:pPr>
      <w:autoSpaceDE w:val="0"/>
      <w:autoSpaceDN w:val="0"/>
      <w:bidi/>
      <w:spacing w:after="120" w:line="300" w:lineRule="exact"/>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styleId="affd">
    <w:name w:val="Plain Text"/>
    <w:basedOn w:val="a0"/>
    <w:link w:val="affe"/>
    <w:uiPriority w:val="99"/>
    <w:semiHidden/>
    <w:rsid w:val="00AB57B5"/>
    <w:rPr>
      <w:rFonts w:ascii="Courier New" w:hAnsi="Courier New" w:cs="Courier New"/>
      <w:szCs w:val="20"/>
    </w:rPr>
  </w:style>
  <w:style w:type="character" w:customStyle="1" w:styleId="affe">
    <w:name w:val="טקסט רגיל תו"/>
    <w:basedOn w:val="a1"/>
    <w:link w:val="affd"/>
    <w:uiPriority w:val="99"/>
    <w:semiHidden/>
    <w:rPr>
      <w:rFonts w:ascii="Courier New" w:hAnsi="Courier New" w:cs="Courier New"/>
      <w:sz w:val="20"/>
      <w:szCs w:val="20"/>
    </w:rPr>
  </w:style>
  <w:style w:type="paragraph" w:styleId="afff">
    <w:name w:val="Note Heading"/>
    <w:basedOn w:val="a0"/>
    <w:next w:val="a0"/>
    <w:link w:val="afff0"/>
    <w:uiPriority w:val="99"/>
    <w:semiHidden/>
    <w:rsid w:val="00AB57B5"/>
  </w:style>
  <w:style w:type="character" w:customStyle="1" w:styleId="afff0">
    <w:name w:val="כותרת הערות תו"/>
    <w:basedOn w:val="a1"/>
    <w:link w:val="afff"/>
    <w:uiPriority w:val="99"/>
    <w:semiHidden/>
    <w:rPr>
      <w:rFonts w:cs="FrankRuehl"/>
      <w:sz w:val="24"/>
      <w:szCs w:val="24"/>
    </w:rPr>
  </w:style>
  <w:style w:type="paragraph" w:styleId="afff1">
    <w:name w:val="Subtitle"/>
    <w:basedOn w:val="a0"/>
    <w:link w:val="afff2"/>
    <w:uiPriority w:val="99"/>
    <w:qFormat/>
    <w:rsid w:val="009116EC"/>
    <w:pPr>
      <w:jc w:val="center"/>
      <w:outlineLvl w:val="1"/>
    </w:pPr>
    <w:rPr>
      <w:rFonts w:ascii="Arial" w:hAnsi="Arial"/>
      <w:szCs w:val="28"/>
    </w:rPr>
  </w:style>
  <w:style w:type="character" w:customStyle="1" w:styleId="afff2">
    <w:name w:val="כותרת משנה תו"/>
    <w:basedOn w:val="a1"/>
    <w:link w:val="afff1"/>
    <w:uiPriority w:val="11"/>
    <w:rPr>
      <w:rFonts w:asciiTheme="majorHAnsi" w:eastAsiaTheme="majorEastAsia" w:hAnsiTheme="majorHAnsi" w:cstheme="majorBidi"/>
      <w:sz w:val="24"/>
      <w:szCs w:val="24"/>
    </w:rPr>
  </w:style>
  <w:style w:type="paragraph" w:styleId="afff3">
    <w:name w:val="Message Header"/>
    <w:basedOn w:val="a0"/>
    <w:link w:val="afff4"/>
    <w:uiPriority w:val="99"/>
    <w:semiHidden/>
    <w:rsid w:val="00AB57B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4">
    <w:name w:val="כותרת עליונה של הודעה תו"/>
    <w:basedOn w:val="a1"/>
    <w:link w:val="afff3"/>
    <w:uiPriority w:val="99"/>
    <w:semiHidden/>
    <w:rPr>
      <w:rFonts w:asciiTheme="majorHAnsi" w:eastAsiaTheme="majorEastAsia" w:hAnsiTheme="majorHAnsi" w:cstheme="majorBidi"/>
      <w:sz w:val="24"/>
      <w:szCs w:val="24"/>
      <w:shd w:val="pct20" w:color="auto" w:fill="auto"/>
    </w:rPr>
  </w:style>
  <w:style w:type="paragraph" w:styleId="afff5">
    <w:name w:val="Body Text Indent"/>
    <w:basedOn w:val="a0"/>
    <w:link w:val="afff6"/>
    <w:uiPriority w:val="99"/>
    <w:semiHidden/>
    <w:rsid w:val="00AB57B5"/>
    <w:pPr>
      <w:ind w:left="283"/>
    </w:pPr>
  </w:style>
  <w:style w:type="character" w:customStyle="1" w:styleId="afff6">
    <w:name w:val="כניסה בגוף טקסט תו"/>
    <w:basedOn w:val="a1"/>
    <w:link w:val="afff5"/>
    <w:uiPriority w:val="99"/>
    <w:semiHidden/>
    <w:rPr>
      <w:rFonts w:cs="FrankRuehl"/>
      <w:sz w:val="24"/>
      <w:szCs w:val="24"/>
    </w:rPr>
  </w:style>
  <w:style w:type="paragraph" w:styleId="39">
    <w:name w:val="Body Text Indent 3"/>
    <w:basedOn w:val="a0"/>
    <w:link w:val="3a"/>
    <w:uiPriority w:val="99"/>
    <w:semiHidden/>
    <w:rsid w:val="00AB57B5"/>
    <w:pPr>
      <w:ind w:left="283"/>
    </w:pPr>
    <w:rPr>
      <w:sz w:val="16"/>
      <w:szCs w:val="16"/>
    </w:rPr>
  </w:style>
  <w:style w:type="character" w:customStyle="1" w:styleId="3a">
    <w:name w:val="כניסה בגוף טקסט 3 תו"/>
    <w:basedOn w:val="a1"/>
    <w:link w:val="39"/>
    <w:uiPriority w:val="99"/>
    <w:semiHidden/>
    <w:rPr>
      <w:rFonts w:cs="FrankRuehl"/>
      <w:sz w:val="16"/>
      <w:szCs w:val="16"/>
    </w:rPr>
  </w:style>
  <w:style w:type="paragraph" w:styleId="afff7">
    <w:name w:val="Normal Indent"/>
    <w:basedOn w:val="a0"/>
    <w:uiPriority w:val="99"/>
    <w:semiHidden/>
    <w:rsid w:val="00AB57B5"/>
    <w:pPr>
      <w:ind w:left="720"/>
    </w:pPr>
  </w:style>
  <w:style w:type="paragraph" w:styleId="afff8">
    <w:name w:val="Body Text First Indent"/>
    <w:basedOn w:val="af3"/>
    <w:link w:val="afff9"/>
    <w:uiPriority w:val="99"/>
    <w:semiHidden/>
    <w:rsid w:val="00AB57B5"/>
    <w:pPr>
      <w:spacing w:line="300" w:lineRule="exact"/>
      <w:ind w:firstLine="210"/>
    </w:pPr>
  </w:style>
  <w:style w:type="character" w:customStyle="1" w:styleId="afff9">
    <w:name w:val="כניסת שורה ראשונה בגוף טקסט תו"/>
    <w:basedOn w:val="af4"/>
    <w:link w:val="afff8"/>
    <w:uiPriority w:val="99"/>
    <w:semiHidden/>
  </w:style>
  <w:style w:type="paragraph" w:styleId="2c">
    <w:name w:val="Body Text First Indent 2"/>
    <w:basedOn w:val="afff5"/>
    <w:link w:val="2d"/>
    <w:uiPriority w:val="99"/>
    <w:semiHidden/>
    <w:rsid w:val="00AB57B5"/>
    <w:pPr>
      <w:ind w:firstLine="210"/>
    </w:pPr>
  </w:style>
  <w:style w:type="character" w:customStyle="1" w:styleId="2d">
    <w:name w:val="כניסת שורה ראשונה בגוף טקסט 2 תו"/>
    <w:basedOn w:val="afff6"/>
    <w:link w:val="2c"/>
    <w:uiPriority w:val="99"/>
    <w:semiHidden/>
  </w:style>
  <w:style w:type="paragraph" w:styleId="HTML2">
    <w:name w:val="HTML Address"/>
    <w:basedOn w:val="a0"/>
    <w:link w:val="HTML3"/>
    <w:uiPriority w:val="99"/>
    <w:semiHidden/>
    <w:rsid w:val="00AB57B5"/>
    <w:rPr>
      <w:i/>
      <w:iCs/>
    </w:rPr>
  </w:style>
  <w:style w:type="character" w:customStyle="1" w:styleId="HTML3">
    <w:name w:val="כתובת HTML תו"/>
    <w:basedOn w:val="a1"/>
    <w:link w:val="HTML2"/>
    <w:uiPriority w:val="99"/>
    <w:semiHidden/>
    <w:rPr>
      <w:rFonts w:cs="FrankRuehl"/>
      <w:i/>
      <w:iCs/>
      <w:sz w:val="24"/>
      <w:szCs w:val="24"/>
    </w:rPr>
  </w:style>
  <w:style w:type="paragraph" w:styleId="afffa">
    <w:name w:val="envelope return"/>
    <w:basedOn w:val="a0"/>
    <w:uiPriority w:val="99"/>
    <w:semiHidden/>
    <w:rsid w:val="00AB57B5"/>
    <w:rPr>
      <w:rFonts w:ascii="Arial" w:hAnsi="Arial" w:cs="Arial"/>
      <w:szCs w:val="20"/>
    </w:rPr>
  </w:style>
  <w:style w:type="paragraph" w:styleId="afffb">
    <w:name w:val="envelope address"/>
    <w:basedOn w:val="a0"/>
    <w:uiPriority w:val="99"/>
    <w:semiHidden/>
    <w:rsid w:val="00AB57B5"/>
    <w:pPr>
      <w:framePr w:w="7920" w:h="1980" w:hRule="exact" w:hSpace="180" w:wrap="auto" w:hAnchor="page" w:xAlign="center" w:yAlign="bottom"/>
      <w:ind w:left="2880"/>
    </w:pPr>
    <w:rPr>
      <w:rFonts w:ascii="Arial" w:hAnsi="Arial" w:cs="Arial"/>
    </w:rPr>
  </w:style>
  <w:style w:type="character" w:styleId="HTML4">
    <w:name w:val="HTML Typewriter"/>
    <w:basedOn w:val="a1"/>
    <w:uiPriority w:val="99"/>
    <w:semiHidden/>
    <w:rsid w:val="00AB57B5"/>
    <w:rPr>
      <w:rFonts w:ascii="Courier New" w:hAnsi="Courier New" w:cs="Courier New"/>
      <w:sz w:val="20"/>
      <w:szCs w:val="20"/>
    </w:rPr>
  </w:style>
  <w:style w:type="character" w:styleId="afffc">
    <w:name w:val="line number"/>
    <w:basedOn w:val="a1"/>
    <w:uiPriority w:val="99"/>
    <w:semiHidden/>
    <w:rsid w:val="00AB57B5"/>
    <w:rPr>
      <w:rFonts w:cs="Times New Roman"/>
    </w:rPr>
  </w:style>
  <w:style w:type="character" w:styleId="HTML5">
    <w:name w:val="HTML Keyboard"/>
    <w:basedOn w:val="a1"/>
    <w:uiPriority w:val="99"/>
    <w:semiHidden/>
    <w:rsid w:val="00AB57B5"/>
    <w:rPr>
      <w:rFonts w:ascii="Courier New" w:hAnsi="Courier New" w:cs="Courier New"/>
      <w:sz w:val="20"/>
      <w:szCs w:val="20"/>
    </w:rPr>
  </w:style>
  <w:style w:type="table" w:styleId="afffd">
    <w:name w:val="Table Theme"/>
    <w:basedOn w:val="a2"/>
    <w:uiPriority w:val="99"/>
    <w:semiHidden/>
    <w:rsid w:val="00AB57B5"/>
    <w:pPr>
      <w:autoSpaceDE w:val="0"/>
      <w:autoSpaceDN w:val="0"/>
      <w:bidi/>
      <w:spacing w:after="120" w:line="300" w:lineRule="exact"/>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e">
    <w:name w:val="Closing"/>
    <w:basedOn w:val="a0"/>
    <w:link w:val="affff"/>
    <w:uiPriority w:val="99"/>
    <w:semiHidden/>
    <w:rsid w:val="00AB57B5"/>
    <w:pPr>
      <w:ind w:left="4252"/>
    </w:pPr>
  </w:style>
  <w:style w:type="character" w:customStyle="1" w:styleId="affff">
    <w:name w:val="סיום תו"/>
    <w:basedOn w:val="a1"/>
    <w:link w:val="afffe"/>
    <w:uiPriority w:val="99"/>
    <w:semiHidden/>
    <w:rPr>
      <w:rFonts w:cs="FrankRuehl"/>
      <w:sz w:val="24"/>
      <w:szCs w:val="24"/>
    </w:rPr>
  </w:style>
  <w:style w:type="table" w:styleId="18">
    <w:name w:val="Table Columns 1"/>
    <w:basedOn w:val="a2"/>
    <w:uiPriority w:val="99"/>
    <w:semiHidden/>
    <w:rsid w:val="00AB57B5"/>
    <w:pPr>
      <w:autoSpaceDE w:val="0"/>
      <w:autoSpaceDN w:val="0"/>
      <w:bidi/>
      <w:spacing w:after="120" w:line="300" w:lineRule="exact"/>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2e">
    <w:name w:val="Table Columns 2"/>
    <w:basedOn w:val="a2"/>
    <w:uiPriority w:val="99"/>
    <w:semiHidden/>
    <w:rsid w:val="00AB57B5"/>
    <w:pPr>
      <w:autoSpaceDE w:val="0"/>
      <w:autoSpaceDN w:val="0"/>
      <w:bidi/>
      <w:spacing w:after="120" w:line="300" w:lineRule="exact"/>
      <w:jc w:val="both"/>
    </w:pPr>
    <w:rPr>
      <w:b/>
      <w:bCs/>
      <w:sz w:val="20"/>
      <w:szCs w:val="20"/>
    </w:rPr>
    <w:tblPr>
      <w:tblStyleColBandSize w:val="1"/>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3b">
    <w:name w:val="Table Columns 3"/>
    <w:basedOn w:val="a2"/>
    <w:uiPriority w:val="99"/>
    <w:semiHidden/>
    <w:rsid w:val="00AB57B5"/>
    <w:pPr>
      <w:autoSpaceDE w:val="0"/>
      <w:autoSpaceDN w:val="0"/>
      <w:bidi/>
      <w:spacing w:after="120" w:line="300" w:lineRule="exact"/>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44">
    <w:name w:val="Table Columns 4"/>
    <w:basedOn w:val="a2"/>
    <w:uiPriority w:val="99"/>
    <w:semiHidden/>
    <w:rsid w:val="00AB57B5"/>
    <w:pPr>
      <w:autoSpaceDE w:val="0"/>
      <w:autoSpaceDN w:val="0"/>
      <w:bidi/>
      <w:spacing w:after="120" w:line="300" w:lineRule="exact"/>
      <w:jc w:val="both"/>
    </w:pPr>
    <w:rPr>
      <w:sz w:val="20"/>
      <w:szCs w:val="20"/>
    </w:rPr>
    <w:tblPr>
      <w:tblStyleColBandSize w:val="1"/>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53">
    <w:name w:val="Table Columns 5"/>
    <w:basedOn w:val="a2"/>
    <w:uiPriority w:val="99"/>
    <w:semiHidden/>
    <w:rsid w:val="00AB57B5"/>
    <w:pPr>
      <w:autoSpaceDE w:val="0"/>
      <w:autoSpaceDN w:val="0"/>
      <w:bidi/>
      <w:spacing w:after="120" w:line="300" w:lineRule="exact"/>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style>
  <w:style w:type="character" w:styleId="HTML6">
    <w:name w:val="HTML Acronym"/>
    <w:basedOn w:val="a1"/>
    <w:uiPriority w:val="99"/>
    <w:semiHidden/>
    <w:rsid w:val="00AB57B5"/>
    <w:rPr>
      <w:rFonts w:cs="Times New Roman"/>
    </w:rPr>
  </w:style>
  <w:style w:type="paragraph" w:styleId="affff0">
    <w:name w:val="List"/>
    <w:basedOn w:val="a0"/>
    <w:uiPriority w:val="99"/>
    <w:semiHidden/>
    <w:rsid w:val="00AB57B5"/>
    <w:pPr>
      <w:ind w:left="283" w:hanging="283"/>
    </w:pPr>
  </w:style>
  <w:style w:type="paragraph" w:styleId="2f">
    <w:name w:val="List 2"/>
    <w:basedOn w:val="a0"/>
    <w:uiPriority w:val="99"/>
    <w:semiHidden/>
    <w:rsid w:val="00AB57B5"/>
    <w:pPr>
      <w:ind w:left="566" w:hanging="283"/>
    </w:pPr>
  </w:style>
  <w:style w:type="paragraph" w:styleId="3c">
    <w:name w:val="List 3"/>
    <w:basedOn w:val="a0"/>
    <w:uiPriority w:val="99"/>
    <w:semiHidden/>
    <w:rsid w:val="00AB57B5"/>
    <w:pPr>
      <w:ind w:left="849" w:hanging="283"/>
    </w:pPr>
  </w:style>
  <w:style w:type="paragraph" w:styleId="45">
    <w:name w:val="List 4"/>
    <w:basedOn w:val="a0"/>
    <w:uiPriority w:val="99"/>
    <w:semiHidden/>
    <w:rsid w:val="00AB57B5"/>
    <w:pPr>
      <w:ind w:left="1132" w:hanging="283"/>
    </w:pPr>
  </w:style>
  <w:style w:type="paragraph" w:styleId="54">
    <w:name w:val="List 5"/>
    <w:basedOn w:val="a0"/>
    <w:uiPriority w:val="99"/>
    <w:semiHidden/>
    <w:rsid w:val="00AB57B5"/>
    <w:pPr>
      <w:ind w:left="1415" w:hanging="283"/>
    </w:pPr>
  </w:style>
  <w:style w:type="table" w:styleId="19">
    <w:name w:val="Table List 1"/>
    <w:basedOn w:val="a2"/>
    <w:uiPriority w:val="99"/>
    <w:semiHidden/>
    <w:rsid w:val="00AB57B5"/>
    <w:pPr>
      <w:autoSpaceDE w:val="0"/>
      <w:autoSpaceDN w:val="0"/>
      <w:bidi/>
      <w:spacing w:after="120" w:line="300" w:lineRule="exact"/>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2f0">
    <w:name w:val="Table List 2"/>
    <w:basedOn w:val="a2"/>
    <w:uiPriority w:val="99"/>
    <w:semiHidden/>
    <w:rsid w:val="00AB57B5"/>
    <w:pPr>
      <w:autoSpaceDE w:val="0"/>
      <w:autoSpaceDN w:val="0"/>
      <w:bidi/>
      <w:spacing w:after="120" w:line="300" w:lineRule="exact"/>
      <w:jc w:val="both"/>
    </w:pPr>
    <w:rPr>
      <w:sz w:val="20"/>
      <w:szCs w:val="20"/>
    </w:rPr>
    <w:tblPr>
      <w:tblStyleRowBandSize w:val="2"/>
      <w:tblBorders>
        <w:bottom w:val="single" w:sz="12" w:space="0" w:color="8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3d">
    <w:name w:val="Table List 3"/>
    <w:basedOn w:val="a2"/>
    <w:uiPriority w:val="99"/>
    <w:semiHidden/>
    <w:rsid w:val="00AB57B5"/>
    <w:pPr>
      <w:autoSpaceDE w:val="0"/>
      <w:autoSpaceDN w:val="0"/>
      <w:bidi/>
      <w:spacing w:after="120" w:line="300" w:lineRule="exact"/>
      <w:jc w:val="both"/>
    </w:pPr>
    <w:rPr>
      <w:sz w:val="20"/>
      <w:szCs w:val="20"/>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46">
    <w:name w:val="Table List 4"/>
    <w:basedOn w:val="a2"/>
    <w:uiPriority w:val="99"/>
    <w:semiHidden/>
    <w:rsid w:val="00AB57B5"/>
    <w:pPr>
      <w:autoSpaceDE w:val="0"/>
      <w:autoSpaceDN w:val="0"/>
      <w:bidi/>
      <w:spacing w:after="120" w:line="300" w:lineRule="exact"/>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2"/>
    <w:uiPriority w:val="99"/>
    <w:semiHidden/>
    <w:rsid w:val="00AB57B5"/>
    <w:pPr>
      <w:autoSpaceDE w:val="0"/>
      <w:autoSpaceDN w:val="0"/>
      <w:bidi/>
      <w:spacing w:after="120" w:line="300" w:lineRule="exact"/>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62">
    <w:name w:val="Table List 6"/>
    <w:basedOn w:val="a2"/>
    <w:uiPriority w:val="99"/>
    <w:semiHidden/>
    <w:rsid w:val="00AB57B5"/>
    <w:pPr>
      <w:autoSpaceDE w:val="0"/>
      <w:autoSpaceDN w:val="0"/>
      <w:bidi/>
      <w:spacing w:after="120" w:line="300" w:lineRule="exact"/>
      <w:jc w:val="both"/>
    </w:pPr>
    <w:rPr>
      <w:sz w:val="20"/>
      <w:szCs w:val="20"/>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2"/>
    <w:uiPriority w:val="99"/>
    <w:semiHidden/>
    <w:rsid w:val="00AB57B5"/>
    <w:pPr>
      <w:autoSpaceDE w:val="0"/>
      <w:autoSpaceDN w:val="0"/>
      <w:bidi/>
      <w:spacing w:after="120" w:line="300" w:lineRule="exact"/>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2"/>
    <w:uiPriority w:val="99"/>
    <w:semiHidden/>
    <w:rsid w:val="00AB57B5"/>
    <w:pPr>
      <w:autoSpaceDE w:val="0"/>
      <w:autoSpaceDN w:val="0"/>
      <w:bidi/>
      <w:spacing w:after="120" w:line="300" w:lineRule="exact"/>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1">
    <w:name w:val="List Number"/>
    <w:basedOn w:val="a0"/>
    <w:uiPriority w:val="99"/>
    <w:semiHidden/>
    <w:rsid w:val="00AB57B5"/>
    <w:pPr>
      <w:tabs>
        <w:tab w:val="num" w:pos="360"/>
      </w:tabs>
      <w:ind w:left="360" w:hanging="360"/>
    </w:pPr>
  </w:style>
  <w:style w:type="paragraph" w:styleId="2f1">
    <w:name w:val="List Number 2"/>
    <w:basedOn w:val="a0"/>
    <w:uiPriority w:val="99"/>
    <w:semiHidden/>
    <w:rsid w:val="00AB57B5"/>
    <w:pPr>
      <w:tabs>
        <w:tab w:val="num" w:pos="643"/>
      </w:tabs>
      <w:ind w:left="643" w:hanging="360"/>
    </w:pPr>
  </w:style>
  <w:style w:type="paragraph" w:styleId="3e">
    <w:name w:val="List Number 3"/>
    <w:basedOn w:val="a0"/>
    <w:uiPriority w:val="99"/>
    <w:semiHidden/>
    <w:rsid w:val="00AB57B5"/>
    <w:pPr>
      <w:tabs>
        <w:tab w:val="num" w:pos="926"/>
      </w:tabs>
      <w:ind w:left="926" w:hanging="360"/>
    </w:pPr>
  </w:style>
  <w:style w:type="paragraph" w:styleId="47">
    <w:name w:val="List Number 4"/>
    <w:basedOn w:val="a0"/>
    <w:uiPriority w:val="99"/>
    <w:semiHidden/>
    <w:rsid w:val="00AB57B5"/>
    <w:pPr>
      <w:tabs>
        <w:tab w:val="num" w:pos="1209"/>
      </w:tabs>
      <w:ind w:left="1209" w:hanging="360"/>
    </w:pPr>
  </w:style>
  <w:style w:type="paragraph" w:styleId="56">
    <w:name w:val="List Number 5"/>
    <w:basedOn w:val="a0"/>
    <w:uiPriority w:val="99"/>
    <w:semiHidden/>
    <w:rsid w:val="00AB57B5"/>
    <w:pPr>
      <w:tabs>
        <w:tab w:val="num" w:pos="1492"/>
      </w:tabs>
      <w:ind w:left="1492" w:hanging="360"/>
    </w:pPr>
  </w:style>
  <w:style w:type="paragraph" w:styleId="affff2">
    <w:name w:val="List Bullet"/>
    <w:basedOn w:val="a0"/>
    <w:uiPriority w:val="99"/>
    <w:semiHidden/>
    <w:rsid w:val="00AB57B5"/>
    <w:pPr>
      <w:tabs>
        <w:tab w:val="num" w:pos="360"/>
      </w:tabs>
      <w:ind w:left="360" w:hanging="360"/>
    </w:pPr>
  </w:style>
  <w:style w:type="paragraph" w:styleId="2f2">
    <w:name w:val="List Bullet 2"/>
    <w:basedOn w:val="a0"/>
    <w:uiPriority w:val="99"/>
    <w:semiHidden/>
    <w:rsid w:val="00AB57B5"/>
    <w:pPr>
      <w:tabs>
        <w:tab w:val="num" w:pos="643"/>
      </w:tabs>
      <w:ind w:left="643" w:hanging="360"/>
    </w:pPr>
  </w:style>
  <w:style w:type="paragraph" w:styleId="3f">
    <w:name w:val="List Bullet 3"/>
    <w:basedOn w:val="a0"/>
    <w:uiPriority w:val="99"/>
    <w:semiHidden/>
    <w:rsid w:val="00AB57B5"/>
    <w:pPr>
      <w:tabs>
        <w:tab w:val="num" w:pos="926"/>
      </w:tabs>
      <w:ind w:left="926" w:hanging="360"/>
    </w:pPr>
  </w:style>
  <w:style w:type="paragraph" w:styleId="48">
    <w:name w:val="List Bullet 4"/>
    <w:basedOn w:val="a0"/>
    <w:uiPriority w:val="99"/>
    <w:semiHidden/>
    <w:rsid w:val="00AB57B5"/>
    <w:pPr>
      <w:tabs>
        <w:tab w:val="num" w:pos="1209"/>
      </w:tabs>
      <w:ind w:left="1209" w:hanging="360"/>
    </w:pPr>
  </w:style>
  <w:style w:type="paragraph" w:styleId="57">
    <w:name w:val="List Bullet 5"/>
    <w:basedOn w:val="a0"/>
    <w:uiPriority w:val="99"/>
    <w:semiHidden/>
    <w:rsid w:val="00AB57B5"/>
    <w:pPr>
      <w:tabs>
        <w:tab w:val="num" w:pos="1492"/>
      </w:tabs>
      <w:ind w:left="1492" w:hanging="360"/>
    </w:pPr>
  </w:style>
  <w:style w:type="paragraph" w:styleId="affff3">
    <w:name w:val="Date"/>
    <w:basedOn w:val="a0"/>
    <w:next w:val="a0"/>
    <w:link w:val="affff4"/>
    <w:uiPriority w:val="99"/>
    <w:semiHidden/>
    <w:rsid w:val="00AB57B5"/>
  </w:style>
  <w:style w:type="character" w:customStyle="1" w:styleId="affff4">
    <w:name w:val="תאריך תו"/>
    <w:basedOn w:val="a1"/>
    <w:link w:val="affff3"/>
    <w:uiPriority w:val="99"/>
    <w:semiHidden/>
    <w:rPr>
      <w:rFonts w:cs="FrankRuehl"/>
      <w:sz w:val="24"/>
      <w:szCs w:val="24"/>
    </w:rPr>
  </w:style>
  <w:style w:type="paragraph" w:styleId="affff5">
    <w:name w:val="Title"/>
    <w:basedOn w:val="a0"/>
    <w:link w:val="affff6"/>
    <w:uiPriority w:val="99"/>
    <w:qFormat/>
    <w:rsid w:val="00AB57B5"/>
    <w:pPr>
      <w:spacing w:before="240" w:after="60"/>
      <w:jc w:val="center"/>
      <w:outlineLvl w:val="0"/>
    </w:pPr>
    <w:rPr>
      <w:rFonts w:ascii="Arial" w:hAnsi="Arial" w:cs="Arial"/>
      <w:b/>
      <w:bCs/>
      <w:kern w:val="28"/>
      <w:sz w:val="32"/>
      <w:szCs w:val="32"/>
    </w:rPr>
  </w:style>
  <w:style w:type="character" w:customStyle="1" w:styleId="affff6">
    <w:name w:val="תואר תו"/>
    <w:basedOn w:val="a1"/>
    <w:link w:val="affff5"/>
    <w:uiPriority w:val="10"/>
    <w:rPr>
      <w:rFonts w:asciiTheme="majorHAnsi" w:eastAsiaTheme="majorEastAsia" w:hAnsiTheme="majorHAnsi" w:cstheme="majorBidi"/>
      <w:b/>
      <w:bCs/>
      <w:kern w:val="28"/>
      <w:sz w:val="32"/>
      <w:szCs w:val="32"/>
    </w:rPr>
  </w:style>
  <w:style w:type="paragraph" w:customStyle="1" w:styleId="affff7">
    <w:name w:val="מחבר"/>
    <w:basedOn w:val="a0"/>
    <w:uiPriority w:val="99"/>
    <w:semiHidden/>
    <w:rsid w:val="009116EC"/>
    <w:pPr>
      <w:spacing w:before="120" w:after="360" w:line="360" w:lineRule="auto"/>
      <w:jc w:val="center"/>
    </w:pPr>
  </w:style>
  <w:style w:type="paragraph" w:customStyle="1" w:styleId="affff8">
    <w:name w:val="עורכים"/>
    <w:basedOn w:val="a0"/>
    <w:uiPriority w:val="99"/>
    <w:semiHidden/>
    <w:rsid w:val="00393EB8"/>
    <w:pPr>
      <w:spacing w:after="0" w:line="240" w:lineRule="auto"/>
      <w:jc w:val="right"/>
    </w:pPr>
    <w:rPr>
      <w:b/>
      <w:bCs/>
    </w:rPr>
  </w:style>
  <w:style w:type="paragraph" w:customStyle="1" w:styleId="affff9">
    <w:name w:val="עורך לשוני"/>
    <w:basedOn w:val="a0"/>
    <w:autoRedefine/>
    <w:uiPriority w:val="99"/>
    <w:semiHidden/>
    <w:rsid w:val="00393EB8"/>
    <w:pPr>
      <w:spacing w:after="0" w:line="240" w:lineRule="auto"/>
      <w:jc w:val="right"/>
    </w:pPr>
    <w:rPr>
      <w:szCs w:val="20"/>
    </w:rPr>
  </w:style>
  <w:style w:type="character" w:customStyle="1" w:styleId="affffa">
    <w:name w:val="מס גליון"/>
    <w:basedOn w:val="a1"/>
    <w:uiPriority w:val="99"/>
    <w:semiHidden/>
    <w:rsid w:val="00393EB8"/>
    <w:rPr>
      <w:rFonts w:cs="Times New Roman"/>
      <w:b/>
      <w:bCs/>
      <w:sz w:val="24"/>
    </w:rPr>
  </w:style>
  <w:style w:type="paragraph" w:customStyle="1" w:styleId="affffb">
    <w:name w:val="מדינת"/>
    <w:basedOn w:val="3"/>
    <w:autoRedefine/>
    <w:uiPriority w:val="99"/>
    <w:semiHidden/>
    <w:rsid w:val="004375C4"/>
    <w:rPr>
      <w:sz w:val="28"/>
      <w:szCs w:val="28"/>
    </w:rPr>
  </w:style>
  <w:style w:type="paragraph" w:customStyle="1" w:styleId="affffc">
    <w:name w:val="המחלקה"/>
    <w:basedOn w:val="3"/>
    <w:uiPriority w:val="99"/>
    <w:semiHidden/>
    <w:rsid w:val="008908E4"/>
    <w:rPr>
      <w:b w:val="0"/>
      <w:bCs w:val="0"/>
    </w:rPr>
  </w:style>
  <w:style w:type="paragraph" w:customStyle="1" w:styleId="affffd">
    <w:name w:val="תו"/>
    <w:basedOn w:val="a0"/>
    <w:uiPriority w:val="99"/>
    <w:semiHidden/>
    <w:rsid w:val="00441631"/>
    <w:pPr>
      <w:autoSpaceDE/>
      <w:autoSpaceDN/>
      <w:bidi w:val="0"/>
      <w:spacing w:after="160" w:line="240" w:lineRule="exact"/>
      <w:jc w:val="left"/>
    </w:pPr>
    <w:rPr>
      <w:rFonts w:ascii="Arial" w:eastAsia="MS Mincho" w:hAnsi="Arial" w:cs="Arial"/>
      <w:sz w:val="20"/>
      <w:szCs w:val="20"/>
      <w:lang w:bidi="ar-SA"/>
    </w:rPr>
  </w:style>
  <w:style w:type="character" w:customStyle="1" w:styleId="af1">
    <w:name w:val="ציטטה תו"/>
    <w:basedOn w:val="a1"/>
    <w:link w:val="af0"/>
    <w:uiPriority w:val="99"/>
    <w:locked/>
    <w:rsid w:val="00441631"/>
    <w:rPr>
      <w:rFonts w:cs="FrankRuehl"/>
      <w:sz w:val="24"/>
      <w:szCs w:val="24"/>
      <w:lang w:val="en-US" w:eastAsia="en-US" w:bidi="he-IL"/>
    </w:rPr>
  </w:style>
  <w:style w:type="character" w:customStyle="1" w:styleId="itext1">
    <w:name w:val="itext1"/>
    <w:basedOn w:val="a1"/>
    <w:uiPriority w:val="99"/>
    <w:rsid w:val="00441631"/>
    <w:rPr>
      <w:rFonts w:ascii="Arial" w:hAnsi="Arial" w:cs="Arial"/>
      <w:color w:val="000000"/>
      <w:sz w:val="18"/>
      <w:szCs w:val="18"/>
    </w:rPr>
  </w:style>
  <w:style w:type="character" w:customStyle="1" w:styleId="aa">
    <w:name w:val="טקסט הערת שוליים תו"/>
    <w:basedOn w:val="a1"/>
    <w:link w:val="a9"/>
    <w:uiPriority w:val="99"/>
    <w:locked/>
    <w:rsid w:val="00441631"/>
    <w:rPr>
      <w:rFonts w:ascii="FrankRuehl" w:eastAsia="Times New Roman" w:hAnsi="FrankRuehl" w:cs="FrankRuehl"/>
      <w:sz w:val="24"/>
      <w:lang w:val="en-US" w:eastAsia="en-US" w:bidi="he-IL"/>
    </w:rPr>
  </w:style>
  <w:style w:type="character" w:styleId="affffe">
    <w:name w:val="annotation reference"/>
    <w:basedOn w:val="a1"/>
    <w:uiPriority w:val="99"/>
    <w:semiHidden/>
    <w:rsid w:val="001C223D"/>
    <w:rPr>
      <w:rFonts w:cs="Times New Roman"/>
      <w:sz w:val="16"/>
      <w:szCs w:val="16"/>
    </w:rPr>
  </w:style>
  <w:style w:type="paragraph" w:styleId="afffff">
    <w:name w:val="annotation text"/>
    <w:basedOn w:val="a0"/>
    <w:link w:val="afffff0"/>
    <w:uiPriority w:val="99"/>
    <w:semiHidden/>
    <w:rsid w:val="001C223D"/>
    <w:rPr>
      <w:sz w:val="20"/>
      <w:szCs w:val="20"/>
    </w:rPr>
  </w:style>
  <w:style w:type="character" w:customStyle="1" w:styleId="afffff0">
    <w:name w:val="טקסט הערה תו"/>
    <w:basedOn w:val="a1"/>
    <w:link w:val="afffff"/>
    <w:uiPriority w:val="99"/>
    <w:semiHidden/>
    <w:rPr>
      <w:rFonts w:cs="FrankRuehl"/>
      <w:sz w:val="20"/>
      <w:szCs w:val="20"/>
    </w:rPr>
  </w:style>
  <w:style w:type="paragraph" w:styleId="afffff1">
    <w:name w:val="annotation subject"/>
    <w:basedOn w:val="afffff"/>
    <w:next w:val="afffff"/>
    <w:link w:val="afffff2"/>
    <w:uiPriority w:val="99"/>
    <w:semiHidden/>
    <w:rsid w:val="001C223D"/>
    <w:rPr>
      <w:b/>
      <w:bCs/>
    </w:rPr>
  </w:style>
  <w:style w:type="character" w:customStyle="1" w:styleId="afffff2">
    <w:name w:val="נושא הערה תו"/>
    <w:basedOn w:val="afffff0"/>
    <w:link w:val="afffff1"/>
    <w:uiPriority w:val="99"/>
    <w:semiHidden/>
    <w:rPr>
      <w:b/>
      <w:bCs/>
    </w:rPr>
  </w:style>
  <w:style w:type="numbering" w:styleId="1ai">
    <w:name w:val="Outline List 1"/>
    <w:basedOn w:val="a3"/>
    <w:uiPriority w:val="99"/>
    <w:semiHidden/>
    <w:unhideWhenUsed/>
    <w:pPr>
      <w:numPr>
        <w:numId w:val="2"/>
      </w:numPr>
    </w:pPr>
  </w:style>
  <w:style w:type="numbering" w:styleId="111111">
    <w:name w:val="Outline List 2"/>
    <w:basedOn w:val="a3"/>
    <w:uiPriority w:val="99"/>
    <w:semiHidden/>
    <w:unhideWhenUsed/>
    <w:pPr>
      <w:numPr>
        <w:numId w:val="1"/>
      </w:numPr>
    </w:pPr>
  </w:style>
  <w:style w:type="numbering" w:styleId="a">
    <w:name w:val="Outline List 3"/>
    <w:basedOn w:val="a3"/>
    <w:uiPriority w:val="99"/>
    <w:semiHidden/>
    <w:unhideWhenUsed/>
    <w:pPr>
      <w:numPr>
        <w:numId w:val="3"/>
      </w:numPr>
    </w:pPr>
  </w:style>
</w:styles>
</file>

<file path=word/webSettings.xml><?xml version="1.0" encoding="utf-8"?>
<w:webSettings xmlns:r="http://schemas.openxmlformats.org/officeDocument/2006/relationships" xmlns:w="http://schemas.openxmlformats.org/wordprocessingml/2006/main">
  <w:divs>
    <w:div w:id="2032605769">
      <w:marLeft w:val="0"/>
      <w:marRight w:val="0"/>
      <w:marTop w:val="0"/>
      <w:marBottom w:val="0"/>
      <w:divBdr>
        <w:top w:val="none" w:sz="0" w:space="0" w:color="auto"/>
        <w:left w:val="none" w:sz="0" w:space="0" w:color="auto"/>
        <w:bottom w:val="none" w:sz="0" w:space="0" w:color="auto"/>
        <w:right w:val="none" w:sz="0" w:space="0" w:color="auto"/>
      </w:divBdr>
    </w:div>
    <w:div w:id="2032605770">
      <w:marLeft w:val="0"/>
      <w:marRight w:val="0"/>
      <w:marTop w:val="0"/>
      <w:marBottom w:val="0"/>
      <w:divBdr>
        <w:top w:val="none" w:sz="0" w:space="0" w:color="auto"/>
        <w:left w:val="none" w:sz="0" w:space="0" w:color="auto"/>
        <w:bottom w:val="none" w:sz="0" w:space="0" w:color="auto"/>
        <w:right w:val="none" w:sz="0" w:space="0" w:color="auto"/>
      </w:divBdr>
    </w:div>
    <w:div w:id="2032605771">
      <w:marLeft w:val="0"/>
      <w:marRight w:val="0"/>
      <w:marTop w:val="0"/>
      <w:marBottom w:val="0"/>
      <w:divBdr>
        <w:top w:val="none" w:sz="0" w:space="0" w:color="auto"/>
        <w:left w:val="none" w:sz="0" w:space="0" w:color="auto"/>
        <w:bottom w:val="none" w:sz="0" w:space="0" w:color="auto"/>
        <w:right w:val="none" w:sz="0" w:space="0" w:color="auto"/>
      </w:divBdr>
    </w:div>
    <w:div w:id="2032605772">
      <w:marLeft w:val="0"/>
      <w:marRight w:val="0"/>
      <w:marTop w:val="0"/>
      <w:marBottom w:val="0"/>
      <w:divBdr>
        <w:top w:val="none" w:sz="0" w:space="0" w:color="auto"/>
        <w:left w:val="none" w:sz="0" w:space="0" w:color="auto"/>
        <w:bottom w:val="none" w:sz="0" w:space="0" w:color="auto"/>
        <w:right w:val="none" w:sz="0" w:space="0" w:color="auto"/>
      </w:divBdr>
    </w:div>
    <w:div w:id="2032605775">
      <w:marLeft w:val="96"/>
      <w:marRight w:val="96"/>
      <w:marTop w:val="96"/>
      <w:marBottom w:val="96"/>
      <w:divBdr>
        <w:top w:val="none" w:sz="0" w:space="0" w:color="auto"/>
        <w:left w:val="none" w:sz="0" w:space="0" w:color="auto"/>
        <w:bottom w:val="none" w:sz="0" w:space="0" w:color="auto"/>
        <w:right w:val="none" w:sz="0" w:space="0" w:color="auto"/>
      </w:divBdr>
      <w:divsChild>
        <w:div w:id="2032605776">
          <w:marLeft w:val="0"/>
          <w:marRight w:val="0"/>
          <w:marTop w:val="0"/>
          <w:marBottom w:val="0"/>
          <w:divBdr>
            <w:top w:val="none" w:sz="0" w:space="0" w:color="auto"/>
            <w:left w:val="none" w:sz="0" w:space="0" w:color="auto"/>
            <w:bottom w:val="none" w:sz="0" w:space="0" w:color="auto"/>
            <w:right w:val="none" w:sz="0" w:space="0" w:color="auto"/>
          </w:divBdr>
          <w:divsChild>
            <w:div w:id="2032605773">
              <w:marLeft w:val="96"/>
              <w:marRight w:val="96"/>
              <w:marTop w:val="0"/>
              <w:marBottom w:val="0"/>
              <w:divBdr>
                <w:top w:val="none" w:sz="0" w:space="0" w:color="auto"/>
                <w:left w:val="single" w:sz="4" w:space="6" w:color="CCCCCC"/>
                <w:bottom w:val="none" w:sz="0" w:space="0" w:color="auto"/>
                <w:right w:val="single" w:sz="4" w:space="6" w:color="CCCCCC"/>
              </w:divBdr>
              <w:divsChild>
                <w:div w:id="2032605777">
                  <w:marLeft w:val="0"/>
                  <w:marRight w:val="0"/>
                  <w:marTop w:val="0"/>
                  <w:marBottom w:val="0"/>
                  <w:divBdr>
                    <w:top w:val="none" w:sz="0" w:space="0" w:color="auto"/>
                    <w:left w:val="none" w:sz="0" w:space="0" w:color="auto"/>
                    <w:bottom w:val="none" w:sz="0" w:space="0" w:color="auto"/>
                    <w:right w:val="none" w:sz="0" w:space="0" w:color="auto"/>
                  </w:divBdr>
                  <w:divsChild>
                    <w:div w:id="2032605774">
                      <w:marLeft w:val="0"/>
                      <w:marRight w:val="0"/>
                      <w:marTop w:val="0"/>
                      <w:marBottom w:val="0"/>
                      <w:divBdr>
                        <w:top w:val="none" w:sz="0" w:space="0" w:color="auto"/>
                        <w:left w:val="none" w:sz="0" w:space="0" w:color="auto"/>
                        <w:bottom w:val="none" w:sz="0" w:space="0" w:color="auto"/>
                        <w:right w:val="none" w:sz="0" w:space="0" w:color="auto"/>
                      </w:divBdr>
                    </w:div>
                    <w:div w:id="2032605778">
                      <w:marLeft w:val="0"/>
                      <w:marRight w:val="0"/>
                      <w:marTop w:val="0"/>
                      <w:marBottom w:val="0"/>
                      <w:divBdr>
                        <w:top w:val="none" w:sz="0" w:space="0" w:color="auto"/>
                        <w:left w:val="none" w:sz="0" w:space="0" w:color="auto"/>
                        <w:bottom w:val="none" w:sz="0" w:space="0" w:color="auto"/>
                        <w:right w:val="none" w:sz="0" w:space="0" w:color="auto"/>
                      </w:divBdr>
                    </w:div>
                    <w:div w:id="203260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at.ac.il/mishpat-ivri" TargetMode="External"/><Relationship Id="rId3" Type="http://schemas.openxmlformats.org/officeDocument/2006/relationships/settings" Target="settings.xml"/><Relationship Id="rId7" Type="http://schemas.openxmlformats.org/officeDocument/2006/relationships/hyperlink" Target="http://www.justice.gov.il/mojheb/tfu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daat.ac.il/daat/psk/psk.asp?id=230"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1591</Words>
  <Characters>8422</Characters>
  <Application>Microsoft Office Word</Application>
  <DocSecurity>0</DocSecurity>
  <Lines>140</Lines>
  <Paragraphs>55</Paragraphs>
  <ScaleCrop>false</ScaleCrop>
  <Company/>
  <LinksUpToDate>false</LinksUpToDate>
  <CharactersWithSpaces>9958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מדינת ישראל</dc:title>
  <dc:creator>מיכאל ויגודה</dc:creator>
  <cp:lastModifiedBy>bb bt</cp:lastModifiedBy>
  <cp:revision>2</cp:revision>
  <cp:lastPrinted>2009-09-06T08:46:00Z</cp:lastPrinted>
  <dcterms:created xsi:type="dcterms:W3CDTF">2015-06-09T11:38:00Z</dcterms:created>
  <dcterms:modified xsi:type="dcterms:W3CDTF">2015-06-09T11:38:00Z</dcterms:modified>
</cp:coreProperties>
</file>