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9A" w:rsidRPr="0064729A" w:rsidRDefault="0064729A" w:rsidP="00075AE0">
      <w:pPr>
        <w:pStyle w:val="HeadHatzaotHok"/>
        <w:rPr>
          <w:b w:val="0"/>
          <w:bCs w:val="0"/>
          <w:szCs w:val="20"/>
          <w:rtl/>
        </w:rPr>
      </w:pPr>
      <w:r w:rsidRPr="0064729A">
        <w:rPr>
          <w:szCs w:val="20"/>
          <w:rtl/>
        </w:rPr>
        <w:tab/>
      </w:r>
      <w:r w:rsidRPr="0064729A">
        <w:rPr>
          <w:szCs w:val="20"/>
          <w:rtl/>
        </w:rPr>
        <w:tab/>
      </w:r>
      <w:r w:rsidRPr="0064729A">
        <w:rPr>
          <w:szCs w:val="20"/>
          <w:rtl/>
        </w:rPr>
        <w:tab/>
      </w:r>
      <w:r w:rsidRPr="0064729A">
        <w:rPr>
          <w:szCs w:val="20"/>
          <w:rtl/>
        </w:rPr>
        <w:tab/>
      </w:r>
      <w:r w:rsidRPr="0064729A">
        <w:rPr>
          <w:szCs w:val="20"/>
          <w:rtl/>
        </w:rPr>
        <w:tab/>
      </w:r>
      <w:r w:rsidRPr="0064729A">
        <w:rPr>
          <w:szCs w:val="20"/>
          <w:rtl/>
        </w:rPr>
        <w:tab/>
      </w:r>
      <w:r w:rsidRPr="0064729A">
        <w:rPr>
          <w:szCs w:val="20"/>
          <w:rtl/>
        </w:rPr>
        <w:tab/>
      </w:r>
      <w:r w:rsidRPr="0064729A">
        <w:rPr>
          <w:szCs w:val="20"/>
          <w:rtl/>
        </w:rPr>
        <w:tab/>
      </w:r>
      <w:r w:rsidRPr="0064729A">
        <w:rPr>
          <w:b w:val="0"/>
          <w:bCs w:val="0"/>
          <w:szCs w:val="20"/>
          <w:rtl/>
        </w:rPr>
        <w:t>(מספר פנימי: 549961)</w:t>
      </w:r>
    </w:p>
    <w:p w:rsidR="00075AE0" w:rsidRDefault="00075AE0" w:rsidP="00075AE0">
      <w:pPr>
        <w:pStyle w:val="HeadHatzaotHok"/>
        <w:rPr>
          <w:sz w:val="28"/>
          <w:szCs w:val="28"/>
          <w:rtl/>
        </w:rPr>
      </w:pPr>
      <w:r>
        <w:rPr>
          <w:sz w:val="28"/>
          <w:szCs w:val="28"/>
          <w:rtl/>
        </w:rPr>
        <w:t xml:space="preserve">הכנסת </w:t>
      </w:r>
      <w:bookmarkStart w:id="0" w:name="KnessetNum"/>
      <w:r>
        <w:rPr>
          <w:sz w:val="28"/>
          <w:szCs w:val="28"/>
          <w:rtl/>
        </w:rPr>
        <w:t>התשע-עשרה</w:t>
      </w:r>
      <w:bookmarkEnd w:id="0"/>
    </w:p>
    <w:p w:rsidR="00075AE0" w:rsidRDefault="00075AE0" w:rsidP="00075AE0">
      <w:pPr>
        <w:rPr>
          <w:rFonts w:cs="David"/>
          <w:sz w:val="26"/>
          <w:szCs w:val="26"/>
          <w:rtl/>
        </w:rPr>
      </w:pPr>
    </w:p>
    <w:p w:rsidR="00075AE0" w:rsidRPr="00881846" w:rsidRDefault="00075AE0" w:rsidP="00075AE0">
      <w:pPr>
        <w:pStyle w:val="David"/>
        <w:ind w:left="2880" w:firstLine="663"/>
        <w:rPr>
          <w:b/>
          <w:bCs/>
        </w:rPr>
      </w:pPr>
      <w:bookmarkStart w:id="1" w:name="MKsSingleOrMulti"/>
      <w:r w:rsidRPr="00881846">
        <w:rPr>
          <w:b/>
          <w:bCs/>
          <w:rtl/>
        </w:rPr>
        <w:t>יוזמים:      חברי הכנסת</w:t>
      </w:r>
      <w:r w:rsidRPr="00881846">
        <w:rPr>
          <w:b/>
          <w:bCs/>
        </w:rPr>
        <w:tab/>
      </w:r>
      <w:bookmarkStart w:id="2" w:name="MKs"/>
      <w:r w:rsidRPr="00881846">
        <w:rPr>
          <w:b/>
          <w:bCs/>
          <w:rtl/>
        </w:rPr>
        <w:t>שלי יחימוביץ</w:t>
      </w:r>
      <w:r w:rsidRPr="00881846">
        <w:rPr>
          <w:b/>
          <w:bCs/>
        </w:rPr>
        <w:t>'</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מיכל בירן</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משה מזרחי</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מיקי רוזנטל</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נחמן שי</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איציק שמולי</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עמר בר-לב</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אבישי ברוורמן</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סתיו שפיר</w:t>
      </w:r>
    </w:p>
    <w:p w:rsidR="00075AE0" w:rsidRPr="00881846" w:rsidRDefault="00075AE0" w:rsidP="00075AE0">
      <w:pPr>
        <w:pStyle w:val="David"/>
        <w:ind w:left="2880" w:firstLine="663"/>
        <w:rPr>
          <w:b/>
          <w:bCs/>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יחיאל חיליק בר</w:t>
      </w:r>
    </w:p>
    <w:p w:rsidR="00075AE0" w:rsidRPr="00881846" w:rsidRDefault="00075AE0" w:rsidP="00075AE0">
      <w:pPr>
        <w:pStyle w:val="David"/>
        <w:ind w:left="2880" w:firstLine="663"/>
        <w:rPr>
          <w:b/>
          <w:bCs/>
          <w:rtl/>
        </w:rPr>
      </w:pPr>
      <w:r w:rsidRPr="00881846">
        <w:rPr>
          <w:b/>
          <w:bCs/>
        </w:rPr>
        <w:tab/>
      </w:r>
      <w:r w:rsidRPr="00881846">
        <w:rPr>
          <w:b/>
          <w:bCs/>
        </w:rPr>
        <w:tab/>
      </w:r>
      <w:r w:rsidRPr="00881846">
        <w:rPr>
          <w:b/>
          <w:bCs/>
        </w:rPr>
        <w:tab/>
      </w:r>
      <w:r w:rsidRPr="00881846">
        <w:rPr>
          <w:b/>
          <w:bCs/>
        </w:rPr>
        <w:tab/>
      </w:r>
      <w:r w:rsidRPr="00881846">
        <w:rPr>
          <w:b/>
          <w:bCs/>
        </w:rPr>
        <w:tab/>
      </w:r>
      <w:r w:rsidRPr="00881846">
        <w:rPr>
          <w:b/>
          <w:bCs/>
          <w:rtl/>
        </w:rPr>
        <w:t>איתן כבל</w:t>
      </w:r>
      <w:bookmarkEnd w:id="2"/>
    </w:p>
    <w:p w:rsidR="00075AE0" w:rsidRDefault="002E2526" w:rsidP="00075AE0">
      <w:pPr>
        <w:ind w:firstLine="3543"/>
        <w:rPr>
          <w:rFonts w:cs="David"/>
          <w:sz w:val="26"/>
          <w:szCs w:val="26"/>
          <w:rtl/>
        </w:rPr>
      </w:pPr>
      <w:r>
        <w:rPr>
          <w:noProof/>
          <w:lang w:eastAsia="en-US"/>
        </w:rPr>
        <w:pict>
          <v:polyline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WpNAMAAGMHAAAOAAAAZHJzL2Uyb0RvYy54bWysVW1vmzAQ/j5p/8Hyx0mUlxASopKqDWGa&#10;1G2Vmv0AB0xAA5vZTkg37b/vbAghrapN2/iAztzD3fPc2efrm2NdoQMVsuQswu6VgxFlKc9Ktovw&#10;l01izTGSirCMVJzRCD9RiW+Wb99ct82CerzgVUYFgiBMLtomwoVSzcK2ZVrQmsgr3lAGzpyLmihY&#10;ip2dCdJC9LqyPccJ7JaLrBE8pVLC17hz4qWJn+c0VZ/zXFKFqggDN2Xewry3+m0vr8liJ0hTlGlP&#10;g/wFi5qUDJIOoWKiCNqL8kWoukwFlzxXVymvbZ7nZUqNBlDjOs/UPBakoUYLFEc2Q5nk/wubfjo8&#10;CFRmEfYxYqSGFiWCUl1wNNfVaRu5ANBj8yC0Ptnc8/SrBId94dELCRi0bT/yDKKQveKmIsdc1PpP&#10;0IqOpvBPQ+HpUaEUPk7mQRiE0J8UfO50Ppvq1DZZnH5O91K9p9wEIod7qbq+ZWCZqmc99w3EyOsK&#10;WvjORg5qUeCEft/kAeOOMN4UFcgz6aB5A8QbQXSIVyJNRjBnCAS8dydmpDiRTY+sZwsWIvp8OKZA&#10;DZe6MJo6qN+4vXRAaWmvgIGgBk/GYMh7TiJg6z/f9AIj2PTbrh4NUZqbzqFN1EbYFAsVEYaC6O81&#10;P9ANNwh17l1XLUh2dldsDOvCnLoMwM4Nhk5k+jok15xHvWU8KavKNLdimlI47bmMPILvWWYwBSXZ&#10;urcVKavONhk1a9hevUK90cxx/BE64Xq+nvuW7wVry3fi2LpNVr4VJO5sGk/i1Sp2f2r1rr8oyiyj&#10;TDM6jQbX/7Oj1w+p7lAPw0Hyqsx0OE1Oit12VQl0IDCaEvP0zRzB7EsapnagpRd3kuR6vnPnhVYS&#10;zGeWn/hTK5w5c8txw7swcPzQj5NLSfclo/8u6aI/I9LPtDnmeamNLH7fyKEJmvFZPXT41FszhvTk&#10;6UbVlmdPMIUE7yY93ExgFFx8x6iFKR9h+W1PBMWo+sBgjIau7+trwSz86cyDhRh7tmMPYSmEirDC&#10;cH61uVLdVbJvRLkrIJNrzg3jtzD98lJPKcOvY9UvYJIbJf2to6+K8dqgznfj8hcA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CBJ5ak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w:r>
      <w:r w:rsidR="00075AE0">
        <w:rPr>
          <w:rFonts w:cs="David"/>
          <w:sz w:val="26"/>
          <w:szCs w:val="26"/>
          <w:rtl/>
        </w:rPr>
        <w:tab/>
      </w:r>
    </w:p>
    <w:p w:rsidR="00075AE0" w:rsidRDefault="002E2526" w:rsidP="00075AE0">
      <w:pPr>
        <w:ind w:left="2919" w:firstLine="720"/>
        <w:rPr>
          <w:rFonts w:cs="David"/>
          <w:sz w:val="26"/>
          <w:szCs w:val="26"/>
          <w:rtl/>
        </w:rPr>
      </w:pPr>
      <w:r>
        <w:rPr>
          <w:noProof/>
          <w:lang w:eastAsia="en-US"/>
        </w:rPr>
        <w:pict>
          <v:polyline id="Freeform 7"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g8+wIAAI4GAAAOAAAAZHJzL2Uyb0RvYy54bWysVdtu2zAMfR+wfxD0OCD1Jc4VdYoil2FA&#10;txVo9gGKLMfGbMmTlDjdsH8fKTuO06LAMCwPDmWekIeHInN7dyoLchTa5ErGNLjxKRGSqySX+5h+&#10;224GU0qMZTJhhZIips/C0LvF+3e3dTUXocpUkQhNIIg087qKaWZtNfc8wzNRMnOjKiHBmSpdMgtH&#10;vfcSzWqIXhZe6Ptjr1Y6qbTiwhh4u2qcdOHip6ng9muaGmFJEVPgZt1Tu+cOn97ils33mlVZzlsa&#10;7B9YlCyXkLQLtWKWkYPOX4Uqc66VUam94ar0VJrmXLgaoJrAf1HNU8Yq4WoBcUzVyWT+X1j+5fio&#10;SZ7EdESJZCW0aKOFQMHJBNWpKzMH0FP1qLE+Uz0o/t2Aw7vy4MEAhuzqzyqBKOxglVPklOoSfwm1&#10;kpMT/rkTXpws4fByOJ3MwgAYcPAFkyAaYWqPzc8/5gdjPwrlArHjg7FN3xKwnOpJy30LPU7LAlr4&#10;wSM+qck48GdtkztM0MOEE5KR0FUKzesgYQ+CId6INOzB/C4Q8N6fmbHsTJafZMsWLMJwPnwnUKUM&#10;CoPUofpt0JYOKCztDTAQRPCwD4a8lyQarv7LS68pgUu/a/SomEVumANNUsfUiUWymIIg+L5UR7FV&#10;DmEvvWvUgmQXdyH7sCbMucsAbNxgYCLX1y45cu71VqpNXhSuuYVESrNROHJcjCryBJ1Ix+j9bllo&#10;cmQ41u7TCnEF0+ogExcsEyxZt7ZledHYjhrGg3vYSoE30s3tr5k/W0/X02gQheP1IPJXq8H9ZhkN&#10;xptgMloNV8vlKviN1IJonuVJIiSyO++QIPq7GW23WTP93Ra5quKq2I37vC7Wu6bhRIZazt+uOjex&#10;OKTNVO9U8gwDq1WzFGGJg5Ep/ZOSGhZiTM2PA9OCkuKThI0zC6IIN6g7RKNJCAfd9+z6HiY5hIqp&#10;pXDV0VzaZuseKp3vM8gUuLZKdQ+LIs1xoB2/hlV7gKXnKmgXNG7V/tmhLn8jiz8AAAD//wMAUEsD&#10;BBQABgAIAAAAIQDTmy6M2AAAAAUBAAAPAAAAZHJzL2Rvd25yZXYueG1sTI7BboMwEETvlfIP1lbq&#10;rTEglVQUE6FIOUekPfTo4C3Q4jWynUDy9dme2uNonmZeuV3sKC7ow+BIQbpOQCC1zgzUKfh43z+/&#10;gghRk9GjI1RwxQDbavVQ6sK4mRq8HGMneIRCoRX0MU6FlKHt0eqwdhMSd1/OWx05+k4ar2cet6PM&#10;kiSXVg/ED72ecNdj+3M8WwWftybf19JjfWg2V5aR37M5KPX0uNRvICIu8Q+GX31Wh4qdTu5MJohR&#10;Qcacgs0LCC7zNE1BnJhKMpBVKf/bV3cAAAD//wMAUEsBAi0AFAAGAAgAAAAhALaDOJL+AAAA4QEA&#10;ABMAAAAAAAAAAAAAAAAAAAAAAFtDb250ZW50X1R5cGVzXS54bWxQSwECLQAUAAYACAAAACEAOP0h&#10;/9YAAACUAQAACwAAAAAAAAAAAAAAAAAvAQAAX3JlbHMvLnJlbHNQSwECLQAUAAYACAAAACEAHorY&#10;PPsCAACOBgAADgAAAAAAAAAAAAAAAAAuAgAAZHJzL2Uyb0RvYy54bWxQSwECLQAUAAYACAAAACEA&#10;05sujNgAAAAFAQAADwAAAAAAAAAAAAAAAABVBQAAZHJzL2Rvd25yZXYueG1sUEsFBgAAAAAEAAQA&#10;8wAAAFoGAAAAAA==&#10;" filled="f">
            <v:path arrowok="t" o:connecttype="custom" o:connectlocs="0,17145;3879215,0" o:connectangles="0,0"/>
          </v:polyline>
        </w:pict>
      </w:r>
      <w:r w:rsidR="00075AE0">
        <w:rPr>
          <w:rFonts w:cs="David"/>
          <w:sz w:val="26"/>
          <w:szCs w:val="26"/>
          <w:rtl/>
        </w:rPr>
        <w:tab/>
      </w:r>
      <w:r w:rsidR="00075AE0">
        <w:rPr>
          <w:rFonts w:cs="David"/>
          <w:sz w:val="26"/>
          <w:szCs w:val="26"/>
          <w:rtl/>
        </w:rPr>
        <w:tab/>
      </w:r>
      <w:r w:rsidR="00075AE0">
        <w:rPr>
          <w:rFonts w:cs="David"/>
          <w:sz w:val="26"/>
          <w:szCs w:val="26"/>
          <w:rtl/>
        </w:rPr>
        <w:tab/>
      </w:r>
      <w:r w:rsidR="00075AE0">
        <w:rPr>
          <w:rFonts w:cs="David"/>
          <w:sz w:val="26"/>
          <w:szCs w:val="26"/>
          <w:rtl/>
        </w:rPr>
        <w:tab/>
      </w:r>
      <w:bookmarkStart w:id="3" w:name="LawNum"/>
      <w:r w:rsidR="00D35AB8" w:rsidRPr="00D35AB8">
        <w:rPr>
          <w:rFonts w:cs="David"/>
          <w:sz w:val="26"/>
          <w:szCs w:val="26"/>
          <w:rtl/>
        </w:rPr>
        <w:t>פ/2521/19</w:t>
      </w:r>
      <w:bookmarkEnd w:id="3"/>
      <w:r w:rsidR="00075AE0">
        <w:rPr>
          <w:rFonts w:cs="David"/>
          <w:sz w:val="26"/>
          <w:szCs w:val="26"/>
          <w:rtl/>
        </w:rPr>
        <w:tab/>
      </w:r>
      <w:r w:rsidR="00075AE0">
        <w:rPr>
          <w:rFonts w:cs="David"/>
          <w:sz w:val="26"/>
          <w:szCs w:val="26"/>
          <w:rtl/>
        </w:rPr>
        <w:tab/>
      </w:r>
      <w:r w:rsidR="00075AE0">
        <w:rPr>
          <w:rFonts w:cs="David"/>
          <w:sz w:val="26"/>
          <w:szCs w:val="26"/>
          <w:rtl/>
        </w:rPr>
        <w:tab/>
      </w:r>
    </w:p>
    <w:p w:rsidR="00075AE0" w:rsidRDefault="00075AE0" w:rsidP="00075AE0">
      <w:pPr>
        <w:spacing w:before="0" w:line="360" w:lineRule="auto"/>
        <w:ind w:left="2880" w:firstLine="720"/>
        <w:rPr>
          <w:rFonts w:cs="David"/>
          <w:sz w:val="26"/>
          <w:szCs w:val="26"/>
          <w:rtl/>
        </w:rPr>
      </w:pPr>
      <w:bookmarkStart w:id="4" w:name="MKsSingleOrMulti1"/>
      <w:bookmarkStart w:id="5" w:name="MKs1"/>
      <w:bookmarkEnd w:id="1"/>
      <w:bookmarkEnd w:id="4"/>
      <w:bookmarkEnd w:id="5"/>
    </w:p>
    <w:p w:rsidR="00075AE0" w:rsidRDefault="00D843D5" w:rsidP="0064729A">
      <w:pPr>
        <w:pStyle w:val="HeadHatzaotHok"/>
        <w:tabs>
          <w:tab w:val="left" w:pos="4071"/>
          <w:tab w:val="center" w:pos="4819"/>
        </w:tabs>
        <w:spacing w:before="0" w:line="240" w:lineRule="auto"/>
        <w:rPr>
          <w:sz w:val="26"/>
          <w:rtl/>
        </w:rPr>
      </w:pPr>
      <w:bookmarkStart w:id="6" w:name="Title"/>
      <w:r w:rsidRPr="00D843D5">
        <w:rPr>
          <w:sz w:val="26"/>
          <w:rtl/>
        </w:rPr>
        <w:t>הצעת חוק נישואין אזרחיים בישראל, התשע"ד</w:t>
      </w:r>
      <w:bookmarkEnd w:id="6"/>
      <w:r w:rsidR="0064729A">
        <w:rPr>
          <w:sz w:val="26"/>
          <w:rtl/>
        </w:rPr>
        <w:t>–2014</w:t>
      </w:r>
    </w:p>
    <w:p w:rsidR="00075AE0" w:rsidRDefault="00075AE0" w:rsidP="00075AE0">
      <w:pPr>
        <w:pStyle w:val="HeadHatzaotHok"/>
        <w:tabs>
          <w:tab w:val="left" w:pos="4071"/>
          <w:tab w:val="center" w:pos="4819"/>
        </w:tabs>
        <w:spacing w:before="0"/>
        <w:rPr>
          <w:sz w:val="24"/>
          <w:szCs w:val="24"/>
          <w:rtl/>
        </w:rPr>
      </w:pPr>
    </w:p>
    <w:tbl>
      <w:tblPr>
        <w:bidiVisual/>
        <w:tblW w:w="9638" w:type="dxa"/>
        <w:tblLayout w:type="fixed"/>
        <w:tblCellMar>
          <w:top w:w="57" w:type="dxa"/>
          <w:left w:w="0" w:type="dxa"/>
          <w:bottom w:w="57" w:type="dxa"/>
          <w:right w:w="0" w:type="dxa"/>
        </w:tblCellMar>
        <w:tblLook w:val="01E0"/>
      </w:tblPr>
      <w:tblGrid>
        <w:gridCol w:w="1870"/>
        <w:gridCol w:w="628"/>
        <w:gridCol w:w="624"/>
        <w:gridCol w:w="1872"/>
        <w:gridCol w:w="623"/>
        <w:gridCol w:w="4021"/>
      </w:tblGrid>
      <w:tr w:rsidR="00075AE0" w:rsidRPr="00A168AF" w:rsidTr="0064729A">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pPr>
          </w:p>
        </w:tc>
        <w:tc>
          <w:tcPr>
            <w:tcW w:w="7140" w:type="dxa"/>
            <w:gridSpan w:val="4"/>
          </w:tcPr>
          <w:p w:rsidR="00075AE0" w:rsidRPr="00A168AF" w:rsidRDefault="00075AE0" w:rsidP="00881846">
            <w:pPr>
              <w:pStyle w:val="TableHead"/>
            </w:pPr>
            <w:r w:rsidRPr="00881846">
              <w:rPr>
                <w:rtl/>
              </w:rPr>
              <w:t>פרק א': נישואין</w:t>
            </w:r>
          </w:p>
        </w:tc>
      </w:tr>
      <w:tr w:rsidR="00075AE0" w:rsidRPr="00A168AF" w:rsidTr="0064729A">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pPr>
          </w:p>
        </w:tc>
        <w:tc>
          <w:tcPr>
            <w:tcW w:w="7140" w:type="dxa"/>
            <w:gridSpan w:val="4"/>
          </w:tcPr>
          <w:p w:rsidR="00075AE0" w:rsidRPr="00A168AF" w:rsidRDefault="00075AE0" w:rsidP="00881846">
            <w:pPr>
              <w:pStyle w:val="TableHead"/>
              <w:rPr>
                <w:rtl/>
              </w:rPr>
            </w:pPr>
            <w:r w:rsidRPr="00881846">
              <w:rPr>
                <w:rtl/>
              </w:rPr>
              <w:t>סימן א': נישואין לפי בחירה</w:t>
            </w:r>
          </w:p>
        </w:tc>
      </w:tr>
      <w:tr w:rsidR="00075AE0" w:rsidRPr="00FF1B18" w:rsidTr="0064729A">
        <w:trPr>
          <w:cantSplit/>
        </w:trPr>
        <w:tc>
          <w:tcPr>
            <w:tcW w:w="1870" w:type="dxa"/>
          </w:tcPr>
          <w:p w:rsidR="00075AE0" w:rsidRPr="00881846" w:rsidRDefault="00075AE0" w:rsidP="00881846">
            <w:pPr>
              <w:pStyle w:val="TableSideHeading"/>
              <w:rPr>
                <w:rtl/>
              </w:rPr>
            </w:pPr>
            <w:r w:rsidRPr="00881846">
              <w:rPr>
                <w:rtl/>
              </w:rPr>
              <w:t>הגדרות</w:t>
            </w:r>
          </w:p>
        </w:tc>
        <w:tc>
          <w:tcPr>
            <w:tcW w:w="628" w:type="dxa"/>
          </w:tcPr>
          <w:p w:rsidR="00075AE0" w:rsidRPr="00881846" w:rsidRDefault="00075AE0" w:rsidP="00881846">
            <w:pPr>
              <w:pStyle w:val="TableText"/>
              <w:ind w:right="0"/>
              <w:jc w:val="both"/>
            </w:pPr>
            <w:r w:rsidRPr="00881846">
              <w:rPr>
                <w:rtl/>
              </w:rPr>
              <w:t>1.</w:t>
            </w:r>
          </w:p>
        </w:tc>
        <w:tc>
          <w:tcPr>
            <w:tcW w:w="7140" w:type="dxa"/>
            <w:gridSpan w:val="4"/>
          </w:tcPr>
          <w:p w:rsidR="00075AE0" w:rsidRPr="00A168AF" w:rsidRDefault="00075AE0" w:rsidP="00881846">
            <w:pPr>
              <w:pStyle w:val="TableBlock"/>
            </w:pPr>
            <w:r w:rsidRPr="00881846">
              <w:rPr>
                <w:rtl/>
              </w:rPr>
              <w:t>בחוק</w:t>
            </w:r>
            <w:r w:rsidRPr="00A168AF">
              <w:rPr>
                <w:rtl/>
              </w:rPr>
              <w:t xml:space="preserve"> </w:t>
            </w:r>
            <w:r w:rsidRPr="00881846">
              <w:rPr>
                <w:rtl/>
              </w:rPr>
              <w:t>זה –</w:t>
            </w:r>
          </w:p>
        </w:tc>
      </w:tr>
      <w:tr w:rsidR="00075AE0" w:rsidRPr="00FF1B18" w:rsidTr="0064729A">
        <w:trPr>
          <w:cantSplit/>
        </w:trPr>
        <w:tc>
          <w:tcPr>
            <w:tcW w:w="1870" w:type="dxa"/>
          </w:tcPr>
          <w:p w:rsidR="00075AE0" w:rsidRPr="00881846" w:rsidRDefault="00075AE0" w:rsidP="00881846">
            <w:pPr>
              <w:pStyle w:val="TableSideHeading"/>
              <w:rPr>
                <w:rtl/>
              </w:rPr>
            </w:pPr>
          </w:p>
        </w:tc>
        <w:tc>
          <w:tcPr>
            <w:tcW w:w="628" w:type="dxa"/>
          </w:tcPr>
          <w:p w:rsidR="00075AE0" w:rsidRPr="00881846" w:rsidRDefault="00075AE0" w:rsidP="00881846">
            <w:pPr>
              <w:pStyle w:val="TableText"/>
              <w:ind w:right="0"/>
              <w:jc w:val="both"/>
              <w:rPr>
                <w:rtl/>
              </w:rPr>
            </w:pPr>
          </w:p>
        </w:tc>
        <w:tc>
          <w:tcPr>
            <w:tcW w:w="7140" w:type="dxa"/>
            <w:gridSpan w:val="4"/>
          </w:tcPr>
          <w:p w:rsidR="00075AE0" w:rsidRPr="00881846" w:rsidRDefault="00075AE0" w:rsidP="00881846">
            <w:pPr>
              <w:pStyle w:val="TableBlockOutdent"/>
              <w:rPr>
                <w:rtl/>
              </w:rPr>
            </w:pPr>
            <w:r w:rsidRPr="00881846">
              <w:rPr>
                <w:rtl/>
              </w:rPr>
              <w:t>"בית המשפט" – בית המשפט לענייני משפחה;</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rPr>
                <w:rtl/>
              </w:rPr>
            </w:pPr>
          </w:p>
        </w:tc>
        <w:tc>
          <w:tcPr>
            <w:tcW w:w="7140" w:type="dxa"/>
            <w:gridSpan w:val="4"/>
          </w:tcPr>
          <w:p w:rsidR="00075AE0" w:rsidRPr="00881846" w:rsidRDefault="00075AE0" w:rsidP="00881846">
            <w:pPr>
              <w:pStyle w:val="TableBlockOutdent"/>
              <w:rPr>
                <w:rtl/>
              </w:rPr>
            </w:pPr>
            <w:r w:rsidRPr="00881846">
              <w:rPr>
                <w:rtl/>
              </w:rPr>
              <w:t>"בית דין דתי" – בית דין רבני, בית דין שרעי, בית דין של עדה נוצרית ובית דין דתי דרוזי;</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rPr>
                <w:rtl/>
              </w:rPr>
            </w:pPr>
          </w:p>
        </w:tc>
        <w:tc>
          <w:tcPr>
            <w:tcW w:w="7140" w:type="dxa"/>
            <w:gridSpan w:val="4"/>
          </w:tcPr>
          <w:p w:rsidR="00075AE0" w:rsidRPr="00881846" w:rsidRDefault="00075AE0" w:rsidP="00881846">
            <w:pPr>
              <w:pStyle w:val="TableBlockOutdent"/>
              <w:rPr>
                <w:rtl/>
              </w:rPr>
            </w:pPr>
            <w:r w:rsidRPr="00881846">
              <w:rPr>
                <w:rtl/>
              </w:rPr>
              <w:t>"בני זוג" – שני בני אדם;</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pPr>
          </w:p>
        </w:tc>
        <w:tc>
          <w:tcPr>
            <w:tcW w:w="7140" w:type="dxa"/>
            <w:gridSpan w:val="4"/>
          </w:tcPr>
          <w:p w:rsidR="00075AE0" w:rsidRPr="00881846" w:rsidRDefault="00075AE0" w:rsidP="00881846">
            <w:pPr>
              <w:pStyle w:val="TableBlockOutdent"/>
              <w:rPr>
                <w:rtl/>
              </w:rPr>
            </w:pPr>
            <w:r w:rsidRPr="00881846">
              <w:rPr>
                <w:rtl/>
              </w:rPr>
              <w:t>"רשם" – רשם הנישואין שיוקם לפי חוק זה;</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rPr>
                <w:rtl/>
              </w:rPr>
            </w:pPr>
          </w:p>
        </w:tc>
        <w:tc>
          <w:tcPr>
            <w:tcW w:w="7140" w:type="dxa"/>
            <w:gridSpan w:val="4"/>
          </w:tcPr>
          <w:p w:rsidR="00075AE0" w:rsidRPr="00881846" w:rsidRDefault="00075AE0" w:rsidP="00881846">
            <w:pPr>
              <w:pStyle w:val="TableBlockOutdent"/>
              <w:rPr>
                <w:rtl/>
              </w:rPr>
            </w:pPr>
            <w:r w:rsidRPr="00881846">
              <w:rPr>
                <w:rtl/>
              </w:rPr>
              <w:t>"השר" – שר המשפטים.</w:t>
            </w:r>
          </w:p>
        </w:tc>
      </w:tr>
      <w:tr w:rsidR="00075AE0" w:rsidTr="0064729A">
        <w:tblPrEx>
          <w:tblLook w:val="0000"/>
        </w:tblPrEx>
        <w:trPr>
          <w:cantSplit/>
        </w:trPr>
        <w:tc>
          <w:tcPr>
            <w:tcW w:w="1870" w:type="dxa"/>
          </w:tcPr>
          <w:p w:rsidR="00075AE0" w:rsidRPr="00881846" w:rsidRDefault="00075AE0" w:rsidP="00881846">
            <w:pPr>
              <w:pStyle w:val="TableSideHeading"/>
            </w:pPr>
            <w:r w:rsidRPr="00881846">
              <w:rPr>
                <w:rtl/>
              </w:rPr>
              <w:t>הזכות להינשא</w:t>
            </w:r>
          </w:p>
        </w:tc>
        <w:tc>
          <w:tcPr>
            <w:tcW w:w="628" w:type="dxa"/>
          </w:tcPr>
          <w:p w:rsidR="00075AE0" w:rsidRPr="00881846" w:rsidRDefault="00075AE0" w:rsidP="00881846">
            <w:pPr>
              <w:pStyle w:val="TableText"/>
              <w:ind w:right="0"/>
              <w:jc w:val="both"/>
            </w:pPr>
            <w:r w:rsidRPr="00881846">
              <w:rPr>
                <w:rtl/>
              </w:rPr>
              <w:t>2.</w:t>
            </w:r>
          </w:p>
        </w:tc>
        <w:tc>
          <w:tcPr>
            <w:tcW w:w="7140" w:type="dxa"/>
            <w:gridSpan w:val="4"/>
          </w:tcPr>
          <w:p w:rsidR="00075AE0" w:rsidRPr="00881846" w:rsidRDefault="00075AE0" w:rsidP="00881846">
            <w:pPr>
              <w:pStyle w:val="TableBlock"/>
            </w:pPr>
            <w:r>
              <w:rPr>
                <w:rtl/>
              </w:rPr>
              <w:t>(א)</w:t>
            </w:r>
            <w:r>
              <w:rPr>
                <w:rtl/>
              </w:rPr>
              <w:tab/>
            </w:r>
            <w:r w:rsidRPr="00881846">
              <w:rPr>
                <w:rtl/>
              </w:rPr>
              <w:t xml:space="preserve">כל אדם זכאי להינשא ולהקים משפחה. </w:t>
            </w:r>
            <w:r w:rsidRPr="00881846">
              <w:rPr>
                <w:rtl/>
              </w:rPr>
              <w:tab/>
              <w:t xml:space="preserve"> </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pPr>
          </w:p>
        </w:tc>
        <w:tc>
          <w:tcPr>
            <w:tcW w:w="7140" w:type="dxa"/>
            <w:gridSpan w:val="4"/>
          </w:tcPr>
          <w:p w:rsidR="00075AE0" w:rsidRPr="00881846" w:rsidRDefault="00075AE0" w:rsidP="00881846">
            <w:pPr>
              <w:pStyle w:val="TableBlock"/>
            </w:pPr>
            <w:r>
              <w:rPr>
                <w:rtl/>
              </w:rPr>
              <w:t>(ב)</w:t>
            </w:r>
            <w:r>
              <w:rPr>
                <w:rtl/>
              </w:rPr>
              <w:tab/>
            </w:r>
            <w:r w:rsidRPr="00881846">
              <w:rPr>
                <w:rtl/>
              </w:rPr>
              <w:t xml:space="preserve">הזכות להינשא תכובד ללא כל הפליה, ולא תוגבל אלא בחוק, שנועד לתכלית ראויה ובמידה שאינה עולה על הנדרש.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נישואין אזרחיים</w:t>
            </w:r>
          </w:p>
        </w:tc>
        <w:tc>
          <w:tcPr>
            <w:tcW w:w="628" w:type="dxa"/>
          </w:tcPr>
          <w:p w:rsidR="00075AE0" w:rsidRDefault="00075AE0" w:rsidP="00881846">
            <w:pPr>
              <w:pStyle w:val="TableText"/>
              <w:keepLines w:val="0"/>
              <w:rPr>
                <w:sz w:val="26"/>
              </w:rPr>
            </w:pPr>
            <w:r>
              <w:rPr>
                <w:sz w:val="26"/>
                <w:rtl/>
              </w:rPr>
              <w:t>3.</w:t>
            </w:r>
          </w:p>
        </w:tc>
        <w:tc>
          <w:tcPr>
            <w:tcW w:w="7140" w:type="dxa"/>
            <w:gridSpan w:val="4"/>
          </w:tcPr>
          <w:p w:rsidR="00075AE0" w:rsidRDefault="00075AE0" w:rsidP="00881846">
            <w:pPr>
              <w:pStyle w:val="TableBlock"/>
              <w:rPr>
                <w:sz w:val="26"/>
              </w:rPr>
            </w:pPr>
            <w:r>
              <w:rPr>
                <w:sz w:val="26"/>
                <w:rtl/>
                <w:lang w:eastAsia="en-US"/>
              </w:rPr>
              <w:t xml:space="preserve">נישואין אזרחיים ייערכו בישראל על פי הוראות חוק זה (להלן – נישואין אזרחיים). </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Head"/>
              <w:rPr>
                <w:sz w:val="26"/>
              </w:rPr>
            </w:pPr>
            <w:r>
              <w:rPr>
                <w:sz w:val="26"/>
                <w:rtl/>
              </w:rPr>
              <w:t>סימן ב': הוראות כלליות לעניין נישואין אזרחיים</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כשירות לנישואין</w:t>
            </w:r>
          </w:p>
        </w:tc>
        <w:tc>
          <w:tcPr>
            <w:tcW w:w="628" w:type="dxa"/>
          </w:tcPr>
          <w:p w:rsidR="00075AE0" w:rsidRDefault="00075AE0" w:rsidP="00881846">
            <w:pPr>
              <w:pStyle w:val="TableText"/>
              <w:keepLines w:val="0"/>
              <w:rPr>
                <w:sz w:val="26"/>
              </w:rPr>
            </w:pPr>
            <w:r>
              <w:rPr>
                <w:sz w:val="26"/>
                <w:rtl/>
              </w:rPr>
              <w:t>4.</w:t>
            </w:r>
          </w:p>
        </w:tc>
        <w:tc>
          <w:tcPr>
            <w:tcW w:w="7140" w:type="dxa"/>
            <w:gridSpan w:val="4"/>
          </w:tcPr>
          <w:p w:rsidR="00075AE0" w:rsidRDefault="00075AE0" w:rsidP="00881846">
            <w:pPr>
              <w:pStyle w:val="TableBlock"/>
              <w:rPr>
                <w:sz w:val="26"/>
                <w:lang w:eastAsia="en-US"/>
              </w:rPr>
            </w:pPr>
            <w:r>
              <w:rPr>
                <w:sz w:val="26"/>
                <w:rtl/>
                <w:lang w:eastAsia="en-US"/>
              </w:rPr>
              <w:t>(א)</w:t>
            </w:r>
            <w:r>
              <w:rPr>
                <w:sz w:val="26"/>
                <w:rtl/>
                <w:lang w:eastAsia="en-US"/>
              </w:rPr>
              <w:tab/>
              <w:t>לא יינשא אדם אם הוא נשוי או רשום במרשם זוגיות כבן זוג לאדם אחר, בארץ או במדינת חוץ.</w:t>
            </w:r>
          </w:p>
        </w:tc>
      </w:tr>
      <w:tr w:rsidR="00075AE0" w:rsidTr="0064729A">
        <w:trPr>
          <w:cantSplit/>
        </w:trPr>
        <w:tc>
          <w:tcPr>
            <w:tcW w:w="1870" w:type="dxa"/>
          </w:tcPr>
          <w:p w:rsidR="00075AE0" w:rsidRPr="00881846" w:rsidRDefault="00075AE0" w:rsidP="00881846">
            <w:pPr>
              <w:pStyle w:val="TableSideHeading"/>
            </w:pPr>
          </w:p>
        </w:tc>
        <w:tc>
          <w:tcPr>
            <w:tcW w:w="628" w:type="dxa"/>
          </w:tcPr>
          <w:p w:rsidR="00075AE0" w:rsidRDefault="00075AE0" w:rsidP="00881846">
            <w:pPr>
              <w:pStyle w:val="TableText"/>
            </w:pPr>
          </w:p>
        </w:tc>
        <w:tc>
          <w:tcPr>
            <w:tcW w:w="624" w:type="dxa"/>
          </w:tcPr>
          <w:p w:rsidR="00075AE0" w:rsidRPr="006E1F0A" w:rsidRDefault="00075AE0" w:rsidP="00881846">
            <w:pPr>
              <w:pStyle w:val="TableText"/>
            </w:pPr>
            <w:r w:rsidRPr="006E1F0A">
              <w:rPr>
                <w:sz w:val="26"/>
                <w:rtl/>
                <w:lang w:eastAsia="en-US"/>
              </w:rPr>
              <w:t>(ב)</w:t>
            </w:r>
          </w:p>
        </w:tc>
        <w:tc>
          <w:tcPr>
            <w:tcW w:w="6516" w:type="dxa"/>
            <w:gridSpan w:val="3"/>
          </w:tcPr>
          <w:p w:rsidR="00075AE0" w:rsidRPr="006E1F0A" w:rsidRDefault="00075AE0" w:rsidP="00881846">
            <w:pPr>
              <w:pStyle w:val="TableBlock"/>
            </w:pPr>
            <w:r w:rsidRPr="006E1F0A">
              <w:rPr>
                <w:rtl/>
              </w:rPr>
              <w:t>(1)</w:t>
            </w:r>
            <w:r w:rsidRPr="006E1F0A">
              <w:rPr>
                <w:rtl/>
              </w:rPr>
              <w:tab/>
            </w:r>
            <w:r w:rsidRPr="006E1F0A">
              <w:rPr>
                <w:sz w:val="26"/>
                <w:rtl/>
                <w:lang w:eastAsia="en-US"/>
              </w:rPr>
              <w:t>לא יינשא אדם לבן זוג שהוא הורהו, הורה של הורהו, צאצאו או אחיו בקרבת דם.</w:t>
            </w:r>
          </w:p>
        </w:tc>
      </w:tr>
      <w:tr w:rsidR="00075AE0" w:rsidTr="0064729A">
        <w:trPr>
          <w:cantSplit/>
        </w:trPr>
        <w:tc>
          <w:tcPr>
            <w:tcW w:w="1870" w:type="dxa"/>
          </w:tcPr>
          <w:p w:rsidR="00075AE0" w:rsidRDefault="00075AE0" w:rsidP="00881846">
            <w:pPr>
              <w:pStyle w:val="TableSideHeading"/>
            </w:pPr>
          </w:p>
        </w:tc>
        <w:tc>
          <w:tcPr>
            <w:tcW w:w="628" w:type="dxa"/>
          </w:tcPr>
          <w:p w:rsidR="00075AE0" w:rsidRDefault="00075AE0" w:rsidP="00881846">
            <w:pPr>
              <w:pStyle w:val="TableText"/>
            </w:pPr>
          </w:p>
        </w:tc>
        <w:tc>
          <w:tcPr>
            <w:tcW w:w="624" w:type="dxa"/>
          </w:tcPr>
          <w:p w:rsidR="00075AE0" w:rsidRPr="006E1F0A" w:rsidRDefault="00075AE0" w:rsidP="00881846">
            <w:pPr>
              <w:pStyle w:val="TableText"/>
              <w:rPr>
                <w:sz w:val="26"/>
                <w:rtl/>
                <w:lang w:eastAsia="en-US"/>
              </w:rPr>
            </w:pPr>
          </w:p>
        </w:tc>
        <w:tc>
          <w:tcPr>
            <w:tcW w:w="6516" w:type="dxa"/>
            <w:gridSpan w:val="3"/>
          </w:tcPr>
          <w:p w:rsidR="00075AE0" w:rsidRPr="006E1F0A" w:rsidRDefault="00075AE0" w:rsidP="00881846">
            <w:pPr>
              <w:pStyle w:val="TableBlock"/>
              <w:rPr>
                <w:rtl/>
              </w:rPr>
            </w:pPr>
            <w:r w:rsidRPr="006E1F0A">
              <w:rPr>
                <w:rtl/>
              </w:rPr>
              <w:t>(2)</w:t>
            </w:r>
            <w:r w:rsidRPr="006E1F0A">
              <w:rPr>
                <w:rtl/>
              </w:rPr>
              <w:tab/>
            </w:r>
            <w:r w:rsidRPr="006E1F0A">
              <w:rPr>
                <w:sz w:val="26"/>
                <w:rtl/>
                <w:lang w:eastAsia="en-US"/>
              </w:rPr>
              <w:t>לא יינשא אדם לבן זוג שהוא הורהו, הורה של הורהו</w:t>
            </w:r>
            <w:r w:rsidRPr="006E1F0A">
              <w:rPr>
                <w:rtl/>
              </w:rPr>
              <w:t xml:space="preserve"> או צאצאו בקרבה משפטית.</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sz w:val="26"/>
                <w:rtl/>
                <w:lang w:eastAsia="en-US"/>
              </w:rPr>
            </w:pPr>
            <w:r>
              <w:rPr>
                <w:sz w:val="26"/>
                <w:rtl/>
                <w:lang w:eastAsia="en-US"/>
              </w:rPr>
              <w:t>(ג)</w:t>
            </w:r>
            <w:r>
              <w:rPr>
                <w:sz w:val="26"/>
                <w:rtl/>
                <w:lang w:eastAsia="en-US"/>
              </w:rPr>
              <w:tab/>
              <w:t>לא יינשא אדם בטרם מלאו לו 18 שנים.</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הודעה בידי רשם</w:t>
            </w:r>
          </w:p>
        </w:tc>
        <w:tc>
          <w:tcPr>
            <w:tcW w:w="628" w:type="dxa"/>
          </w:tcPr>
          <w:p w:rsidR="00075AE0" w:rsidRDefault="00075AE0" w:rsidP="00881846">
            <w:pPr>
              <w:pStyle w:val="TableText"/>
              <w:rPr>
                <w:sz w:val="26"/>
              </w:rPr>
            </w:pPr>
            <w:r>
              <w:rPr>
                <w:sz w:val="26"/>
                <w:rtl/>
              </w:rPr>
              <w:t>5.</w:t>
            </w:r>
          </w:p>
        </w:tc>
        <w:tc>
          <w:tcPr>
            <w:tcW w:w="7140" w:type="dxa"/>
            <w:gridSpan w:val="4"/>
          </w:tcPr>
          <w:p w:rsidR="00075AE0" w:rsidRDefault="00075AE0" w:rsidP="00881846">
            <w:pPr>
              <w:pStyle w:val="TableBlock"/>
              <w:rPr>
                <w:sz w:val="26"/>
              </w:rPr>
            </w:pPr>
            <w:r>
              <w:rPr>
                <w:sz w:val="26"/>
                <w:rtl/>
                <w:lang w:eastAsia="en-US"/>
              </w:rPr>
              <w:t xml:space="preserve">(א) </w:t>
            </w:r>
            <w:r>
              <w:rPr>
                <w:sz w:val="26"/>
                <w:rtl/>
                <w:lang w:eastAsia="en-US"/>
              </w:rPr>
              <w:tab/>
              <w:t xml:space="preserve">בעת הרישום לנישואין, רשם הנישואין ימסור לבני הזוג דברי הסבר לנישאים על פי נוסח שייקבע בתקנות ויסביר לבני הזוג את האמור בהם בשפה המובנת להם. </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rPr>
                <w:sz w:val="26"/>
              </w:rPr>
            </w:pPr>
          </w:p>
        </w:tc>
        <w:tc>
          <w:tcPr>
            <w:tcW w:w="7140" w:type="dxa"/>
            <w:gridSpan w:val="4"/>
          </w:tcPr>
          <w:p w:rsidR="00075AE0" w:rsidRPr="00C87D11" w:rsidRDefault="00075AE0" w:rsidP="00881846">
            <w:pPr>
              <w:pStyle w:val="TableBlock"/>
            </w:pPr>
            <w:r w:rsidRPr="00881846">
              <w:rPr>
                <w:rtl/>
              </w:rPr>
              <w:t>(ב)</w:t>
            </w:r>
            <w:r w:rsidRPr="00881846">
              <w:rPr>
                <w:rtl/>
              </w:rPr>
              <w:tab/>
              <w:t xml:space="preserve">דברי ההסבר לנישאים יכללו, בין היתר, את העניינים המפורטים להלן: </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rPr>
                <w:sz w:val="26"/>
              </w:rPr>
            </w:pPr>
          </w:p>
        </w:tc>
        <w:tc>
          <w:tcPr>
            <w:tcW w:w="624" w:type="dxa"/>
          </w:tcPr>
          <w:p w:rsidR="00075AE0" w:rsidRDefault="00075AE0" w:rsidP="00881846">
            <w:pPr>
              <w:pStyle w:val="TableText"/>
              <w:rPr>
                <w:sz w:val="26"/>
              </w:rPr>
            </w:pPr>
          </w:p>
        </w:tc>
        <w:tc>
          <w:tcPr>
            <w:tcW w:w="6516" w:type="dxa"/>
            <w:gridSpan w:val="3"/>
          </w:tcPr>
          <w:p w:rsidR="00075AE0" w:rsidRDefault="00075AE0" w:rsidP="00881846">
            <w:pPr>
              <w:pStyle w:val="TableBlock"/>
              <w:rPr>
                <w:sz w:val="26"/>
              </w:rPr>
            </w:pPr>
            <w:r>
              <w:rPr>
                <w:sz w:val="26"/>
                <w:rtl/>
                <w:lang w:eastAsia="en-US"/>
              </w:rPr>
              <w:t>(1)</w:t>
            </w:r>
            <w:r>
              <w:rPr>
                <w:sz w:val="26"/>
                <w:rtl/>
              </w:rPr>
              <w:tab/>
            </w:r>
            <w:r>
              <w:rPr>
                <w:sz w:val="26"/>
                <w:rtl/>
                <w:lang w:eastAsia="en-US"/>
              </w:rPr>
              <w:t>ההשלכות המשפטיות של דרך הנישואין שבה בחרו, לרבות ביחס למסלול הגירושין</w:t>
            </w:r>
            <w:r>
              <w:rPr>
                <w:sz w:val="26"/>
                <w:rtl/>
              </w:rPr>
              <w:t>;</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rPr>
                <w:sz w:val="26"/>
              </w:rPr>
            </w:pPr>
          </w:p>
        </w:tc>
        <w:tc>
          <w:tcPr>
            <w:tcW w:w="624" w:type="dxa"/>
          </w:tcPr>
          <w:p w:rsidR="00075AE0" w:rsidRDefault="00075AE0" w:rsidP="00881846">
            <w:pPr>
              <w:pStyle w:val="TableText"/>
              <w:rPr>
                <w:sz w:val="26"/>
                <w:lang w:eastAsia="en-US"/>
              </w:rPr>
            </w:pPr>
          </w:p>
        </w:tc>
        <w:tc>
          <w:tcPr>
            <w:tcW w:w="6516" w:type="dxa"/>
            <w:gridSpan w:val="3"/>
          </w:tcPr>
          <w:p w:rsidR="00075AE0" w:rsidRDefault="00075AE0" w:rsidP="00881846">
            <w:pPr>
              <w:pStyle w:val="TableBlock"/>
              <w:rPr>
                <w:sz w:val="26"/>
                <w:lang w:eastAsia="en-US"/>
              </w:rPr>
            </w:pPr>
            <w:r>
              <w:rPr>
                <w:sz w:val="26"/>
                <w:rtl/>
                <w:lang w:eastAsia="en-US"/>
              </w:rPr>
              <w:t>(2)</w:t>
            </w:r>
            <w:r>
              <w:rPr>
                <w:sz w:val="26"/>
                <w:rtl/>
                <w:lang w:eastAsia="en-US"/>
              </w:rPr>
              <w:tab/>
              <w:t>מהותו של הסכם יחסי ממון וההסדר החל בהיעדר הסכם שכזה.</w:t>
            </w:r>
            <w:r>
              <w:rPr>
                <w:sz w:val="26"/>
                <w:rtl/>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ביצוע</w:t>
            </w:r>
          </w:p>
        </w:tc>
        <w:tc>
          <w:tcPr>
            <w:tcW w:w="628" w:type="dxa"/>
          </w:tcPr>
          <w:p w:rsidR="00075AE0" w:rsidRDefault="00075AE0" w:rsidP="00881846">
            <w:pPr>
              <w:pStyle w:val="TableText"/>
              <w:keepLines w:val="0"/>
              <w:rPr>
                <w:sz w:val="26"/>
              </w:rPr>
            </w:pPr>
            <w:r>
              <w:rPr>
                <w:sz w:val="26"/>
                <w:rtl/>
              </w:rPr>
              <w:t xml:space="preserve">6. </w:t>
            </w:r>
          </w:p>
        </w:tc>
        <w:tc>
          <w:tcPr>
            <w:tcW w:w="7140" w:type="dxa"/>
            <w:gridSpan w:val="4"/>
          </w:tcPr>
          <w:p w:rsidR="00075AE0" w:rsidRDefault="00075AE0" w:rsidP="00881846">
            <w:pPr>
              <w:pStyle w:val="TableBlock"/>
              <w:rPr>
                <w:sz w:val="26"/>
              </w:rPr>
            </w:pPr>
            <w:r>
              <w:rPr>
                <w:sz w:val="26"/>
                <w:rtl/>
                <w:lang w:eastAsia="en-US"/>
              </w:rPr>
              <w:t xml:space="preserve">השר יקבע בתקנות את ההליך והטפסים הדרושים לביצוע הליכי רישום הנישואין לפי חוק זה.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תעודת נישואין</w:t>
            </w:r>
          </w:p>
        </w:tc>
        <w:tc>
          <w:tcPr>
            <w:tcW w:w="628" w:type="dxa"/>
          </w:tcPr>
          <w:p w:rsidR="00075AE0" w:rsidRDefault="00075AE0" w:rsidP="00881846">
            <w:pPr>
              <w:pStyle w:val="TableText"/>
              <w:keepLines w:val="0"/>
              <w:rPr>
                <w:sz w:val="26"/>
              </w:rPr>
            </w:pPr>
            <w:r>
              <w:rPr>
                <w:sz w:val="26"/>
                <w:rtl/>
              </w:rPr>
              <w:t xml:space="preserve">7. </w:t>
            </w:r>
          </w:p>
        </w:tc>
        <w:tc>
          <w:tcPr>
            <w:tcW w:w="7140" w:type="dxa"/>
            <w:gridSpan w:val="4"/>
          </w:tcPr>
          <w:p w:rsidR="00075AE0" w:rsidRDefault="00075AE0" w:rsidP="00881846">
            <w:pPr>
              <w:pStyle w:val="TableBlock"/>
              <w:rPr>
                <w:sz w:val="26"/>
              </w:rPr>
            </w:pPr>
            <w:r>
              <w:rPr>
                <w:sz w:val="26"/>
                <w:rtl/>
                <w:lang w:eastAsia="en-US"/>
              </w:rPr>
              <w:t>בתוך שלושים ימים מיום עריכת הנישואין, יוציא הרשם תעודת נישואין שתכלול פרטים כפי שייקבע בתקנות.</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Default="00075AE0" w:rsidP="00881846">
            <w:pPr>
              <w:pStyle w:val="TableText"/>
              <w:ind w:right="0"/>
              <w:jc w:val="both"/>
              <w:rPr>
                <w:sz w:val="26"/>
              </w:rPr>
            </w:pPr>
          </w:p>
        </w:tc>
        <w:tc>
          <w:tcPr>
            <w:tcW w:w="7140" w:type="dxa"/>
            <w:gridSpan w:val="4"/>
          </w:tcPr>
          <w:p w:rsidR="00075AE0" w:rsidRDefault="00075AE0" w:rsidP="00881846">
            <w:pPr>
              <w:pStyle w:val="TableHead"/>
              <w:rPr>
                <w:sz w:val="26"/>
              </w:rPr>
            </w:pPr>
            <w:r>
              <w:rPr>
                <w:sz w:val="26"/>
                <w:rtl/>
                <w:lang w:eastAsia="en-US"/>
              </w:rPr>
              <w:t>סימן ג': מינוי רשמי נישואין</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 xml:space="preserve">נישואין אזרחיים </w:t>
            </w:r>
          </w:p>
        </w:tc>
        <w:tc>
          <w:tcPr>
            <w:tcW w:w="628" w:type="dxa"/>
          </w:tcPr>
          <w:p w:rsidR="00075AE0" w:rsidRDefault="00075AE0" w:rsidP="00881846">
            <w:pPr>
              <w:pStyle w:val="TableText"/>
              <w:keepLines w:val="0"/>
              <w:rPr>
                <w:sz w:val="26"/>
              </w:rPr>
            </w:pPr>
            <w:r>
              <w:rPr>
                <w:sz w:val="26"/>
                <w:rtl/>
              </w:rPr>
              <w:t>8.</w:t>
            </w:r>
          </w:p>
        </w:tc>
        <w:tc>
          <w:tcPr>
            <w:tcW w:w="7140" w:type="dxa"/>
            <w:gridSpan w:val="4"/>
          </w:tcPr>
          <w:p w:rsidR="00075AE0" w:rsidRDefault="00075AE0" w:rsidP="00881846">
            <w:pPr>
              <w:pStyle w:val="TableBlock"/>
              <w:rPr>
                <w:sz w:val="26"/>
                <w:lang w:eastAsia="en-US"/>
              </w:rPr>
            </w:pPr>
            <w:r>
              <w:rPr>
                <w:sz w:val="26"/>
                <w:rtl/>
                <w:lang w:eastAsia="en-US"/>
              </w:rPr>
              <w:t xml:space="preserve">עריכת נישואין אזרחיים תהיה בסמכות רשמי הנישואין האזרחיים.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מינוי רשם</w:t>
            </w:r>
          </w:p>
        </w:tc>
        <w:tc>
          <w:tcPr>
            <w:tcW w:w="628" w:type="dxa"/>
          </w:tcPr>
          <w:p w:rsidR="00075AE0" w:rsidRDefault="00075AE0" w:rsidP="00881846">
            <w:pPr>
              <w:pStyle w:val="TableText"/>
              <w:keepLines w:val="0"/>
              <w:rPr>
                <w:sz w:val="26"/>
              </w:rPr>
            </w:pPr>
            <w:r>
              <w:rPr>
                <w:sz w:val="26"/>
                <w:rtl/>
              </w:rPr>
              <w:t>9.</w:t>
            </w:r>
          </w:p>
        </w:tc>
        <w:tc>
          <w:tcPr>
            <w:tcW w:w="7140" w:type="dxa"/>
            <w:gridSpan w:val="4"/>
          </w:tcPr>
          <w:p w:rsidR="00075AE0" w:rsidRDefault="00075AE0" w:rsidP="00881846">
            <w:pPr>
              <w:pStyle w:val="TableBlock"/>
              <w:rPr>
                <w:sz w:val="26"/>
                <w:lang w:eastAsia="en-US"/>
              </w:rPr>
            </w:pPr>
            <w:r>
              <w:rPr>
                <w:sz w:val="26"/>
                <w:rtl/>
                <w:lang w:eastAsia="en-US"/>
              </w:rPr>
              <w:t>(א)</w:t>
            </w:r>
            <w:r>
              <w:rPr>
                <w:sz w:val="26"/>
                <w:rtl/>
                <w:lang w:eastAsia="en-US"/>
              </w:rPr>
              <w:tab/>
              <w:t xml:space="preserve">השר ימנה רשם נישואין אזרחיים ראשי. </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sz w:val="26"/>
                <w:lang w:eastAsia="en-US"/>
              </w:rPr>
            </w:pPr>
            <w:r>
              <w:rPr>
                <w:sz w:val="26"/>
                <w:rtl/>
                <w:lang w:eastAsia="en-US"/>
              </w:rPr>
              <w:t>(ב)</w:t>
            </w:r>
            <w:r>
              <w:rPr>
                <w:sz w:val="26"/>
                <w:rtl/>
                <w:lang w:eastAsia="en-US"/>
              </w:rPr>
              <w:tab/>
              <w:t>רשם הנישואין האזרחיים הראשי ימנה רשמי נישואין אזרחיים נוספים על פי הצורך ויפקח על מילוי סמכויותיהם לפי חוק זה; רשימת רשמי הנישואין תפורסם ברשומות.</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Pr="00881846" w:rsidRDefault="00075AE0" w:rsidP="00881846">
            <w:pPr>
              <w:pStyle w:val="TableBlock"/>
            </w:pPr>
            <w:r w:rsidRPr="00881846">
              <w:rPr>
                <w:rtl/>
              </w:rPr>
              <w:t>(ג)</w:t>
            </w:r>
            <w:r w:rsidRPr="00881846">
              <w:rPr>
                <w:rtl/>
              </w:rPr>
              <w:tab/>
              <w:t>כשיר להתמנות כרשם נישואין מי שיכול להתמנות כשופט בבית משפט.</w:t>
            </w:r>
            <w:r w:rsidRPr="00881846" w:rsidDel="00C87D11">
              <w:t xml:space="preserve"> </w:t>
            </w:r>
            <w:r w:rsidRPr="00881846">
              <w:t xml:space="preserve">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סמכות ייחודית לבית המשפט לענייני משפחה</w:t>
            </w:r>
          </w:p>
        </w:tc>
        <w:tc>
          <w:tcPr>
            <w:tcW w:w="628" w:type="dxa"/>
          </w:tcPr>
          <w:p w:rsidR="00075AE0" w:rsidRDefault="00075AE0" w:rsidP="00881846">
            <w:pPr>
              <w:pStyle w:val="TableText"/>
              <w:keepLines w:val="0"/>
              <w:rPr>
                <w:sz w:val="26"/>
              </w:rPr>
            </w:pPr>
            <w:r>
              <w:rPr>
                <w:sz w:val="26"/>
                <w:rtl/>
              </w:rPr>
              <w:t xml:space="preserve">10. </w:t>
            </w:r>
          </w:p>
        </w:tc>
        <w:tc>
          <w:tcPr>
            <w:tcW w:w="7140" w:type="dxa"/>
            <w:gridSpan w:val="4"/>
          </w:tcPr>
          <w:p w:rsidR="00075AE0" w:rsidRDefault="00075AE0" w:rsidP="00881846">
            <w:pPr>
              <w:pStyle w:val="TableBlock"/>
              <w:rPr>
                <w:sz w:val="26"/>
              </w:rPr>
            </w:pPr>
            <w:r>
              <w:rPr>
                <w:sz w:val="26"/>
                <w:rtl/>
                <w:lang w:eastAsia="en-US"/>
              </w:rPr>
              <w:t xml:space="preserve">על אף האמור בכל דין, לבית המשפט לענייני משפחה הסמכות הייחודית לדון בענייני נישואין אזרחיים, בהתאם להוראות חוק זה. </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Default="00075AE0" w:rsidP="00881846">
            <w:pPr>
              <w:pStyle w:val="TableText"/>
              <w:ind w:right="0"/>
              <w:jc w:val="both"/>
              <w:rPr>
                <w:sz w:val="26"/>
              </w:rPr>
            </w:pPr>
          </w:p>
        </w:tc>
        <w:tc>
          <w:tcPr>
            <w:tcW w:w="7140" w:type="dxa"/>
            <w:gridSpan w:val="4"/>
          </w:tcPr>
          <w:p w:rsidR="00075AE0" w:rsidRDefault="00075AE0" w:rsidP="00881846">
            <w:pPr>
              <w:pStyle w:val="TableHead"/>
              <w:rPr>
                <w:sz w:val="26"/>
                <w:rtl/>
              </w:rPr>
            </w:pPr>
            <w:r>
              <w:rPr>
                <w:sz w:val="26"/>
                <w:rtl/>
                <w:lang w:eastAsia="en-US"/>
              </w:rPr>
              <w:t>פרק ב'</w:t>
            </w:r>
            <w:r>
              <w:rPr>
                <w:sz w:val="26"/>
                <w:rtl/>
                <w:lang w:eastAsia="en-US"/>
              </w:rPr>
              <w:softHyphen/>
              <w:t>: גירושין</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ind w:right="0"/>
              <w:jc w:val="both"/>
              <w:rPr>
                <w:sz w:val="26"/>
              </w:rPr>
            </w:pPr>
          </w:p>
        </w:tc>
        <w:tc>
          <w:tcPr>
            <w:tcW w:w="7140" w:type="dxa"/>
            <w:gridSpan w:val="4"/>
          </w:tcPr>
          <w:p w:rsidR="00075AE0" w:rsidRDefault="00075AE0" w:rsidP="00881846">
            <w:pPr>
              <w:pStyle w:val="TableHead"/>
              <w:rPr>
                <w:sz w:val="26"/>
              </w:rPr>
            </w:pPr>
            <w:r>
              <w:rPr>
                <w:sz w:val="26"/>
                <w:rtl/>
                <w:lang w:eastAsia="en-US"/>
              </w:rPr>
              <w:t>סימן א': קביעת מסלול גירושין</w:t>
            </w:r>
            <w:r>
              <w:rPr>
                <w:sz w:val="26"/>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עריכת גירושין</w:t>
            </w:r>
          </w:p>
        </w:tc>
        <w:tc>
          <w:tcPr>
            <w:tcW w:w="628" w:type="dxa"/>
          </w:tcPr>
          <w:p w:rsidR="00075AE0" w:rsidRDefault="00075AE0" w:rsidP="00881846">
            <w:pPr>
              <w:pStyle w:val="TableText"/>
              <w:keepLines w:val="0"/>
              <w:rPr>
                <w:sz w:val="26"/>
              </w:rPr>
            </w:pPr>
            <w:r>
              <w:rPr>
                <w:sz w:val="26"/>
                <w:rtl/>
              </w:rPr>
              <w:t>11.</w:t>
            </w:r>
          </w:p>
        </w:tc>
        <w:tc>
          <w:tcPr>
            <w:tcW w:w="7140" w:type="dxa"/>
            <w:gridSpan w:val="4"/>
          </w:tcPr>
          <w:p w:rsidR="00075AE0" w:rsidRDefault="00075AE0" w:rsidP="00881846">
            <w:pPr>
              <w:pStyle w:val="TableBlock"/>
              <w:rPr>
                <w:sz w:val="26"/>
              </w:rPr>
            </w:pPr>
            <w:r>
              <w:rPr>
                <w:sz w:val="26"/>
                <w:rtl/>
                <w:lang w:eastAsia="en-US"/>
              </w:rPr>
              <w:t>(א)</w:t>
            </w:r>
            <w:r>
              <w:rPr>
                <w:sz w:val="26"/>
                <w:rtl/>
                <w:lang w:eastAsia="en-US"/>
              </w:rPr>
              <w:tab/>
              <w:t xml:space="preserve">גירושין בין בני זוג שנישאו בנישואין אזרחיים ייערכו לפי הוראות </w:t>
            </w:r>
            <w:r w:rsidRPr="00B652EC">
              <w:rPr>
                <w:sz w:val="26"/>
                <w:rtl/>
                <w:lang w:eastAsia="en-US"/>
              </w:rPr>
              <w:t>חוק</w:t>
            </w:r>
            <w:r>
              <w:rPr>
                <w:sz w:val="26"/>
                <w:rtl/>
                <w:lang w:eastAsia="en-US"/>
              </w:rPr>
              <w:t xml:space="preserve"> זה.</w:t>
            </w:r>
            <w:r>
              <w:rPr>
                <w:sz w:val="26"/>
                <w:rtl/>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rPr>
                <w:rtl/>
              </w:rPr>
            </w:pPr>
          </w:p>
        </w:tc>
        <w:tc>
          <w:tcPr>
            <w:tcW w:w="628" w:type="dxa"/>
          </w:tcPr>
          <w:p w:rsidR="00075AE0" w:rsidRDefault="00075AE0" w:rsidP="00881846">
            <w:pPr>
              <w:pStyle w:val="TableText"/>
              <w:keepLines w:val="0"/>
              <w:rPr>
                <w:sz w:val="26"/>
                <w:rtl/>
              </w:rPr>
            </w:pPr>
          </w:p>
        </w:tc>
        <w:tc>
          <w:tcPr>
            <w:tcW w:w="7140" w:type="dxa"/>
            <w:gridSpan w:val="4"/>
          </w:tcPr>
          <w:p w:rsidR="00075AE0" w:rsidRDefault="00075AE0" w:rsidP="00881846">
            <w:pPr>
              <w:pStyle w:val="TableBlock"/>
              <w:rPr>
                <w:sz w:val="26"/>
                <w:rtl/>
                <w:lang w:eastAsia="en-US"/>
              </w:rPr>
            </w:pPr>
            <w:r>
              <w:rPr>
                <w:sz w:val="26"/>
                <w:rtl/>
                <w:lang w:eastAsia="en-US"/>
              </w:rPr>
              <w:t>(ב)</w:t>
            </w:r>
            <w:r>
              <w:rPr>
                <w:sz w:val="26"/>
                <w:rtl/>
                <w:lang w:eastAsia="en-US"/>
              </w:rPr>
              <w:tab/>
              <w:t>על אף האמור בסעיף קטן (א), בני זוג שנישאו בנישואין אזרחיים וכן נישאו האחד לשני על ידי רב כמובנו בסעיף 2(6) לחוק הרבנות הראשית לישראל, התש"ם–1980</w:t>
            </w:r>
            <w:r>
              <w:rPr>
                <w:rStyle w:val="a7"/>
                <w:sz w:val="26"/>
                <w:rtl/>
                <w:lang w:eastAsia="en-US"/>
              </w:rPr>
              <w:footnoteReference w:id="2"/>
            </w:r>
            <w:r>
              <w:rPr>
                <w:sz w:val="26"/>
                <w:rtl/>
                <w:lang w:eastAsia="en-US"/>
              </w:rPr>
              <w:t>, אימאם, כומר או שייך כמובנם בסעיף 2 ל</w:t>
            </w:r>
            <w:r w:rsidRPr="00574DEC">
              <w:rPr>
                <w:sz w:val="26"/>
                <w:rtl/>
                <w:lang w:eastAsia="en-US"/>
              </w:rPr>
              <w:t>פקודת הנישואין והגירושין (רישום)</w:t>
            </w:r>
            <w:r>
              <w:rPr>
                <w:rStyle w:val="a7"/>
                <w:sz w:val="26"/>
                <w:rtl/>
                <w:lang w:eastAsia="en-US"/>
              </w:rPr>
              <w:footnoteReference w:id="3"/>
            </w:r>
            <w:r>
              <w:rPr>
                <w:sz w:val="26"/>
                <w:rtl/>
                <w:lang w:eastAsia="en-US"/>
              </w:rPr>
              <w:t>, ייערכו בבית הדין הדתי של העדה הדתית אליהם הם משתייכים; ואולם לבית הדין לא תהיה סמכות לדון בעניינים הנובעים מהגירושין.</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גירושין של בני זוג שנישאו מחוץ לישראל</w:t>
            </w:r>
          </w:p>
        </w:tc>
        <w:tc>
          <w:tcPr>
            <w:tcW w:w="628" w:type="dxa"/>
          </w:tcPr>
          <w:p w:rsidR="00075AE0" w:rsidRDefault="00075AE0" w:rsidP="00881846">
            <w:pPr>
              <w:pStyle w:val="TableText"/>
              <w:keepLines w:val="0"/>
              <w:rPr>
                <w:sz w:val="26"/>
              </w:rPr>
            </w:pPr>
            <w:r>
              <w:rPr>
                <w:sz w:val="26"/>
                <w:rtl/>
              </w:rPr>
              <w:t>12.</w:t>
            </w:r>
          </w:p>
        </w:tc>
        <w:tc>
          <w:tcPr>
            <w:tcW w:w="7140" w:type="dxa"/>
            <w:gridSpan w:val="4"/>
          </w:tcPr>
          <w:p w:rsidR="00075AE0" w:rsidRDefault="00075AE0" w:rsidP="00881846">
            <w:pPr>
              <w:pStyle w:val="TableBlock"/>
              <w:rPr>
                <w:sz w:val="26"/>
              </w:rPr>
            </w:pPr>
            <w:r>
              <w:rPr>
                <w:sz w:val="26"/>
                <w:rtl/>
              </w:rPr>
              <w:t>(א)</w:t>
            </w:r>
            <w:r>
              <w:rPr>
                <w:sz w:val="26"/>
                <w:rtl/>
              </w:rPr>
              <w:tab/>
            </w:r>
            <w:r>
              <w:rPr>
                <w:sz w:val="26"/>
                <w:rtl/>
                <w:lang w:eastAsia="en-US"/>
              </w:rPr>
              <w:t xml:space="preserve">גירושין של בני זוג שרישומם </w:t>
            </w:r>
            <w:r w:rsidRPr="00881846">
              <w:rPr>
                <w:rtl/>
              </w:rPr>
              <w:t>בישראל כנשואים מבוסס על נישואין שנערכו במדינת חוץ ייערכו על פי הוראות סימן ב' בפרק זה.</w:t>
            </w:r>
            <w:r>
              <w:rPr>
                <w:sz w:val="26"/>
                <w:rtl/>
                <w:lang w:eastAsia="en-US"/>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sz w:val="26"/>
              </w:rPr>
            </w:pPr>
            <w:r>
              <w:rPr>
                <w:sz w:val="26"/>
                <w:rtl/>
              </w:rPr>
              <w:t>(ב)</w:t>
            </w:r>
            <w:r>
              <w:rPr>
                <w:sz w:val="26"/>
                <w:rtl/>
              </w:rPr>
              <w:tab/>
            </w:r>
            <w:r>
              <w:rPr>
                <w:sz w:val="26"/>
                <w:rtl/>
                <w:lang w:eastAsia="en-US"/>
              </w:rPr>
              <w:t xml:space="preserve">על אף האמור בסעיף קטן (א), בהסכמה בכתב של שני בני הזוג כאמור בסעיף זה יוכלו בני זוג לערוך גירושין בבית דין דתי, ואולם לבית הדין הדתי לא תהיה סמכות לדון בעניינים הנובעים מהגירושין. </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Default="00075AE0" w:rsidP="00881846">
            <w:pPr>
              <w:pStyle w:val="TableText"/>
              <w:ind w:right="0"/>
              <w:jc w:val="both"/>
              <w:rPr>
                <w:sz w:val="26"/>
              </w:rPr>
            </w:pPr>
          </w:p>
        </w:tc>
        <w:tc>
          <w:tcPr>
            <w:tcW w:w="7140" w:type="dxa"/>
            <w:gridSpan w:val="4"/>
          </w:tcPr>
          <w:p w:rsidR="00075AE0" w:rsidRDefault="00075AE0" w:rsidP="00881846">
            <w:pPr>
              <w:pStyle w:val="TableHead"/>
              <w:rPr>
                <w:sz w:val="26"/>
              </w:rPr>
            </w:pPr>
            <w:r>
              <w:rPr>
                <w:sz w:val="26"/>
                <w:rtl/>
              </w:rPr>
              <w:t>סימן ב': גירושין אזרחיים</w:t>
            </w:r>
            <w:r>
              <w:rPr>
                <w:sz w:val="26"/>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סמכות לדון בגירושין אזרחיים</w:t>
            </w:r>
          </w:p>
        </w:tc>
        <w:tc>
          <w:tcPr>
            <w:tcW w:w="628" w:type="dxa"/>
          </w:tcPr>
          <w:p w:rsidR="00075AE0" w:rsidRDefault="00075AE0" w:rsidP="00881846">
            <w:pPr>
              <w:pStyle w:val="TableText"/>
              <w:keepLines w:val="0"/>
              <w:rPr>
                <w:sz w:val="26"/>
              </w:rPr>
            </w:pPr>
            <w:r>
              <w:rPr>
                <w:sz w:val="26"/>
                <w:rtl/>
              </w:rPr>
              <w:t xml:space="preserve">13. </w:t>
            </w:r>
          </w:p>
        </w:tc>
        <w:tc>
          <w:tcPr>
            <w:tcW w:w="7140" w:type="dxa"/>
            <w:gridSpan w:val="4"/>
          </w:tcPr>
          <w:p w:rsidR="00075AE0" w:rsidRDefault="00075AE0" w:rsidP="00881846">
            <w:pPr>
              <w:pStyle w:val="TableBlock"/>
              <w:rPr>
                <w:sz w:val="26"/>
                <w:lang w:eastAsia="en-US"/>
              </w:rPr>
            </w:pPr>
            <w:r>
              <w:rPr>
                <w:sz w:val="26"/>
                <w:rtl/>
                <w:lang w:eastAsia="en-US"/>
              </w:rPr>
              <w:t xml:space="preserve">על אף האמור בכל דין, לבית המשפט לענייני משפחה סמכות ייחודית לדון בגירושין אזרחיים ובכל העניינים הנובעים מהם. </w:t>
            </w:r>
          </w:p>
        </w:tc>
      </w:tr>
      <w:tr w:rsidR="00075AE0" w:rsidTr="0064729A">
        <w:tblPrEx>
          <w:tblLook w:val="0000"/>
        </w:tblPrEx>
        <w:trPr>
          <w:cantSplit/>
        </w:trPr>
        <w:tc>
          <w:tcPr>
            <w:tcW w:w="1870" w:type="dxa"/>
          </w:tcPr>
          <w:p w:rsidR="00075AE0" w:rsidRPr="00C87D11" w:rsidRDefault="00075AE0" w:rsidP="00881846">
            <w:pPr>
              <w:pStyle w:val="TableSideHeading"/>
              <w:rPr>
                <w:rtl/>
              </w:rPr>
            </w:pPr>
            <w:r w:rsidRPr="00C87D11">
              <w:rPr>
                <w:rtl/>
              </w:rPr>
              <w:t>צו גירושין</w:t>
            </w:r>
          </w:p>
        </w:tc>
        <w:tc>
          <w:tcPr>
            <w:tcW w:w="628" w:type="dxa"/>
          </w:tcPr>
          <w:p w:rsidR="00075AE0" w:rsidRDefault="00075AE0" w:rsidP="00881846">
            <w:pPr>
              <w:pStyle w:val="TableText"/>
              <w:keepLines w:val="0"/>
              <w:rPr>
                <w:sz w:val="26"/>
                <w:rtl/>
              </w:rPr>
            </w:pPr>
            <w:r>
              <w:rPr>
                <w:sz w:val="26"/>
                <w:rtl/>
              </w:rPr>
              <w:t>14.</w:t>
            </w:r>
          </w:p>
        </w:tc>
        <w:tc>
          <w:tcPr>
            <w:tcW w:w="7140" w:type="dxa"/>
            <w:gridSpan w:val="4"/>
          </w:tcPr>
          <w:p w:rsidR="00075AE0" w:rsidRDefault="00075AE0" w:rsidP="00881846">
            <w:pPr>
              <w:pStyle w:val="TableBlock"/>
              <w:rPr>
                <w:sz w:val="26"/>
                <w:rtl/>
                <w:lang w:eastAsia="en-US"/>
              </w:rPr>
            </w:pPr>
            <w:r>
              <w:rPr>
                <w:sz w:val="26"/>
                <w:rtl/>
                <w:lang w:eastAsia="en-US"/>
              </w:rPr>
              <w:t>בית המשפט ייתן צו גירושין במקרים אלה:</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sz w:val="26"/>
                <w:lang w:eastAsia="en-US"/>
              </w:rPr>
            </w:pPr>
            <w:r>
              <w:rPr>
                <w:sz w:val="26"/>
                <w:rtl/>
                <w:lang w:eastAsia="en-US"/>
              </w:rPr>
              <w:t>(1)</w:t>
            </w:r>
            <w:r>
              <w:rPr>
                <w:sz w:val="26"/>
                <w:rtl/>
                <w:lang w:eastAsia="en-US"/>
              </w:rPr>
              <w:tab/>
              <w:t xml:space="preserve">בהסכמת שני בני הזוג ובלבד שנוכח </w:t>
            </w:r>
            <w:r w:rsidRPr="005755CB">
              <w:rPr>
                <w:sz w:val="26"/>
                <w:rtl/>
                <w:lang w:eastAsia="en-US"/>
              </w:rPr>
              <w:t xml:space="preserve">כי כל אחד מבני הזוג </w:t>
            </w:r>
            <w:r>
              <w:rPr>
                <w:sz w:val="26"/>
                <w:rtl/>
                <w:lang w:eastAsia="en-US"/>
              </w:rPr>
              <w:t>נתן את הסכמתו באופן חופשי, מבין את משמעותה</w:t>
            </w:r>
            <w:r w:rsidRPr="005755CB">
              <w:rPr>
                <w:sz w:val="26"/>
                <w:rtl/>
                <w:lang w:eastAsia="en-US"/>
              </w:rPr>
              <w:t xml:space="preserve"> ותוצאותיה</w:t>
            </w:r>
            <w:r>
              <w:rPr>
                <w:sz w:val="26"/>
                <w:rtl/>
                <w:lang w:eastAsia="en-US"/>
              </w:rPr>
              <w:t xml:space="preserve"> וחלפו שישה חודשים מיום הגשת הבקשה; </w:t>
            </w:r>
            <w:r w:rsidRPr="00F4084A">
              <w:rPr>
                <w:spacing w:val="1"/>
                <w:sz w:val="26"/>
                <w:rtl/>
              </w:rPr>
              <w:t xml:space="preserve">בני הזוג רשאים להגיש </w:t>
            </w:r>
            <w:r>
              <w:rPr>
                <w:spacing w:val="1"/>
                <w:sz w:val="26"/>
                <w:rtl/>
              </w:rPr>
              <w:t>בנוסף</w:t>
            </w:r>
            <w:r w:rsidRPr="00F4084A">
              <w:rPr>
                <w:spacing w:val="1"/>
                <w:sz w:val="26"/>
                <w:rtl/>
              </w:rPr>
              <w:t xml:space="preserve"> בקשה לא</w:t>
            </w:r>
            <w:r>
              <w:rPr>
                <w:spacing w:val="1"/>
                <w:sz w:val="26"/>
                <w:rtl/>
              </w:rPr>
              <w:t>י</w:t>
            </w:r>
            <w:r w:rsidRPr="00F4084A">
              <w:rPr>
                <w:spacing w:val="1"/>
                <w:sz w:val="26"/>
                <w:rtl/>
              </w:rPr>
              <w:t>שור הסכם המסדיר את כלל העניינים ה</w:t>
            </w:r>
            <w:r>
              <w:rPr>
                <w:spacing w:val="1"/>
                <w:sz w:val="26"/>
                <w:rtl/>
              </w:rPr>
              <w:t>נובעים מן הנישואים</w:t>
            </w:r>
            <w:r w:rsidRPr="00F4084A">
              <w:rPr>
                <w:spacing w:val="1"/>
                <w:sz w:val="26"/>
                <w:rtl/>
              </w:rPr>
              <w:t>, לרבות יחסי ממון, אפוטרופסות ילדים, משמורתם ומזונותיהם</w:t>
            </w:r>
            <w:r>
              <w:rPr>
                <w:spacing w:val="1"/>
                <w:sz w:val="26"/>
                <w:rtl/>
              </w:rPr>
              <w:t xml:space="preserve"> ובית המשפט רשאי לתת להסכם זה תוקף של פסק דין</w:t>
            </w:r>
            <w:r>
              <w:rPr>
                <w:sz w:val="26"/>
                <w:rtl/>
                <w:lang w:eastAsia="en-US"/>
              </w:rPr>
              <w:t>;</w:t>
            </w:r>
          </w:p>
        </w:tc>
      </w:tr>
      <w:tr w:rsidR="00075AE0" w:rsidTr="0064729A">
        <w:tblPrEx>
          <w:tblLook w:val="0000"/>
        </w:tblPrEx>
        <w:trPr>
          <w:cantSplit/>
        </w:trPr>
        <w:tc>
          <w:tcPr>
            <w:tcW w:w="1870" w:type="dxa"/>
          </w:tcPr>
          <w:p w:rsidR="00075AE0" w:rsidRPr="00C87D11" w:rsidRDefault="00075AE0" w:rsidP="00881846">
            <w:pPr>
              <w:pStyle w:val="TableSideHeading"/>
              <w:rPr>
                <w:rtl/>
              </w:rPr>
            </w:pPr>
          </w:p>
        </w:tc>
        <w:tc>
          <w:tcPr>
            <w:tcW w:w="628" w:type="dxa"/>
          </w:tcPr>
          <w:p w:rsidR="00075AE0" w:rsidRDefault="00075AE0" w:rsidP="00881846">
            <w:pPr>
              <w:pStyle w:val="TableText"/>
              <w:keepLines w:val="0"/>
              <w:rPr>
                <w:sz w:val="26"/>
                <w:rtl/>
              </w:rPr>
            </w:pPr>
          </w:p>
        </w:tc>
        <w:tc>
          <w:tcPr>
            <w:tcW w:w="7140" w:type="dxa"/>
            <w:gridSpan w:val="4"/>
          </w:tcPr>
          <w:p w:rsidR="00075AE0" w:rsidRDefault="00075AE0" w:rsidP="00881846">
            <w:pPr>
              <w:pStyle w:val="TableBlock"/>
              <w:rPr>
                <w:sz w:val="26"/>
                <w:rtl/>
                <w:lang w:eastAsia="en-US"/>
              </w:rPr>
            </w:pPr>
            <w:r>
              <w:rPr>
                <w:sz w:val="26"/>
                <w:rtl/>
                <w:lang w:eastAsia="en-US"/>
              </w:rPr>
              <w:t>(2)</w:t>
            </w:r>
            <w:r>
              <w:rPr>
                <w:spacing w:val="1"/>
                <w:sz w:val="26"/>
                <w:rtl/>
              </w:rPr>
              <w:tab/>
              <w:t xml:space="preserve">בני הזוג או אחד מהם הגישו בקשה לגירושין ובני הזוג לא הגיעו להסכמה </w:t>
            </w:r>
            <w:r w:rsidRPr="00F4084A">
              <w:rPr>
                <w:spacing w:val="1"/>
                <w:sz w:val="26"/>
                <w:rtl/>
              </w:rPr>
              <w:t xml:space="preserve">בתוך </w:t>
            </w:r>
            <w:r>
              <w:rPr>
                <w:spacing w:val="1"/>
                <w:sz w:val="26"/>
                <w:rtl/>
              </w:rPr>
              <w:t xml:space="preserve">חצי </w:t>
            </w:r>
            <w:r w:rsidRPr="00F4084A">
              <w:rPr>
                <w:spacing w:val="1"/>
                <w:sz w:val="26"/>
                <w:rtl/>
              </w:rPr>
              <w:t xml:space="preserve">שנה מיום שהוגשה הבקשה; </w:t>
            </w:r>
            <w:r>
              <w:rPr>
                <w:spacing w:val="1"/>
                <w:sz w:val="26"/>
                <w:rtl/>
              </w:rPr>
              <w:t xml:space="preserve">בית המשפט יפסוק גם בכלל העניינים </w:t>
            </w:r>
            <w:r w:rsidRPr="00F4084A">
              <w:rPr>
                <w:spacing w:val="1"/>
                <w:sz w:val="26"/>
                <w:rtl/>
              </w:rPr>
              <w:t>ה</w:t>
            </w:r>
            <w:r>
              <w:rPr>
                <w:spacing w:val="1"/>
                <w:sz w:val="26"/>
                <w:rtl/>
              </w:rPr>
              <w:t>נובעים מן הנישואים</w:t>
            </w:r>
            <w:r w:rsidRPr="00F4084A">
              <w:rPr>
                <w:spacing w:val="1"/>
                <w:sz w:val="26"/>
                <w:rtl/>
              </w:rPr>
              <w:t>, לרבות יחסי ממון, אפוטרופסות ילדים, משמורתם ומזונותיהם</w:t>
            </w:r>
            <w:r>
              <w:rPr>
                <w:sz w:val="26"/>
                <w:rtl/>
                <w:lang w:eastAsia="en-US"/>
              </w:rPr>
              <w:t>;</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sz w:val="26"/>
                <w:lang w:eastAsia="en-US"/>
              </w:rPr>
            </w:pPr>
            <w:r>
              <w:rPr>
                <w:sz w:val="26"/>
                <w:rtl/>
                <w:lang w:eastAsia="en-US"/>
              </w:rPr>
              <w:t>(3)</w:t>
            </w:r>
            <w:r>
              <w:rPr>
                <w:sz w:val="26"/>
                <w:rtl/>
                <w:lang w:eastAsia="en-US"/>
              </w:rPr>
              <w:tab/>
              <w:t>על אף האמור בסעיף קטן (א), בית המשפט רשאי ליתן צו גירושין טרם חלפו שישה חודשים מיום הגשת הבקשה, מטעמים שיירשמו;</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sz w:val="26"/>
                <w:lang w:eastAsia="en-US"/>
              </w:rPr>
            </w:pPr>
            <w:r>
              <w:rPr>
                <w:sz w:val="26"/>
                <w:rtl/>
                <w:lang w:eastAsia="en-US"/>
              </w:rPr>
              <w:t>(4)</w:t>
            </w:r>
            <w:r>
              <w:rPr>
                <w:sz w:val="26"/>
                <w:rtl/>
                <w:lang w:eastAsia="en-US"/>
              </w:rPr>
              <w:tab/>
              <w:t xml:space="preserve">על אף האמור בסעיפים קטנים (א) עד (ג), בית המשפט רשאי לעכב את מתן הצו לגירושין אם שוכנע כי הדבר דרוש </w:t>
            </w:r>
            <w:r w:rsidRPr="00F4084A">
              <w:rPr>
                <w:spacing w:val="1"/>
                <w:sz w:val="26"/>
                <w:rtl/>
              </w:rPr>
              <w:t>על מנת להגן על טובתם של בני הזוג או של ילדיהם או מטעמים מיוחדים אחרים ש</w:t>
            </w:r>
            <w:r>
              <w:rPr>
                <w:spacing w:val="1"/>
                <w:sz w:val="26"/>
                <w:rtl/>
              </w:rPr>
              <w:t>י</w:t>
            </w:r>
            <w:r w:rsidRPr="00F4084A">
              <w:rPr>
                <w:spacing w:val="1"/>
                <w:sz w:val="26"/>
                <w:rtl/>
              </w:rPr>
              <w:t>ירשמו;</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sz w:val="26"/>
                <w:rtl/>
                <w:lang w:eastAsia="en-US"/>
              </w:rPr>
            </w:pPr>
            <w:r>
              <w:rPr>
                <w:sz w:val="26"/>
                <w:rtl/>
                <w:lang w:eastAsia="en-US"/>
              </w:rPr>
              <w:t>(5)</w:t>
            </w:r>
            <w:r>
              <w:rPr>
                <w:sz w:val="26"/>
                <w:rtl/>
                <w:lang w:eastAsia="en-US"/>
              </w:rPr>
              <w:tab/>
              <w:t>ניתן צו גירושין, יעביר בית המשפט העתק מהצו לפקיד הרישום במינהל האוכלוסין.</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גירושין במקרים מיוחדים</w:t>
            </w:r>
          </w:p>
        </w:tc>
        <w:tc>
          <w:tcPr>
            <w:tcW w:w="628" w:type="dxa"/>
          </w:tcPr>
          <w:p w:rsidR="00075AE0" w:rsidRDefault="00075AE0" w:rsidP="00881846">
            <w:pPr>
              <w:pStyle w:val="TableText"/>
              <w:keepLines w:val="0"/>
              <w:rPr>
                <w:sz w:val="26"/>
              </w:rPr>
            </w:pPr>
            <w:r>
              <w:rPr>
                <w:sz w:val="26"/>
                <w:rtl/>
              </w:rPr>
              <w:t xml:space="preserve">15. </w:t>
            </w:r>
          </w:p>
        </w:tc>
        <w:tc>
          <w:tcPr>
            <w:tcW w:w="7140" w:type="dxa"/>
            <w:gridSpan w:val="4"/>
          </w:tcPr>
          <w:p w:rsidR="00075AE0" w:rsidRDefault="00075AE0" w:rsidP="00881846">
            <w:pPr>
              <w:pStyle w:val="TableBlock"/>
              <w:rPr>
                <w:sz w:val="26"/>
                <w:rtl/>
                <w:lang w:eastAsia="en-US"/>
              </w:rPr>
            </w:pPr>
            <w:r>
              <w:rPr>
                <w:sz w:val="26"/>
                <w:rtl/>
                <w:lang w:eastAsia="en-US"/>
              </w:rPr>
              <w:t>בית המשפט ייתן צו גירושין במקרים מיוחדים אלה:</w:t>
            </w:r>
            <w:r w:rsidDel="00C87D11">
              <w:rPr>
                <w:sz w:val="26"/>
                <w:rtl/>
                <w:lang w:eastAsia="en-US"/>
              </w:rPr>
              <w:t xml:space="preserve"> </w:t>
            </w:r>
            <w:r>
              <w:rPr>
                <w:sz w:val="26"/>
                <w:rtl/>
                <w:lang w:eastAsia="en-US"/>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rPr>
                <w:rtl/>
              </w:rPr>
            </w:pPr>
          </w:p>
        </w:tc>
        <w:tc>
          <w:tcPr>
            <w:tcW w:w="628" w:type="dxa"/>
          </w:tcPr>
          <w:p w:rsidR="00075AE0" w:rsidRDefault="00075AE0" w:rsidP="00881846">
            <w:pPr>
              <w:pStyle w:val="TableText"/>
              <w:keepLines w:val="0"/>
              <w:rPr>
                <w:sz w:val="26"/>
                <w:rtl/>
              </w:rPr>
            </w:pPr>
          </w:p>
        </w:tc>
        <w:tc>
          <w:tcPr>
            <w:tcW w:w="7140" w:type="dxa"/>
            <w:gridSpan w:val="4"/>
          </w:tcPr>
          <w:p w:rsidR="00075AE0" w:rsidRDefault="00075AE0" w:rsidP="00881846">
            <w:pPr>
              <w:pStyle w:val="TableBlock"/>
              <w:rPr>
                <w:sz w:val="26"/>
                <w:rtl/>
                <w:lang w:eastAsia="en-US"/>
              </w:rPr>
            </w:pPr>
            <w:r w:rsidRPr="00EF32DA">
              <w:rPr>
                <w:sz w:val="26"/>
                <w:rtl/>
                <w:lang w:eastAsia="en-US"/>
              </w:rPr>
              <w:t>(</w:t>
            </w:r>
            <w:r>
              <w:rPr>
                <w:sz w:val="26"/>
                <w:rtl/>
                <w:lang w:eastAsia="en-US"/>
              </w:rPr>
              <w:t>1)</w:t>
            </w:r>
            <w:r>
              <w:rPr>
                <w:sz w:val="26"/>
                <w:rtl/>
                <w:lang w:eastAsia="en-US"/>
              </w:rPr>
              <w:tab/>
            </w:r>
            <w:r w:rsidRPr="00933D10">
              <w:rPr>
                <w:sz w:val="26"/>
                <w:rtl/>
                <w:lang w:eastAsia="en-US"/>
              </w:rPr>
              <w:t xml:space="preserve">הוגשה בקשה </w:t>
            </w:r>
            <w:r>
              <w:rPr>
                <w:sz w:val="26"/>
                <w:rtl/>
                <w:lang w:eastAsia="en-US"/>
              </w:rPr>
              <w:t>לגירושין על פי סעיף 14(א)</w:t>
            </w:r>
            <w:r w:rsidRPr="00933D10">
              <w:rPr>
                <w:sz w:val="26"/>
                <w:rtl/>
                <w:lang w:eastAsia="en-US"/>
              </w:rPr>
              <w:t xml:space="preserve">, והיה לפחות אחד מבני הזוג פסול דין או מי שמונה לו אפוטרופוס, ייתן בית המשפט פסק דין </w:t>
            </w:r>
            <w:r>
              <w:rPr>
                <w:sz w:val="26"/>
                <w:rtl/>
                <w:lang w:eastAsia="en-US"/>
              </w:rPr>
              <w:t>לגירושין</w:t>
            </w:r>
            <w:r w:rsidRPr="00933D10">
              <w:rPr>
                <w:sz w:val="26"/>
                <w:rtl/>
                <w:lang w:eastAsia="en-US"/>
              </w:rPr>
              <w:t xml:space="preserve"> לאחר שנוכח כי פסול הדין או מי שמונה לו אפוטרופוס מסוגל להבין בדבר וכי כל אחד מבני הזוג הסכים ל</w:t>
            </w:r>
            <w:r>
              <w:rPr>
                <w:sz w:val="26"/>
                <w:rtl/>
                <w:lang w:eastAsia="en-US"/>
              </w:rPr>
              <w:t>גירושין</w:t>
            </w:r>
            <w:r w:rsidRPr="00933D10">
              <w:rPr>
                <w:sz w:val="26"/>
                <w:rtl/>
                <w:lang w:eastAsia="en-US"/>
              </w:rPr>
              <w:t xml:space="preserve"> בהסכמה חופשית ובהבינו את משמעותה ותוצאותיה</w:t>
            </w:r>
            <w:r>
              <w:rPr>
                <w:sz w:val="26"/>
                <w:rtl/>
                <w:lang w:eastAsia="en-US"/>
              </w:rPr>
              <w:t>;</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Pr="00933D10" w:rsidRDefault="00075AE0" w:rsidP="00881846">
            <w:pPr>
              <w:pStyle w:val="TableBlock"/>
              <w:rPr>
                <w:sz w:val="26"/>
                <w:rtl/>
                <w:lang w:eastAsia="en-US"/>
              </w:rPr>
            </w:pPr>
            <w:r>
              <w:rPr>
                <w:color w:val="auto"/>
                <w:spacing w:val="1"/>
                <w:sz w:val="26"/>
                <w:rtl/>
              </w:rPr>
              <w:t>(2)</w:t>
            </w:r>
            <w:r>
              <w:rPr>
                <w:color w:val="auto"/>
                <w:spacing w:val="1"/>
                <w:sz w:val="26"/>
                <w:rtl/>
              </w:rPr>
              <w:tab/>
            </w:r>
            <w:r w:rsidRPr="00EF32DA">
              <w:rPr>
                <w:color w:val="auto"/>
                <w:spacing w:val="1"/>
                <w:sz w:val="26"/>
                <w:rtl/>
              </w:rPr>
              <w:t>נוכח בית המשפט כי לא ניתן לקבל את הסכמת בן הזוג ל</w:t>
            </w:r>
            <w:r>
              <w:rPr>
                <w:color w:val="auto"/>
                <w:spacing w:val="1"/>
                <w:sz w:val="26"/>
                <w:rtl/>
              </w:rPr>
              <w:t>גירושין</w:t>
            </w:r>
            <w:r w:rsidRPr="00EF32DA">
              <w:rPr>
                <w:color w:val="auto"/>
                <w:spacing w:val="1"/>
                <w:sz w:val="26"/>
                <w:rtl/>
              </w:rPr>
              <w:t xml:space="preserve"> מחמת ליקוי נפשי או שכלי שבשלו בן הזוג אינו מסוגל להבין את משמעות </w:t>
            </w:r>
            <w:r>
              <w:rPr>
                <w:color w:val="auto"/>
                <w:spacing w:val="1"/>
                <w:sz w:val="26"/>
                <w:rtl/>
              </w:rPr>
              <w:t>הגירושין</w:t>
            </w:r>
            <w:r w:rsidRPr="00EF32DA">
              <w:rPr>
                <w:color w:val="auto"/>
                <w:spacing w:val="1"/>
                <w:sz w:val="26"/>
                <w:rtl/>
              </w:rPr>
              <w:t xml:space="preserve"> ותוצאותיה</w:t>
            </w:r>
            <w:r>
              <w:rPr>
                <w:color w:val="auto"/>
                <w:spacing w:val="1"/>
                <w:sz w:val="26"/>
                <w:rtl/>
              </w:rPr>
              <w:t>ם</w:t>
            </w:r>
            <w:r>
              <w:rPr>
                <w:sz w:val="26"/>
                <w:rtl/>
                <w:lang w:eastAsia="en-US"/>
              </w:rPr>
              <w:t>;</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color w:val="auto"/>
                <w:spacing w:val="1"/>
                <w:sz w:val="26"/>
                <w:rtl/>
              </w:rPr>
            </w:pPr>
            <w:r>
              <w:rPr>
                <w:color w:val="auto"/>
                <w:spacing w:val="1"/>
                <w:sz w:val="26"/>
                <w:rtl/>
              </w:rPr>
              <w:t>(3)</w:t>
            </w:r>
            <w:r>
              <w:rPr>
                <w:color w:val="auto"/>
                <w:spacing w:val="1"/>
                <w:sz w:val="26"/>
                <w:rtl/>
              </w:rPr>
              <w:tab/>
              <w:t xml:space="preserve">נוכח בית המשפט כי אחד מבני הזוג נעדר והסבירות לאתרו נמוכה, וחלפה </w:t>
            </w:r>
            <w:r w:rsidRPr="00B652EC">
              <w:rPr>
                <w:color w:val="auto"/>
                <w:spacing w:val="1"/>
                <w:sz w:val="26"/>
                <w:rtl/>
              </w:rPr>
              <w:t>שנה</w:t>
            </w:r>
            <w:r>
              <w:rPr>
                <w:color w:val="auto"/>
                <w:spacing w:val="1"/>
                <w:sz w:val="26"/>
                <w:rtl/>
              </w:rPr>
              <w:t xml:space="preserve"> מיום הגשת הבקשה לגירושין;</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Default="00075AE0" w:rsidP="00881846">
            <w:pPr>
              <w:pStyle w:val="TableText"/>
              <w:keepLines w:val="0"/>
              <w:rPr>
                <w:sz w:val="26"/>
              </w:rPr>
            </w:pPr>
          </w:p>
        </w:tc>
        <w:tc>
          <w:tcPr>
            <w:tcW w:w="7140" w:type="dxa"/>
            <w:gridSpan w:val="4"/>
          </w:tcPr>
          <w:p w:rsidR="00075AE0" w:rsidRDefault="00075AE0" w:rsidP="00881846">
            <w:pPr>
              <w:pStyle w:val="TableBlock"/>
              <w:rPr>
                <w:color w:val="auto"/>
                <w:spacing w:val="1"/>
                <w:sz w:val="26"/>
                <w:rtl/>
              </w:rPr>
            </w:pPr>
            <w:r>
              <w:rPr>
                <w:color w:val="auto"/>
                <w:spacing w:val="1"/>
                <w:sz w:val="26"/>
                <w:rtl/>
              </w:rPr>
              <w:t>(4)</w:t>
            </w:r>
            <w:r>
              <w:rPr>
                <w:color w:val="auto"/>
                <w:spacing w:val="1"/>
                <w:sz w:val="26"/>
                <w:rtl/>
              </w:rPr>
              <w:tab/>
              <w:t>נתן בית המשפט צו גירושין, יחול סעיף 14(ה).</w:t>
            </w:r>
          </w:p>
        </w:tc>
      </w:tr>
      <w:tr w:rsidR="00075AE0" w:rsidTr="0064729A">
        <w:tblPrEx>
          <w:tblLook w:val="0000"/>
        </w:tblPrEx>
        <w:trPr>
          <w:cantSplit/>
        </w:trPr>
        <w:tc>
          <w:tcPr>
            <w:tcW w:w="1870" w:type="dxa"/>
          </w:tcPr>
          <w:p w:rsidR="00075AE0" w:rsidRPr="00881846" w:rsidRDefault="00075AE0" w:rsidP="00881846">
            <w:pPr>
              <w:pStyle w:val="TableSideHeading"/>
            </w:pPr>
            <w:r w:rsidRPr="00881846">
              <w:rPr>
                <w:rtl/>
              </w:rPr>
              <w:t>הדין החל בגירושי בני זוג שנישאו במדינת חוץ</w:t>
            </w:r>
          </w:p>
        </w:tc>
        <w:tc>
          <w:tcPr>
            <w:tcW w:w="628" w:type="dxa"/>
          </w:tcPr>
          <w:p w:rsidR="00075AE0" w:rsidRDefault="00075AE0" w:rsidP="00881846">
            <w:pPr>
              <w:pStyle w:val="TableText"/>
              <w:keepLines w:val="0"/>
              <w:rPr>
                <w:sz w:val="26"/>
              </w:rPr>
            </w:pPr>
            <w:r>
              <w:rPr>
                <w:sz w:val="26"/>
                <w:rtl/>
              </w:rPr>
              <w:t xml:space="preserve"> 16.</w:t>
            </w:r>
          </w:p>
        </w:tc>
        <w:tc>
          <w:tcPr>
            <w:tcW w:w="7140" w:type="dxa"/>
            <w:gridSpan w:val="4"/>
          </w:tcPr>
          <w:p w:rsidR="00075AE0" w:rsidRDefault="00075AE0" w:rsidP="00881846">
            <w:pPr>
              <w:pStyle w:val="TableBlock"/>
              <w:rPr>
                <w:sz w:val="26"/>
                <w:lang w:eastAsia="en-US"/>
              </w:rPr>
            </w:pPr>
            <w:r>
              <w:rPr>
                <w:sz w:val="26"/>
                <w:rtl/>
                <w:lang w:eastAsia="en-US"/>
              </w:rPr>
              <w:t xml:space="preserve">נערכו הנישואין במדינת חוץ, ידון בית המשפט </w:t>
            </w:r>
            <w:r w:rsidRPr="006723D3">
              <w:rPr>
                <w:rtl/>
                <w:lang w:eastAsia="en-US"/>
              </w:rPr>
              <w:t>על פי חוק מושבם של בני הזוג בשעת עריכת הנישואין ובהעדר מקום מושב משותף, לפי הדין במקום מושבו של אחד מבני הזוג כפי שיראה לו צודק בנסיבות העניין</w:t>
            </w:r>
            <w:r>
              <w:rPr>
                <w:rtl/>
                <w:lang w:eastAsia="en-US"/>
              </w:rPr>
              <w:t xml:space="preserve">, </w:t>
            </w:r>
            <w:r w:rsidRPr="006723D3">
              <w:rPr>
                <w:rtl/>
                <w:lang w:eastAsia="en-US"/>
              </w:rPr>
              <w:t>אולם רשאים בני הזוג לקבוע בהסכם ולשנות את הדין החל על הגירושין בהתאם לחוק מושבם בשעת עשיית ההסכם</w:t>
            </w:r>
            <w:r>
              <w:rPr>
                <w:sz w:val="26"/>
                <w:rtl/>
                <w:lang w:eastAsia="en-US"/>
              </w:rPr>
              <w:t>.</w:t>
            </w:r>
          </w:p>
        </w:tc>
      </w:tr>
      <w:tr w:rsidR="00075AE0" w:rsidTr="0064729A">
        <w:tblPrEx>
          <w:tblLook w:val="0000"/>
        </w:tblPrEx>
        <w:trPr>
          <w:cantSplit/>
        </w:trPr>
        <w:tc>
          <w:tcPr>
            <w:tcW w:w="1870" w:type="dxa"/>
          </w:tcPr>
          <w:p w:rsidR="00075AE0" w:rsidRPr="00881846" w:rsidRDefault="00075AE0" w:rsidP="00881846">
            <w:pPr>
              <w:pStyle w:val="TableSideHeading"/>
            </w:pPr>
            <w:r w:rsidRPr="00881846">
              <w:rPr>
                <w:rtl/>
              </w:rPr>
              <w:tab/>
            </w:r>
            <w:r w:rsidRPr="00881846">
              <w:t xml:space="preserve"> </w:t>
            </w:r>
          </w:p>
        </w:tc>
        <w:tc>
          <w:tcPr>
            <w:tcW w:w="628" w:type="dxa"/>
          </w:tcPr>
          <w:p w:rsidR="00075AE0" w:rsidRDefault="00075AE0" w:rsidP="00881846">
            <w:pPr>
              <w:pStyle w:val="TableText"/>
              <w:ind w:right="0"/>
              <w:jc w:val="both"/>
              <w:rPr>
                <w:sz w:val="26"/>
              </w:rPr>
            </w:pPr>
          </w:p>
        </w:tc>
        <w:tc>
          <w:tcPr>
            <w:tcW w:w="7140" w:type="dxa"/>
            <w:gridSpan w:val="4"/>
          </w:tcPr>
          <w:p w:rsidR="00075AE0" w:rsidRDefault="00075AE0" w:rsidP="00881846">
            <w:pPr>
              <w:pStyle w:val="TableHead"/>
              <w:rPr>
                <w:sz w:val="26"/>
              </w:rPr>
            </w:pPr>
            <w:r>
              <w:rPr>
                <w:sz w:val="26"/>
                <w:rtl/>
                <w:lang w:eastAsia="en-US"/>
              </w:rPr>
              <w:t>סימן ג': הוראות כלליות</w:t>
            </w:r>
            <w:r>
              <w:rPr>
                <w:sz w:val="26"/>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מועד הגירושין</w:t>
            </w:r>
          </w:p>
        </w:tc>
        <w:tc>
          <w:tcPr>
            <w:tcW w:w="628" w:type="dxa"/>
          </w:tcPr>
          <w:p w:rsidR="00075AE0" w:rsidRDefault="00075AE0" w:rsidP="00881846">
            <w:pPr>
              <w:pStyle w:val="TableText"/>
              <w:keepLines w:val="0"/>
              <w:rPr>
                <w:sz w:val="26"/>
              </w:rPr>
            </w:pPr>
            <w:r>
              <w:rPr>
                <w:sz w:val="26"/>
                <w:rtl/>
              </w:rPr>
              <w:t xml:space="preserve">17. </w:t>
            </w:r>
          </w:p>
        </w:tc>
        <w:tc>
          <w:tcPr>
            <w:tcW w:w="7140" w:type="dxa"/>
            <w:gridSpan w:val="4"/>
          </w:tcPr>
          <w:p w:rsidR="00075AE0" w:rsidRDefault="00075AE0" w:rsidP="00881846">
            <w:pPr>
              <w:pStyle w:val="TableBlock"/>
              <w:rPr>
                <w:sz w:val="26"/>
              </w:rPr>
            </w:pPr>
            <w:r>
              <w:rPr>
                <w:sz w:val="26"/>
                <w:rtl/>
              </w:rPr>
              <w:t>הגירושין יירשמו במשרד הפנים ובני הזוג ייחשבו כגרושים החל ממועד מתן צו הגירושין.</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Default="00075AE0" w:rsidP="00881846">
            <w:pPr>
              <w:pStyle w:val="TableText"/>
              <w:ind w:right="0"/>
              <w:jc w:val="both"/>
              <w:rPr>
                <w:sz w:val="26"/>
              </w:rPr>
            </w:pPr>
          </w:p>
        </w:tc>
        <w:tc>
          <w:tcPr>
            <w:tcW w:w="7140" w:type="dxa"/>
            <w:gridSpan w:val="4"/>
          </w:tcPr>
          <w:p w:rsidR="00075AE0" w:rsidRDefault="00075AE0" w:rsidP="00881846">
            <w:pPr>
              <w:pStyle w:val="TableHead"/>
              <w:rPr>
                <w:sz w:val="26"/>
              </w:rPr>
            </w:pPr>
            <w:r>
              <w:rPr>
                <w:sz w:val="26"/>
                <w:rtl/>
              </w:rPr>
              <w:t>פרק ג': עניינים הנובעים מנישואין וגירושין</w:t>
            </w:r>
          </w:p>
        </w:tc>
      </w:tr>
      <w:tr w:rsidR="00075AE0" w:rsidTr="0064729A">
        <w:tblPrEx>
          <w:tblLook w:val="0000"/>
        </w:tblPrEx>
        <w:trPr>
          <w:cantSplit/>
        </w:trPr>
        <w:tc>
          <w:tcPr>
            <w:tcW w:w="1870" w:type="dxa"/>
          </w:tcPr>
          <w:p w:rsidR="00075AE0" w:rsidRPr="00C87D11" w:rsidRDefault="00075AE0" w:rsidP="00881846">
            <w:pPr>
              <w:pStyle w:val="TableSideHeading"/>
            </w:pPr>
            <w:r w:rsidRPr="00C87D11">
              <w:rPr>
                <w:rtl/>
              </w:rPr>
              <w:t>עניינים הנובעים מנישואין או גירושין אזרחיים</w:t>
            </w:r>
          </w:p>
        </w:tc>
        <w:tc>
          <w:tcPr>
            <w:tcW w:w="628" w:type="dxa"/>
          </w:tcPr>
          <w:p w:rsidR="00075AE0" w:rsidRDefault="00075AE0" w:rsidP="00881846">
            <w:pPr>
              <w:pStyle w:val="TableText"/>
              <w:keepLines w:val="0"/>
              <w:rPr>
                <w:sz w:val="26"/>
              </w:rPr>
            </w:pPr>
            <w:r>
              <w:rPr>
                <w:sz w:val="26"/>
                <w:rtl/>
              </w:rPr>
              <w:t>18.</w:t>
            </w:r>
          </w:p>
        </w:tc>
        <w:tc>
          <w:tcPr>
            <w:tcW w:w="7140" w:type="dxa"/>
            <w:gridSpan w:val="4"/>
          </w:tcPr>
          <w:p w:rsidR="00075AE0" w:rsidRDefault="00075AE0" w:rsidP="00881846">
            <w:pPr>
              <w:pStyle w:val="TableBlock"/>
              <w:rPr>
                <w:sz w:val="26"/>
              </w:rPr>
            </w:pPr>
            <w:r>
              <w:rPr>
                <w:sz w:val="26"/>
                <w:rtl/>
                <w:lang w:eastAsia="en-US"/>
              </w:rPr>
              <w:t>בעניינים הנובעים מנישואין או גירושין אזרחיים, לא תהיה תחולה להוראות הדין האישי החל על בני הזוג; על אף האמור בכל דין, הסמכות הייחודית לדון בעניינים אלה תהיה מסורה לבית המשפט לענייני משפחה.</w:t>
            </w:r>
            <w:r>
              <w:rPr>
                <w:sz w:val="26"/>
                <w:rtl/>
              </w:rPr>
              <w:t xml:space="preserve"> </w:t>
            </w:r>
          </w:p>
        </w:tc>
      </w:tr>
      <w:tr w:rsidR="00075AE0" w:rsidTr="0064729A">
        <w:tblPrEx>
          <w:tblLook w:val="0000"/>
        </w:tblPrEx>
        <w:trPr>
          <w:cantSplit/>
        </w:trPr>
        <w:tc>
          <w:tcPr>
            <w:tcW w:w="1870" w:type="dxa"/>
          </w:tcPr>
          <w:p w:rsidR="00075AE0" w:rsidRPr="00881846" w:rsidRDefault="00075AE0" w:rsidP="00881846">
            <w:pPr>
              <w:pStyle w:val="TableSideHeading"/>
              <w:rPr>
                <w:rtl/>
              </w:rPr>
            </w:pPr>
          </w:p>
        </w:tc>
        <w:tc>
          <w:tcPr>
            <w:tcW w:w="628" w:type="dxa"/>
          </w:tcPr>
          <w:p w:rsidR="00075AE0" w:rsidRDefault="00075AE0" w:rsidP="00881846">
            <w:pPr>
              <w:pStyle w:val="TableText"/>
              <w:rPr>
                <w:sz w:val="26"/>
                <w:rtl/>
              </w:rPr>
            </w:pPr>
          </w:p>
        </w:tc>
        <w:tc>
          <w:tcPr>
            <w:tcW w:w="7140" w:type="dxa"/>
            <w:gridSpan w:val="4"/>
          </w:tcPr>
          <w:p w:rsidR="00075AE0" w:rsidRDefault="00075AE0" w:rsidP="00881846">
            <w:pPr>
              <w:pStyle w:val="TableHead"/>
              <w:rPr>
                <w:sz w:val="26"/>
                <w:rtl/>
              </w:rPr>
            </w:pPr>
            <w:r>
              <w:rPr>
                <w:sz w:val="26"/>
                <w:rtl/>
              </w:rPr>
              <w:t>פרק ד': הוראות מעבר</w:t>
            </w:r>
          </w:p>
        </w:tc>
      </w:tr>
      <w:tr w:rsidR="00075AE0" w:rsidTr="0064729A">
        <w:tblPrEx>
          <w:tblLook w:val="0000"/>
        </w:tblPrEx>
        <w:trPr>
          <w:cantSplit/>
        </w:trPr>
        <w:tc>
          <w:tcPr>
            <w:tcW w:w="1870" w:type="dxa"/>
          </w:tcPr>
          <w:p w:rsidR="00075AE0" w:rsidRPr="00C87D11" w:rsidRDefault="00075AE0" w:rsidP="00881846">
            <w:pPr>
              <w:pStyle w:val="TableSideHeading"/>
              <w:rPr>
                <w:rtl/>
              </w:rPr>
            </w:pPr>
            <w:r w:rsidRPr="00C87D11">
              <w:rPr>
                <w:rtl/>
              </w:rPr>
              <w:lastRenderedPageBreak/>
              <w:t>תחולה</w:t>
            </w:r>
          </w:p>
        </w:tc>
        <w:tc>
          <w:tcPr>
            <w:tcW w:w="628" w:type="dxa"/>
          </w:tcPr>
          <w:p w:rsidR="00075AE0" w:rsidRPr="00881846" w:rsidRDefault="00075AE0" w:rsidP="00881846">
            <w:pPr>
              <w:pStyle w:val="TableText"/>
              <w:ind w:right="0"/>
              <w:jc w:val="both"/>
              <w:rPr>
                <w:rtl/>
              </w:rPr>
            </w:pPr>
            <w:r w:rsidRPr="00881846">
              <w:rPr>
                <w:rtl/>
              </w:rPr>
              <w:t>19.</w:t>
            </w:r>
          </w:p>
        </w:tc>
        <w:tc>
          <w:tcPr>
            <w:tcW w:w="7140" w:type="dxa"/>
            <w:gridSpan w:val="4"/>
          </w:tcPr>
          <w:p w:rsidR="00075AE0" w:rsidRDefault="00075AE0" w:rsidP="00881846">
            <w:pPr>
              <w:pStyle w:val="TableBlock"/>
              <w:rPr>
                <w:sz w:val="26"/>
              </w:rPr>
            </w:pPr>
            <w:r>
              <w:rPr>
                <w:sz w:val="26"/>
                <w:rtl/>
                <w:lang w:eastAsia="en-US"/>
              </w:rPr>
              <w:t xml:space="preserve">הוראות חוק זה לא יחולו על ענייני נישואין וגירושין שהחלו לדון בהם לפני מועד תחילתו. </w:t>
            </w:r>
          </w:p>
        </w:tc>
      </w:tr>
      <w:tr w:rsidR="00075AE0" w:rsidTr="0064729A">
        <w:tblPrEx>
          <w:tblLook w:val="0000"/>
        </w:tblPrEx>
        <w:trPr>
          <w:cantSplit/>
        </w:trPr>
        <w:tc>
          <w:tcPr>
            <w:tcW w:w="1870" w:type="dxa"/>
          </w:tcPr>
          <w:p w:rsidR="00075AE0" w:rsidRPr="00C87D11" w:rsidRDefault="00075AE0" w:rsidP="00881846">
            <w:pPr>
              <w:pStyle w:val="TableSideHeading"/>
              <w:rPr>
                <w:rtl/>
              </w:rPr>
            </w:pPr>
            <w:r>
              <w:rPr>
                <w:rtl/>
              </w:rPr>
              <w:t xml:space="preserve">נישואין אזרחיים במדינת חוץ </w:t>
            </w:r>
          </w:p>
        </w:tc>
        <w:tc>
          <w:tcPr>
            <w:tcW w:w="628" w:type="dxa"/>
          </w:tcPr>
          <w:p w:rsidR="00075AE0" w:rsidRPr="00881846" w:rsidRDefault="00075AE0" w:rsidP="00881846">
            <w:pPr>
              <w:pStyle w:val="TableText"/>
              <w:ind w:right="0"/>
              <w:jc w:val="both"/>
              <w:rPr>
                <w:rtl/>
              </w:rPr>
            </w:pPr>
            <w:r w:rsidRPr="00881846">
              <w:rPr>
                <w:rtl/>
              </w:rPr>
              <w:t>20.</w:t>
            </w:r>
          </w:p>
        </w:tc>
        <w:tc>
          <w:tcPr>
            <w:tcW w:w="7140" w:type="dxa"/>
            <w:gridSpan w:val="4"/>
          </w:tcPr>
          <w:p w:rsidR="00075AE0" w:rsidRDefault="00075AE0" w:rsidP="00881846">
            <w:pPr>
              <w:pStyle w:val="TableBlock"/>
              <w:rPr>
                <w:sz w:val="26"/>
              </w:rPr>
            </w:pPr>
            <w:r>
              <w:rPr>
                <w:sz w:val="26"/>
                <w:rtl/>
                <w:lang w:eastAsia="en-US"/>
              </w:rPr>
              <w:t xml:space="preserve">נישואין אזרחיים שנערכו לפני תחילתו של חוק זה, בהתאם לדיני מדינת חוץ, דינם כנישואין אזרחיים לפי חוק זה. </w:t>
            </w:r>
          </w:p>
        </w:tc>
      </w:tr>
      <w:tr w:rsidR="00075AE0" w:rsidTr="0064729A">
        <w:tblPrEx>
          <w:tblLook w:val="0000"/>
        </w:tblPrEx>
        <w:trPr>
          <w:cantSplit/>
        </w:trPr>
        <w:tc>
          <w:tcPr>
            <w:tcW w:w="1870" w:type="dxa"/>
          </w:tcPr>
          <w:p w:rsidR="00075AE0" w:rsidRPr="00C87D11" w:rsidRDefault="00075AE0" w:rsidP="00881846">
            <w:pPr>
              <w:pStyle w:val="TableSideHeading"/>
              <w:rPr>
                <w:rtl/>
              </w:rPr>
            </w:pPr>
            <w:r w:rsidRPr="00C87D11">
              <w:rPr>
                <w:rtl/>
              </w:rPr>
              <w:t>ביצוע ותקנות</w:t>
            </w:r>
          </w:p>
        </w:tc>
        <w:tc>
          <w:tcPr>
            <w:tcW w:w="628" w:type="dxa"/>
          </w:tcPr>
          <w:p w:rsidR="00075AE0" w:rsidRPr="00881846" w:rsidRDefault="00075AE0" w:rsidP="00881846">
            <w:pPr>
              <w:pStyle w:val="TableText"/>
              <w:ind w:right="0"/>
              <w:jc w:val="both"/>
              <w:rPr>
                <w:rtl/>
              </w:rPr>
            </w:pPr>
            <w:r w:rsidRPr="00881846">
              <w:rPr>
                <w:rtl/>
              </w:rPr>
              <w:t>21.</w:t>
            </w:r>
          </w:p>
        </w:tc>
        <w:tc>
          <w:tcPr>
            <w:tcW w:w="7140" w:type="dxa"/>
            <w:gridSpan w:val="4"/>
          </w:tcPr>
          <w:p w:rsidR="00075AE0" w:rsidRDefault="00075AE0" w:rsidP="00881846">
            <w:pPr>
              <w:pStyle w:val="TableBlock"/>
              <w:rPr>
                <w:sz w:val="26"/>
                <w:rtl/>
              </w:rPr>
            </w:pPr>
            <w:r>
              <w:rPr>
                <w:sz w:val="26"/>
                <w:rtl/>
                <w:lang w:eastAsia="en-US"/>
              </w:rPr>
              <w:t>שר המשפטים ממונה על ביצוע חוק זה והוא רשאי להתקין תקנות בכל הנוגע לביצועו של חוק זה.</w:t>
            </w:r>
          </w:p>
        </w:tc>
      </w:tr>
      <w:tr w:rsidR="00075AE0" w:rsidTr="0064729A">
        <w:tblPrEx>
          <w:tblLook w:val="0000"/>
        </w:tblPrEx>
        <w:trPr>
          <w:cantSplit/>
        </w:trPr>
        <w:tc>
          <w:tcPr>
            <w:tcW w:w="1870" w:type="dxa"/>
          </w:tcPr>
          <w:p w:rsidR="00075AE0" w:rsidRPr="00C87D11" w:rsidRDefault="00075AE0" w:rsidP="00881846">
            <w:pPr>
              <w:pStyle w:val="TableSideHeading"/>
              <w:rPr>
                <w:rtl/>
              </w:rPr>
            </w:pPr>
            <w:r w:rsidRPr="00C87D11">
              <w:rPr>
                <w:rtl/>
              </w:rPr>
              <w:t>תחילה</w:t>
            </w:r>
          </w:p>
        </w:tc>
        <w:tc>
          <w:tcPr>
            <w:tcW w:w="628" w:type="dxa"/>
          </w:tcPr>
          <w:p w:rsidR="00075AE0" w:rsidRPr="00881846" w:rsidRDefault="00075AE0" w:rsidP="00881846">
            <w:pPr>
              <w:pStyle w:val="TableText"/>
              <w:ind w:right="0"/>
              <w:jc w:val="both"/>
              <w:rPr>
                <w:rtl/>
              </w:rPr>
            </w:pPr>
            <w:r w:rsidRPr="00881846">
              <w:rPr>
                <w:rtl/>
              </w:rPr>
              <w:t>22.</w:t>
            </w:r>
          </w:p>
        </w:tc>
        <w:tc>
          <w:tcPr>
            <w:tcW w:w="7140" w:type="dxa"/>
            <w:gridSpan w:val="4"/>
          </w:tcPr>
          <w:p w:rsidR="00075AE0" w:rsidRDefault="00075AE0" w:rsidP="00881846">
            <w:pPr>
              <w:pStyle w:val="TableBlock"/>
              <w:rPr>
                <w:sz w:val="26"/>
              </w:rPr>
            </w:pPr>
            <w:r>
              <w:rPr>
                <w:sz w:val="26"/>
                <w:rtl/>
                <w:lang w:eastAsia="en-US"/>
              </w:rPr>
              <w:t xml:space="preserve">תחילתו של חוק זה ששה חודשים מיום פרסומו. </w:t>
            </w:r>
          </w:p>
        </w:tc>
      </w:tr>
      <w:tr w:rsidR="00075AE0" w:rsidTr="0064729A">
        <w:tblPrEx>
          <w:tblLook w:val="0000"/>
        </w:tblPrEx>
        <w:trPr>
          <w:cantSplit/>
        </w:trPr>
        <w:tc>
          <w:tcPr>
            <w:tcW w:w="1870" w:type="dxa"/>
          </w:tcPr>
          <w:p w:rsidR="00075AE0" w:rsidRPr="00881846" w:rsidRDefault="00075AE0" w:rsidP="00881846">
            <w:pPr>
              <w:pStyle w:val="TableSideHeading"/>
            </w:pPr>
          </w:p>
        </w:tc>
        <w:tc>
          <w:tcPr>
            <w:tcW w:w="628" w:type="dxa"/>
          </w:tcPr>
          <w:p w:rsidR="00075AE0" w:rsidRPr="00881846" w:rsidRDefault="00075AE0" w:rsidP="00881846">
            <w:pPr>
              <w:pStyle w:val="TableText"/>
              <w:ind w:right="0"/>
              <w:jc w:val="both"/>
            </w:pPr>
          </w:p>
        </w:tc>
        <w:tc>
          <w:tcPr>
            <w:tcW w:w="7140" w:type="dxa"/>
            <w:gridSpan w:val="4"/>
          </w:tcPr>
          <w:p w:rsidR="00075AE0" w:rsidRPr="00D11333" w:rsidRDefault="00075AE0" w:rsidP="00881846">
            <w:pPr>
              <w:pStyle w:val="TableHead"/>
              <w:rPr>
                <w:rtl/>
              </w:rPr>
            </w:pPr>
            <w:r w:rsidRPr="00881846">
              <w:rPr>
                <w:rtl/>
              </w:rPr>
              <w:t>פרק ה': תיקונים עקיפים</w:t>
            </w:r>
          </w:p>
        </w:tc>
      </w:tr>
      <w:tr w:rsidR="00075AE0" w:rsidTr="0064729A">
        <w:tblPrEx>
          <w:tblLook w:val="0000"/>
        </w:tblPrEx>
        <w:trPr>
          <w:cantSplit/>
        </w:trPr>
        <w:tc>
          <w:tcPr>
            <w:tcW w:w="1870" w:type="dxa"/>
          </w:tcPr>
          <w:p w:rsidR="00075AE0" w:rsidRPr="00C87D11" w:rsidRDefault="00075AE0" w:rsidP="00881846">
            <w:pPr>
              <w:pStyle w:val="TableSideHeading"/>
            </w:pPr>
            <w:bookmarkStart w:id="7" w:name="OLE_LINK1"/>
            <w:r w:rsidRPr="00881846">
              <w:rPr>
                <w:rtl/>
              </w:rPr>
              <w:t>תיקון חוק שיפוט בתי דין רבניים (נישואין וגירושין)</w:t>
            </w:r>
            <w:bookmarkEnd w:id="7"/>
          </w:p>
        </w:tc>
        <w:tc>
          <w:tcPr>
            <w:tcW w:w="628" w:type="dxa"/>
          </w:tcPr>
          <w:p w:rsidR="00075AE0" w:rsidRPr="00881846" w:rsidRDefault="00075AE0" w:rsidP="00881846">
            <w:pPr>
              <w:pStyle w:val="TableText"/>
              <w:ind w:right="0"/>
              <w:jc w:val="both"/>
            </w:pPr>
            <w:r w:rsidRPr="00881846">
              <w:rPr>
                <w:rtl/>
              </w:rPr>
              <w:t>23.</w:t>
            </w:r>
          </w:p>
        </w:tc>
        <w:tc>
          <w:tcPr>
            <w:tcW w:w="7140" w:type="dxa"/>
            <w:gridSpan w:val="4"/>
          </w:tcPr>
          <w:p w:rsidR="00075AE0" w:rsidRDefault="00075AE0" w:rsidP="00881846">
            <w:pPr>
              <w:pStyle w:val="TableBlock"/>
              <w:rPr>
                <w:sz w:val="26"/>
                <w:rtl/>
              </w:rPr>
            </w:pPr>
            <w:r>
              <w:rPr>
                <w:sz w:val="26"/>
                <w:rtl/>
                <w:lang w:eastAsia="en-US"/>
              </w:rPr>
              <w:t>בחוק שיפוט בתי דין רבניים (נישואין וגירושין), התשי"ג–1953</w:t>
            </w:r>
            <w:r>
              <w:rPr>
                <w:rStyle w:val="a7"/>
                <w:sz w:val="26"/>
                <w:rtl/>
                <w:lang w:eastAsia="en-US"/>
              </w:rPr>
              <w:footnoteReference w:id="4"/>
            </w:r>
            <w:r>
              <w:rPr>
                <w:sz w:val="26"/>
                <w:rtl/>
                <w:lang w:eastAsia="en-US"/>
              </w:rPr>
              <w:t xml:space="preserve"> –</w:t>
            </w:r>
          </w:p>
        </w:tc>
      </w:tr>
      <w:tr w:rsidR="00075AE0" w:rsidTr="0064729A">
        <w:tblPrEx>
          <w:tblLook w:val="0000"/>
        </w:tblPrEx>
        <w:trPr>
          <w:cantSplit/>
        </w:trPr>
        <w:tc>
          <w:tcPr>
            <w:tcW w:w="1870" w:type="dxa"/>
          </w:tcPr>
          <w:p w:rsidR="00075AE0" w:rsidRPr="00C87D11" w:rsidRDefault="00075AE0" w:rsidP="00881846">
            <w:pPr>
              <w:pStyle w:val="TableSideHeading"/>
            </w:pPr>
          </w:p>
        </w:tc>
        <w:tc>
          <w:tcPr>
            <w:tcW w:w="628" w:type="dxa"/>
          </w:tcPr>
          <w:p w:rsidR="00075AE0" w:rsidRPr="00881846" w:rsidRDefault="00075AE0" w:rsidP="00881846">
            <w:pPr>
              <w:pStyle w:val="TableText"/>
              <w:ind w:right="0"/>
              <w:jc w:val="both"/>
            </w:pPr>
          </w:p>
        </w:tc>
        <w:tc>
          <w:tcPr>
            <w:tcW w:w="7140" w:type="dxa"/>
            <w:gridSpan w:val="4"/>
          </w:tcPr>
          <w:p w:rsidR="00075AE0" w:rsidRDefault="00075AE0" w:rsidP="00881846">
            <w:pPr>
              <w:pStyle w:val="TableBlock"/>
              <w:rPr>
                <w:sz w:val="26"/>
                <w:lang w:eastAsia="en-US"/>
              </w:rPr>
            </w:pPr>
            <w:r>
              <w:rPr>
                <w:sz w:val="26"/>
                <w:rtl/>
                <w:lang w:eastAsia="en-US"/>
              </w:rPr>
              <w:t xml:space="preserve">(1) </w:t>
            </w:r>
            <w:r>
              <w:rPr>
                <w:sz w:val="26"/>
                <w:rtl/>
                <w:lang w:eastAsia="en-US"/>
              </w:rPr>
              <w:tab/>
              <w:t>במקום סעיף 1 יבוא:</w:t>
            </w:r>
            <w:r>
              <w:rPr>
                <w:sz w:val="26"/>
                <w:rtl/>
              </w:rPr>
              <w:t xml:space="preserve"> </w:t>
            </w:r>
          </w:p>
        </w:tc>
      </w:tr>
      <w:tr w:rsidR="0064729A" w:rsidTr="0064729A">
        <w:trPr>
          <w:cantSplit/>
          <w:trHeight w:val="60"/>
        </w:trPr>
        <w:tc>
          <w:tcPr>
            <w:tcW w:w="1870" w:type="dxa"/>
          </w:tcPr>
          <w:p w:rsidR="0064729A" w:rsidRDefault="0064729A">
            <w:pPr>
              <w:pStyle w:val="TableSideHeading"/>
            </w:pPr>
          </w:p>
        </w:tc>
        <w:tc>
          <w:tcPr>
            <w:tcW w:w="628" w:type="dxa"/>
          </w:tcPr>
          <w:p w:rsidR="0064729A" w:rsidRDefault="0064729A">
            <w:pPr>
              <w:pStyle w:val="TableText"/>
            </w:pPr>
          </w:p>
        </w:tc>
        <w:tc>
          <w:tcPr>
            <w:tcW w:w="624" w:type="dxa"/>
          </w:tcPr>
          <w:p w:rsidR="0064729A" w:rsidRDefault="0064729A">
            <w:pPr>
              <w:pStyle w:val="TableText"/>
            </w:pPr>
          </w:p>
        </w:tc>
        <w:tc>
          <w:tcPr>
            <w:tcW w:w="1872" w:type="dxa"/>
          </w:tcPr>
          <w:p w:rsidR="0064729A" w:rsidRDefault="0064729A" w:rsidP="00BD2D78">
            <w:pPr>
              <w:pStyle w:val="TableInnerSideHeading"/>
              <w:rPr>
                <w:sz w:val="26"/>
              </w:rPr>
            </w:pPr>
            <w:r>
              <w:rPr>
                <w:sz w:val="26"/>
                <w:rtl/>
              </w:rPr>
              <w:t>"שיפוט בענייני נישואין וגירושין</w:t>
            </w:r>
          </w:p>
        </w:tc>
        <w:tc>
          <w:tcPr>
            <w:tcW w:w="623" w:type="dxa"/>
          </w:tcPr>
          <w:p w:rsidR="0064729A" w:rsidRDefault="0064729A" w:rsidP="00E16E6B">
            <w:pPr>
              <w:pStyle w:val="TableText"/>
              <w:rPr>
                <w:sz w:val="26"/>
              </w:rPr>
            </w:pPr>
            <w:r>
              <w:rPr>
                <w:sz w:val="26"/>
                <w:rtl/>
              </w:rPr>
              <w:t>1.</w:t>
            </w:r>
          </w:p>
        </w:tc>
        <w:tc>
          <w:tcPr>
            <w:tcW w:w="4021" w:type="dxa"/>
          </w:tcPr>
          <w:p w:rsidR="0064729A" w:rsidRDefault="0064729A" w:rsidP="00E16E6B">
            <w:pPr>
              <w:pStyle w:val="TableBlock"/>
              <w:rPr>
                <w:sz w:val="26"/>
              </w:rPr>
            </w:pPr>
            <w:r>
              <w:rPr>
                <w:sz w:val="26"/>
                <w:rtl/>
                <w:lang w:eastAsia="en-US"/>
              </w:rPr>
              <w:t>לבתי הדין הרבניים תהא סמכות שיפוט בענייני נישואין וגירושין בישראל בכפוף להוראות חוק הנישואין האזרחיים, התשע"ד–2014.";</w:t>
            </w:r>
            <w:r>
              <w:rPr>
                <w:sz w:val="26"/>
                <w:rtl/>
              </w:rPr>
              <w:t xml:space="preserve"> </w:t>
            </w:r>
          </w:p>
        </w:tc>
      </w:tr>
      <w:tr w:rsidR="0064729A" w:rsidTr="0064729A">
        <w:tblPrEx>
          <w:tblLook w:val="0000"/>
        </w:tblPrEx>
        <w:trPr>
          <w:cantSplit/>
        </w:trPr>
        <w:tc>
          <w:tcPr>
            <w:tcW w:w="1870" w:type="dxa"/>
          </w:tcPr>
          <w:p w:rsidR="0064729A" w:rsidRPr="00C87D11" w:rsidRDefault="0064729A" w:rsidP="00881846">
            <w:pPr>
              <w:pStyle w:val="TableSideHeading"/>
            </w:pPr>
          </w:p>
        </w:tc>
        <w:tc>
          <w:tcPr>
            <w:tcW w:w="628" w:type="dxa"/>
          </w:tcPr>
          <w:p w:rsidR="0064729A" w:rsidRDefault="0064729A" w:rsidP="00881846">
            <w:pPr>
              <w:pStyle w:val="TableText"/>
              <w:keepLines w:val="0"/>
              <w:rPr>
                <w:sz w:val="26"/>
              </w:rPr>
            </w:pPr>
          </w:p>
        </w:tc>
        <w:tc>
          <w:tcPr>
            <w:tcW w:w="7140" w:type="dxa"/>
            <w:gridSpan w:val="4"/>
          </w:tcPr>
          <w:p w:rsidR="0064729A" w:rsidRPr="00C87D11" w:rsidRDefault="0064729A" w:rsidP="00881846">
            <w:pPr>
              <w:pStyle w:val="TableBlock"/>
            </w:pPr>
            <w:r w:rsidRPr="00C87D11">
              <w:rPr>
                <w:rtl/>
              </w:rPr>
              <w:t>(2)</w:t>
            </w:r>
            <w:r w:rsidRPr="00C87D11">
              <w:rPr>
                <w:rtl/>
              </w:rPr>
              <w:tab/>
              <w:t>סעיף 2 – בטל</w:t>
            </w:r>
            <w:r>
              <w:rPr>
                <w:rtl/>
              </w:rPr>
              <w:t>;</w:t>
            </w:r>
          </w:p>
        </w:tc>
      </w:tr>
      <w:tr w:rsidR="0064729A" w:rsidTr="0064729A">
        <w:tblPrEx>
          <w:tblLook w:val="0000"/>
        </w:tblPrEx>
        <w:trPr>
          <w:cantSplit/>
        </w:trPr>
        <w:tc>
          <w:tcPr>
            <w:tcW w:w="1870" w:type="dxa"/>
          </w:tcPr>
          <w:p w:rsidR="0064729A" w:rsidRPr="00C87D11" w:rsidRDefault="0064729A" w:rsidP="00881846">
            <w:pPr>
              <w:pStyle w:val="TableSideHeading"/>
            </w:pPr>
          </w:p>
        </w:tc>
        <w:tc>
          <w:tcPr>
            <w:tcW w:w="628" w:type="dxa"/>
          </w:tcPr>
          <w:p w:rsidR="0064729A" w:rsidRDefault="0064729A" w:rsidP="00881846">
            <w:pPr>
              <w:pStyle w:val="TableText"/>
              <w:keepLines w:val="0"/>
              <w:rPr>
                <w:sz w:val="26"/>
              </w:rPr>
            </w:pPr>
          </w:p>
        </w:tc>
        <w:tc>
          <w:tcPr>
            <w:tcW w:w="7140" w:type="dxa"/>
            <w:gridSpan w:val="4"/>
          </w:tcPr>
          <w:p w:rsidR="0064729A" w:rsidRPr="00C87D11" w:rsidRDefault="0064729A" w:rsidP="00881846">
            <w:pPr>
              <w:pStyle w:val="TableBlock"/>
            </w:pPr>
            <w:r w:rsidRPr="00C87D11">
              <w:rPr>
                <w:rtl/>
              </w:rPr>
              <w:t xml:space="preserve">(3) </w:t>
            </w:r>
            <w:r w:rsidRPr="00C87D11">
              <w:rPr>
                <w:rtl/>
              </w:rPr>
              <w:tab/>
              <w:t>בסעיף 3, אחרי "בין יהודים" יבוא "כאמור בסעיף 1";</w:t>
            </w:r>
          </w:p>
        </w:tc>
      </w:tr>
      <w:tr w:rsidR="0064729A" w:rsidTr="0064729A">
        <w:tblPrEx>
          <w:tblLook w:val="0000"/>
        </w:tblPrEx>
        <w:trPr>
          <w:cantSplit/>
        </w:trPr>
        <w:tc>
          <w:tcPr>
            <w:tcW w:w="1870" w:type="dxa"/>
          </w:tcPr>
          <w:p w:rsidR="0064729A" w:rsidRPr="00C87D11" w:rsidRDefault="0064729A" w:rsidP="00881846">
            <w:pPr>
              <w:pStyle w:val="TableSideHeading"/>
            </w:pPr>
          </w:p>
        </w:tc>
        <w:tc>
          <w:tcPr>
            <w:tcW w:w="628" w:type="dxa"/>
          </w:tcPr>
          <w:p w:rsidR="0064729A" w:rsidRDefault="0064729A" w:rsidP="00881846">
            <w:pPr>
              <w:pStyle w:val="TableText"/>
              <w:keepLines w:val="0"/>
              <w:rPr>
                <w:sz w:val="26"/>
              </w:rPr>
            </w:pPr>
          </w:p>
        </w:tc>
        <w:tc>
          <w:tcPr>
            <w:tcW w:w="7140" w:type="dxa"/>
            <w:gridSpan w:val="4"/>
          </w:tcPr>
          <w:p w:rsidR="0064729A" w:rsidRPr="00C87D11" w:rsidRDefault="0064729A" w:rsidP="00881846">
            <w:pPr>
              <w:pStyle w:val="TableBlock"/>
            </w:pPr>
            <w:r w:rsidRPr="00C87D11">
              <w:rPr>
                <w:rtl/>
              </w:rPr>
              <w:t>(4)</w:t>
            </w:r>
            <w:r w:rsidRPr="00C87D11">
              <w:rPr>
                <w:rtl/>
              </w:rPr>
              <w:tab/>
              <w:t>בסעיף 4, בסופו יבוא "ובלבד שבני הזוג נישאו בנישואין דתיים בבית דין רבני או שנישאו במדינת חוץ והסכימו שניהם בכתב כי השיפוט יהא נתון לבית הדין הרבני.".</w:t>
            </w:r>
          </w:p>
        </w:tc>
      </w:tr>
      <w:tr w:rsidR="0064729A" w:rsidTr="0064729A">
        <w:tblPrEx>
          <w:tblLook w:val="0000"/>
        </w:tblPrEx>
        <w:trPr>
          <w:cantSplit/>
        </w:trPr>
        <w:tc>
          <w:tcPr>
            <w:tcW w:w="1870" w:type="dxa"/>
          </w:tcPr>
          <w:p w:rsidR="0064729A" w:rsidRPr="00C87D11" w:rsidRDefault="0064729A" w:rsidP="00881846">
            <w:pPr>
              <w:pStyle w:val="TableSideHeading"/>
            </w:pPr>
            <w:r w:rsidRPr="00C87D11">
              <w:rPr>
                <w:rtl/>
              </w:rPr>
              <w:t>תיקון פקודת הנישואין והגירושין (רישום)</w:t>
            </w:r>
          </w:p>
        </w:tc>
        <w:tc>
          <w:tcPr>
            <w:tcW w:w="628" w:type="dxa"/>
          </w:tcPr>
          <w:p w:rsidR="0064729A" w:rsidRDefault="0064729A" w:rsidP="00881846">
            <w:pPr>
              <w:pStyle w:val="TableText"/>
              <w:keepLines w:val="0"/>
              <w:rPr>
                <w:sz w:val="26"/>
              </w:rPr>
            </w:pPr>
            <w:r>
              <w:rPr>
                <w:sz w:val="26"/>
                <w:rtl/>
              </w:rPr>
              <w:t>24.</w:t>
            </w:r>
          </w:p>
        </w:tc>
        <w:tc>
          <w:tcPr>
            <w:tcW w:w="7140" w:type="dxa"/>
            <w:gridSpan w:val="4"/>
          </w:tcPr>
          <w:p w:rsidR="0064729A" w:rsidRPr="00C87D11" w:rsidRDefault="0064729A" w:rsidP="00881846">
            <w:pPr>
              <w:pStyle w:val="TableBlock"/>
              <w:rPr>
                <w:rtl/>
              </w:rPr>
            </w:pPr>
            <w:r w:rsidRPr="00C87D11">
              <w:rPr>
                <w:rtl/>
              </w:rPr>
              <w:t>בפקודת הנישואין והגירושין (רישום)</w:t>
            </w:r>
            <w:r>
              <w:rPr>
                <w:rtl/>
              </w:rPr>
              <w:t xml:space="preserve"> – </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Pr="00C87D11" w:rsidRDefault="0064729A" w:rsidP="00881846">
            <w:pPr>
              <w:pStyle w:val="TableBlock"/>
              <w:rPr>
                <w:rtl/>
              </w:rPr>
            </w:pPr>
            <w:r>
              <w:rPr>
                <w:rtl/>
              </w:rPr>
              <w:t>(1)</w:t>
            </w:r>
            <w:r>
              <w:rPr>
                <w:rtl/>
              </w:rPr>
              <w:tab/>
              <w:t>בסעיף 2, במקום "</w:t>
            </w:r>
            <w:r w:rsidRPr="00C87D11">
              <w:rPr>
                <w:rtl/>
              </w:rPr>
              <w:t>הפקיד המסדר את הקידושין" יבוא "רשם הנישואין האזרחיים";</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Pr="00D11333" w:rsidRDefault="0064729A" w:rsidP="00881846">
            <w:pPr>
              <w:pStyle w:val="TableBlock"/>
              <w:rPr>
                <w:rtl/>
              </w:rPr>
            </w:pPr>
            <w:r>
              <w:rPr>
                <w:rtl/>
              </w:rPr>
              <w:t>(2)</w:t>
            </w:r>
            <w:r>
              <w:rPr>
                <w:rtl/>
              </w:rPr>
              <w:tab/>
            </w:r>
            <w:r w:rsidRPr="00C87D11">
              <w:rPr>
                <w:rtl/>
              </w:rPr>
              <w:t>בסעיף 2א, בסופו, יבוא "או אצל רשם הנישואין האזרחיים"</w:t>
            </w:r>
            <w:r>
              <w:rPr>
                <w:rtl/>
              </w:rPr>
              <w:t>;</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Default="0064729A" w:rsidP="00881846">
            <w:pPr>
              <w:pStyle w:val="TableBlock"/>
              <w:rPr>
                <w:rtl/>
              </w:rPr>
            </w:pPr>
            <w:r>
              <w:rPr>
                <w:rtl/>
              </w:rPr>
              <w:t>(3)</w:t>
            </w:r>
            <w:r>
              <w:rPr>
                <w:rtl/>
              </w:rPr>
              <w:tab/>
            </w:r>
            <w:r w:rsidRPr="00C87D11">
              <w:rPr>
                <w:rtl/>
              </w:rPr>
              <w:t>סעיף 4א – בטל.</w:t>
            </w:r>
            <w:r>
              <w:rPr>
                <w:rtl/>
              </w:rPr>
              <w:tab/>
            </w:r>
          </w:p>
        </w:tc>
      </w:tr>
      <w:tr w:rsidR="0064729A" w:rsidTr="0064729A">
        <w:tblPrEx>
          <w:tblLook w:val="0000"/>
        </w:tblPrEx>
        <w:trPr>
          <w:cantSplit/>
        </w:trPr>
        <w:tc>
          <w:tcPr>
            <w:tcW w:w="1870" w:type="dxa"/>
          </w:tcPr>
          <w:p w:rsidR="0064729A" w:rsidRPr="00C87D11" w:rsidRDefault="0064729A" w:rsidP="00881846">
            <w:pPr>
              <w:pStyle w:val="TableSideHeading"/>
              <w:rPr>
                <w:rtl/>
              </w:rPr>
            </w:pPr>
            <w:r w:rsidRPr="00C87D11">
              <w:rPr>
                <w:rtl/>
              </w:rPr>
              <w:lastRenderedPageBreak/>
              <w:t>תיקון דבר המלך במועצה על ארץ-ישראל, 1922 עד 1947</w:t>
            </w:r>
          </w:p>
        </w:tc>
        <w:tc>
          <w:tcPr>
            <w:tcW w:w="628" w:type="dxa"/>
          </w:tcPr>
          <w:p w:rsidR="0064729A" w:rsidRDefault="0064729A" w:rsidP="00881846">
            <w:pPr>
              <w:pStyle w:val="TableText"/>
              <w:keepLines w:val="0"/>
              <w:rPr>
                <w:sz w:val="26"/>
              </w:rPr>
            </w:pPr>
            <w:r>
              <w:rPr>
                <w:sz w:val="26"/>
                <w:rtl/>
              </w:rPr>
              <w:t>25.</w:t>
            </w:r>
          </w:p>
        </w:tc>
        <w:tc>
          <w:tcPr>
            <w:tcW w:w="7140" w:type="dxa"/>
            <w:gridSpan w:val="4"/>
          </w:tcPr>
          <w:p w:rsidR="0064729A" w:rsidRPr="00C87D11" w:rsidRDefault="0064729A" w:rsidP="00881846">
            <w:pPr>
              <w:pStyle w:val="TableBlock"/>
              <w:rPr>
                <w:rtl/>
              </w:rPr>
            </w:pPr>
            <w:r w:rsidRPr="00C87D11">
              <w:rPr>
                <w:rtl/>
              </w:rPr>
              <w:t>בדבר המלך במועצה על ארץ ישראל, 1922 עד 1947</w:t>
            </w:r>
            <w:r>
              <w:rPr>
                <w:rStyle w:val="a7"/>
                <w:rtl/>
              </w:rPr>
              <w:footnoteReference w:id="5"/>
            </w:r>
            <w:r>
              <w:rPr>
                <w:rtl/>
              </w:rPr>
              <w:t xml:space="preserve"> –</w:t>
            </w:r>
            <w:r w:rsidRPr="00C87D11">
              <w:rPr>
                <w:rtl/>
              </w:rPr>
              <w:t xml:space="preserve"> </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Pr="00C87D11" w:rsidRDefault="0064729A" w:rsidP="00881846">
            <w:pPr>
              <w:pStyle w:val="TableBlock"/>
              <w:rPr>
                <w:rtl/>
              </w:rPr>
            </w:pPr>
            <w:r>
              <w:rPr>
                <w:rtl/>
              </w:rPr>
              <w:t>(1)</w:t>
            </w:r>
            <w:r>
              <w:rPr>
                <w:rtl/>
              </w:rPr>
              <w:tab/>
              <w:t>בסעיף 51</w:t>
            </w:r>
            <w:r w:rsidRPr="00C87D11">
              <w:rPr>
                <w:rtl/>
              </w:rPr>
              <w:t>(1)</w:t>
            </w:r>
            <w:r>
              <w:rPr>
                <w:rtl/>
              </w:rPr>
              <w:t>, אחרי</w:t>
            </w:r>
            <w:r w:rsidRPr="00C87D11">
              <w:rPr>
                <w:rtl/>
              </w:rPr>
              <w:t xml:space="preserve"> "העדות הדתיות" </w:t>
            </w:r>
            <w:r>
              <w:rPr>
                <w:rtl/>
              </w:rPr>
              <w:t>יבוא</w:t>
            </w:r>
            <w:r w:rsidRPr="00C87D11">
              <w:rPr>
                <w:rtl/>
              </w:rPr>
              <w:t xml:space="preserve"> "וזאת בכפוף להוראות חוק הנישואין האזרחיים, התשע"ד</w:t>
            </w:r>
            <w:r>
              <w:rPr>
                <w:rtl/>
              </w:rPr>
              <w:t>–</w:t>
            </w:r>
            <w:r w:rsidRPr="00C87D11">
              <w:rPr>
                <w:rtl/>
              </w:rPr>
              <w:t>2014";</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Default="0064729A" w:rsidP="00881846">
            <w:pPr>
              <w:pStyle w:val="TableBlock"/>
              <w:rPr>
                <w:rtl/>
              </w:rPr>
            </w:pPr>
            <w:r>
              <w:rPr>
                <w:rtl/>
              </w:rPr>
              <w:t>(2)</w:t>
            </w:r>
            <w:r>
              <w:rPr>
                <w:rtl/>
              </w:rPr>
              <w:tab/>
            </w:r>
            <w:r w:rsidRPr="00C87D11">
              <w:rPr>
                <w:rtl/>
              </w:rPr>
              <w:t>בסעיף 52</w:t>
            </w:r>
            <w:r>
              <w:rPr>
                <w:rtl/>
              </w:rPr>
              <w:t>,</w:t>
            </w:r>
            <w:r w:rsidRPr="00C87D11">
              <w:rPr>
                <w:rtl/>
              </w:rPr>
              <w:t xml:space="preserve"> </w:t>
            </w:r>
            <w:r>
              <w:rPr>
                <w:rtl/>
              </w:rPr>
              <w:t>אחרי</w:t>
            </w:r>
            <w:r w:rsidRPr="00C87D11">
              <w:rPr>
                <w:rtl/>
              </w:rPr>
              <w:t xml:space="preserve"> "תקנות" </w:t>
            </w:r>
            <w:r>
              <w:rPr>
                <w:rtl/>
              </w:rPr>
              <w:t>יבוא</w:t>
            </w:r>
            <w:r w:rsidRPr="00C87D11">
              <w:rPr>
                <w:rtl/>
              </w:rPr>
              <w:t xml:space="preserve"> "וזאת בכפוף להוראות חוק הנישואין האזרחיים, התשע"ד</w:t>
            </w:r>
            <w:r>
              <w:rPr>
                <w:rtl/>
              </w:rPr>
              <w:t>–</w:t>
            </w:r>
            <w:r w:rsidRPr="00C87D11">
              <w:rPr>
                <w:rtl/>
              </w:rPr>
              <w:t>2014";</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Default="0064729A" w:rsidP="0064729A">
            <w:pPr>
              <w:pStyle w:val="TableBlock"/>
              <w:rPr>
                <w:rtl/>
              </w:rPr>
            </w:pPr>
            <w:r>
              <w:rPr>
                <w:rtl/>
              </w:rPr>
              <w:t>(3)</w:t>
            </w:r>
            <w:r>
              <w:rPr>
                <w:rtl/>
              </w:rPr>
              <w:tab/>
              <w:t>בסעיף 54(1) אחרי</w:t>
            </w:r>
            <w:r w:rsidRPr="001C1FB4">
              <w:rPr>
                <w:rtl/>
              </w:rPr>
              <w:t xml:space="preserve"> "בסעיף 59" </w:t>
            </w:r>
            <w:r>
              <w:rPr>
                <w:rtl/>
              </w:rPr>
              <w:t>יבוא</w:t>
            </w:r>
            <w:r w:rsidRPr="001C1FB4">
              <w:rPr>
                <w:rtl/>
              </w:rPr>
              <w:t xml:space="preserve"> "וזאת בכפוף להוראות חוק הנישואין האזרחיים, התשע"ד</w:t>
            </w:r>
            <w:r>
              <w:rPr>
                <w:rtl/>
              </w:rPr>
              <w:t>–</w:t>
            </w:r>
            <w:r w:rsidRPr="001C1FB4">
              <w:rPr>
                <w:rtl/>
              </w:rPr>
              <w:t>2014".</w:t>
            </w:r>
          </w:p>
        </w:tc>
      </w:tr>
      <w:tr w:rsidR="0064729A" w:rsidTr="0064729A">
        <w:tblPrEx>
          <w:tblLook w:val="0000"/>
        </w:tblPrEx>
        <w:trPr>
          <w:cantSplit/>
        </w:trPr>
        <w:tc>
          <w:tcPr>
            <w:tcW w:w="1870" w:type="dxa"/>
          </w:tcPr>
          <w:p w:rsidR="0064729A" w:rsidRPr="00C87D11" w:rsidRDefault="0064729A" w:rsidP="00881846">
            <w:pPr>
              <w:pStyle w:val="TableSideHeading"/>
            </w:pPr>
            <w:r w:rsidRPr="00C87D11">
              <w:rPr>
                <w:rtl/>
              </w:rPr>
              <w:t>תיקון חוק לתיקון דיני המשפחה (מזונות)</w:t>
            </w:r>
          </w:p>
        </w:tc>
        <w:tc>
          <w:tcPr>
            <w:tcW w:w="628" w:type="dxa"/>
          </w:tcPr>
          <w:p w:rsidR="0064729A" w:rsidRDefault="0064729A" w:rsidP="00881846">
            <w:pPr>
              <w:pStyle w:val="TableText"/>
              <w:keepLines w:val="0"/>
              <w:rPr>
                <w:sz w:val="26"/>
              </w:rPr>
            </w:pPr>
            <w:r>
              <w:rPr>
                <w:sz w:val="26"/>
                <w:rtl/>
              </w:rPr>
              <w:t>26.</w:t>
            </w:r>
          </w:p>
        </w:tc>
        <w:tc>
          <w:tcPr>
            <w:tcW w:w="7140" w:type="dxa"/>
            <w:gridSpan w:val="4"/>
          </w:tcPr>
          <w:p w:rsidR="0064729A" w:rsidRDefault="0064729A" w:rsidP="00881846">
            <w:pPr>
              <w:pStyle w:val="TableBlock"/>
              <w:rPr>
                <w:sz w:val="26"/>
              </w:rPr>
            </w:pPr>
            <w:r>
              <w:rPr>
                <w:sz w:val="26"/>
                <w:rtl/>
              </w:rPr>
              <w:t>בחוק לתיקון דיני המשפחה (מזונות), התשי"ט–1959</w:t>
            </w:r>
            <w:r>
              <w:rPr>
                <w:rStyle w:val="a7"/>
                <w:sz w:val="26"/>
                <w:rtl/>
              </w:rPr>
              <w:footnoteReference w:id="6"/>
            </w:r>
            <w:r>
              <w:rPr>
                <w:sz w:val="26"/>
                <w:rtl/>
              </w:rPr>
              <w:t xml:space="preserve"> –</w:t>
            </w:r>
          </w:p>
        </w:tc>
      </w:tr>
      <w:tr w:rsidR="0064729A" w:rsidTr="0064729A">
        <w:tblPrEx>
          <w:tblLook w:val="0000"/>
        </w:tblPrEx>
        <w:trPr>
          <w:cantSplit/>
        </w:trPr>
        <w:tc>
          <w:tcPr>
            <w:tcW w:w="1870" w:type="dxa"/>
          </w:tcPr>
          <w:p w:rsidR="0064729A" w:rsidRPr="00C87D11" w:rsidRDefault="0064729A" w:rsidP="00881846">
            <w:pPr>
              <w:pStyle w:val="TableSideHeading"/>
            </w:pPr>
          </w:p>
        </w:tc>
        <w:tc>
          <w:tcPr>
            <w:tcW w:w="628" w:type="dxa"/>
          </w:tcPr>
          <w:p w:rsidR="0064729A" w:rsidRDefault="0064729A" w:rsidP="00881846">
            <w:pPr>
              <w:pStyle w:val="TableText"/>
              <w:keepLines w:val="0"/>
              <w:rPr>
                <w:sz w:val="26"/>
              </w:rPr>
            </w:pPr>
          </w:p>
        </w:tc>
        <w:tc>
          <w:tcPr>
            <w:tcW w:w="7140" w:type="dxa"/>
            <w:gridSpan w:val="4"/>
          </w:tcPr>
          <w:p w:rsidR="0064729A" w:rsidRPr="00C87D11" w:rsidRDefault="0064729A" w:rsidP="00881846">
            <w:pPr>
              <w:pStyle w:val="TableBlock"/>
            </w:pPr>
            <w:r w:rsidRPr="00C87D11">
              <w:rPr>
                <w:rtl/>
              </w:rPr>
              <w:t>(1)</w:t>
            </w:r>
            <w:r w:rsidRPr="00C87D11">
              <w:rPr>
                <w:rtl/>
              </w:rPr>
              <w:tab/>
              <w:t xml:space="preserve">בסעיף 2, אחרי סעיף קטן (א) יבוא: </w:t>
            </w:r>
          </w:p>
        </w:tc>
      </w:tr>
      <w:tr w:rsidR="0064729A" w:rsidTr="0064729A">
        <w:trPr>
          <w:cantSplit/>
        </w:trPr>
        <w:tc>
          <w:tcPr>
            <w:tcW w:w="1870" w:type="dxa"/>
          </w:tcPr>
          <w:p w:rsidR="0064729A" w:rsidRDefault="0064729A" w:rsidP="00881846">
            <w:pPr>
              <w:pStyle w:val="TableSideHeading"/>
            </w:pPr>
          </w:p>
        </w:tc>
        <w:tc>
          <w:tcPr>
            <w:tcW w:w="628" w:type="dxa"/>
          </w:tcPr>
          <w:p w:rsidR="0064729A" w:rsidRDefault="0064729A" w:rsidP="00881846">
            <w:pPr>
              <w:pStyle w:val="TableText"/>
            </w:pPr>
          </w:p>
        </w:tc>
        <w:tc>
          <w:tcPr>
            <w:tcW w:w="624" w:type="dxa"/>
          </w:tcPr>
          <w:p w:rsidR="0064729A" w:rsidRDefault="0064729A" w:rsidP="00881846">
            <w:pPr>
              <w:pStyle w:val="TableText"/>
            </w:pPr>
          </w:p>
        </w:tc>
        <w:tc>
          <w:tcPr>
            <w:tcW w:w="6516" w:type="dxa"/>
            <w:gridSpan w:val="3"/>
          </w:tcPr>
          <w:p w:rsidR="0064729A" w:rsidRDefault="0064729A" w:rsidP="00881846">
            <w:pPr>
              <w:pStyle w:val="TableBlock"/>
            </w:pPr>
            <w:r>
              <w:rPr>
                <w:sz w:val="26"/>
                <w:rtl/>
                <w:lang w:eastAsia="en-US"/>
              </w:rPr>
              <w:t>"(א1)</w:t>
            </w:r>
            <w:r>
              <w:rPr>
                <w:sz w:val="26"/>
                <w:rtl/>
                <w:lang w:eastAsia="en-US"/>
              </w:rPr>
              <w:tab/>
              <w:t>על אף האמור בסעיף קטן (א), אדם שנישא בנישואין אזרחיים, חיובי המזונות שיחולו עליו ייקבעו לפי הוראות חוק זה ולא לפי דינו האישי.";</w:t>
            </w:r>
            <w:r>
              <w:rPr>
                <w:sz w:val="26"/>
                <w:lang w:eastAsia="en-US"/>
              </w:rPr>
              <w:t xml:space="preserve"> </w:t>
            </w:r>
          </w:p>
        </w:tc>
      </w:tr>
      <w:tr w:rsidR="0064729A" w:rsidTr="0064729A">
        <w:trPr>
          <w:cantSplit/>
        </w:trPr>
        <w:tc>
          <w:tcPr>
            <w:tcW w:w="1870" w:type="dxa"/>
          </w:tcPr>
          <w:p w:rsidR="0064729A" w:rsidRDefault="0064729A" w:rsidP="00881846">
            <w:pPr>
              <w:pStyle w:val="TableSideHeading"/>
            </w:pPr>
          </w:p>
        </w:tc>
        <w:tc>
          <w:tcPr>
            <w:tcW w:w="628" w:type="dxa"/>
          </w:tcPr>
          <w:p w:rsidR="0064729A" w:rsidRDefault="0064729A" w:rsidP="00881846">
            <w:pPr>
              <w:pStyle w:val="TableText"/>
            </w:pPr>
          </w:p>
        </w:tc>
        <w:tc>
          <w:tcPr>
            <w:tcW w:w="7140" w:type="dxa"/>
            <w:gridSpan w:val="4"/>
          </w:tcPr>
          <w:p w:rsidR="0064729A" w:rsidRDefault="0064729A" w:rsidP="00881846">
            <w:pPr>
              <w:pStyle w:val="TableBlock"/>
              <w:rPr>
                <w:sz w:val="26"/>
                <w:rtl/>
                <w:lang w:eastAsia="en-US"/>
              </w:rPr>
            </w:pPr>
            <w:r>
              <w:rPr>
                <w:sz w:val="26"/>
                <w:rtl/>
                <w:lang w:eastAsia="en-US"/>
              </w:rPr>
              <w:t>(2)</w:t>
            </w:r>
            <w:r>
              <w:rPr>
                <w:sz w:val="26"/>
                <w:rtl/>
                <w:lang w:eastAsia="en-US"/>
              </w:rPr>
              <w:tab/>
              <w:t xml:space="preserve">בסעיף 3, אחרי סעיף קטן (א) יבוא: </w:t>
            </w:r>
          </w:p>
        </w:tc>
      </w:tr>
      <w:tr w:rsidR="0064729A" w:rsidTr="0064729A">
        <w:trPr>
          <w:cantSplit/>
        </w:trPr>
        <w:tc>
          <w:tcPr>
            <w:tcW w:w="1870" w:type="dxa"/>
          </w:tcPr>
          <w:p w:rsidR="0064729A" w:rsidRDefault="0064729A" w:rsidP="00881846">
            <w:pPr>
              <w:pStyle w:val="TableSideHeading"/>
            </w:pPr>
          </w:p>
        </w:tc>
        <w:tc>
          <w:tcPr>
            <w:tcW w:w="628" w:type="dxa"/>
          </w:tcPr>
          <w:p w:rsidR="0064729A" w:rsidRDefault="0064729A" w:rsidP="00881846">
            <w:pPr>
              <w:pStyle w:val="TableText"/>
            </w:pPr>
          </w:p>
        </w:tc>
        <w:tc>
          <w:tcPr>
            <w:tcW w:w="624" w:type="dxa"/>
          </w:tcPr>
          <w:p w:rsidR="0064729A" w:rsidRDefault="0064729A" w:rsidP="00881846">
            <w:pPr>
              <w:pStyle w:val="TableText"/>
            </w:pPr>
          </w:p>
        </w:tc>
        <w:tc>
          <w:tcPr>
            <w:tcW w:w="6516" w:type="dxa"/>
            <w:gridSpan w:val="3"/>
          </w:tcPr>
          <w:p w:rsidR="0064729A" w:rsidRDefault="0064729A" w:rsidP="00881846">
            <w:pPr>
              <w:pStyle w:val="TableBlock"/>
              <w:rPr>
                <w:sz w:val="26"/>
                <w:rtl/>
                <w:lang w:eastAsia="en-US"/>
              </w:rPr>
            </w:pPr>
            <w:r>
              <w:rPr>
                <w:sz w:val="26"/>
                <w:rtl/>
                <w:lang w:eastAsia="en-US"/>
              </w:rPr>
              <w:t xml:space="preserve">"(א1) על אף האמור בסעיף קטן (א), אדם שנישא בנישואין אזרחיים, חב במזונות ילדיו מנישואין אלה לפי הוראות חוק זה ולא לפי הוראות הדין האישי החל עליו."; </w:t>
            </w:r>
          </w:p>
        </w:tc>
      </w:tr>
      <w:tr w:rsidR="0064729A" w:rsidTr="0064729A">
        <w:tblPrEx>
          <w:tblLook w:val="0000"/>
        </w:tblPrEx>
        <w:trPr>
          <w:cantSplit/>
        </w:trPr>
        <w:tc>
          <w:tcPr>
            <w:tcW w:w="1870" w:type="dxa"/>
          </w:tcPr>
          <w:p w:rsidR="0064729A" w:rsidRPr="00881846" w:rsidRDefault="0064729A" w:rsidP="00881846">
            <w:pPr>
              <w:pStyle w:val="TableSideHeading"/>
            </w:pPr>
          </w:p>
        </w:tc>
        <w:tc>
          <w:tcPr>
            <w:tcW w:w="628" w:type="dxa"/>
          </w:tcPr>
          <w:p w:rsidR="0064729A" w:rsidRDefault="0064729A" w:rsidP="00881846">
            <w:pPr>
              <w:pStyle w:val="TableText"/>
              <w:keepLines w:val="0"/>
              <w:rPr>
                <w:sz w:val="26"/>
              </w:rPr>
            </w:pPr>
          </w:p>
        </w:tc>
        <w:tc>
          <w:tcPr>
            <w:tcW w:w="7140" w:type="dxa"/>
            <w:gridSpan w:val="4"/>
          </w:tcPr>
          <w:p w:rsidR="0064729A" w:rsidRDefault="0064729A" w:rsidP="00881846">
            <w:pPr>
              <w:pStyle w:val="TableBlock"/>
              <w:rPr>
                <w:rtl/>
                <w:lang w:eastAsia="en-US"/>
              </w:rPr>
            </w:pPr>
            <w:r>
              <w:rPr>
                <w:sz w:val="26"/>
                <w:rtl/>
                <w:lang w:eastAsia="en-US"/>
              </w:rPr>
              <w:t>(3)</w:t>
            </w:r>
            <w:r>
              <w:rPr>
                <w:sz w:val="26"/>
                <w:rtl/>
                <w:lang w:eastAsia="en-US"/>
              </w:rPr>
              <w:tab/>
              <w:t>במקום סעיף 3א יבוא:</w:t>
            </w:r>
          </w:p>
        </w:tc>
      </w:tr>
      <w:tr w:rsidR="0064729A" w:rsidTr="0064729A">
        <w:trPr>
          <w:cantSplit/>
          <w:trHeight w:val="60"/>
        </w:trPr>
        <w:tc>
          <w:tcPr>
            <w:tcW w:w="1870" w:type="dxa"/>
          </w:tcPr>
          <w:p w:rsidR="0064729A" w:rsidRDefault="0064729A">
            <w:pPr>
              <w:pStyle w:val="TableSideHeading"/>
            </w:pPr>
          </w:p>
        </w:tc>
        <w:tc>
          <w:tcPr>
            <w:tcW w:w="628" w:type="dxa"/>
          </w:tcPr>
          <w:p w:rsidR="0064729A" w:rsidRDefault="0064729A">
            <w:pPr>
              <w:pStyle w:val="TableText"/>
            </w:pPr>
          </w:p>
        </w:tc>
        <w:tc>
          <w:tcPr>
            <w:tcW w:w="624" w:type="dxa"/>
          </w:tcPr>
          <w:p w:rsidR="0064729A" w:rsidRDefault="0064729A">
            <w:pPr>
              <w:pStyle w:val="TableText"/>
            </w:pPr>
          </w:p>
        </w:tc>
        <w:tc>
          <w:tcPr>
            <w:tcW w:w="1872" w:type="dxa"/>
          </w:tcPr>
          <w:p w:rsidR="0064729A" w:rsidRDefault="0064729A" w:rsidP="000F1F8C">
            <w:pPr>
              <w:pStyle w:val="TableInnerSideHeading"/>
            </w:pPr>
            <w:r w:rsidRPr="00B60CC0">
              <w:rPr>
                <w:rtl/>
              </w:rPr>
              <w:t>"מזונות קטין</w:t>
            </w:r>
          </w:p>
        </w:tc>
        <w:tc>
          <w:tcPr>
            <w:tcW w:w="623" w:type="dxa"/>
          </w:tcPr>
          <w:p w:rsidR="0064729A" w:rsidRDefault="0064729A" w:rsidP="002111B1">
            <w:pPr>
              <w:pStyle w:val="TableText"/>
            </w:pPr>
            <w:r w:rsidRPr="00AC60AE">
              <w:rPr>
                <w:rtl/>
              </w:rPr>
              <w:t>3א.</w:t>
            </w:r>
          </w:p>
        </w:tc>
        <w:tc>
          <w:tcPr>
            <w:tcW w:w="4021" w:type="dxa"/>
          </w:tcPr>
          <w:p w:rsidR="0064729A" w:rsidRDefault="0064729A" w:rsidP="002111B1">
            <w:pPr>
              <w:pStyle w:val="TableBlock"/>
            </w:pPr>
            <w:r>
              <w:rPr>
                <w:sz w:val="26"/>
                <w:rtl/>
                <w:lang w:eastAsia="en-US"/>
              </w:rPr>
              <w:t xml:space="preserve">הוריו של קטין חייבים במזונותיו בשיעור יחסי להכנסותיהם מכל מקור שהוא, בהתחשב, בין היתר, בחלוקת ההחזקה והטיפול בקטין." </w:t>
            </w:r>
          </w:p>
        </w:tc>
      </w:tr>
      <w:tr w:rsidR="0064729A" w:rsidTr="0064729A">
        <w:tblPrEx>
          <w:tblLook w:val="0000"/>
        </w:tblPrEx>
        <w:trPr>
          <w:cantSplit/>
        </w:trPr>
        <w:tc>
          <w:tcPr>
            <w:tcW w:w="1870" w:type="dxa"/>
          </w:tcPr>
          <w:p w:rsidR="0064729A" w:rsidRPr="00881846" w:rsidRDefault="0064729A" w:rsidP="00881846">
            <w:pPr>
              <w:pStyle w:val="TableSideHeading"/>
            </w:pPr>
            <w:r w:rsidRPr="00881846">
              <w:rPr>
                <w:rtl/>
              </w:rPr>
              <w:lastRenderedPageBreak/>
              <w:t xml:space="preserve">ביטול חוק שיפוט בענייני התרת נישואין (מקרים מיוחדים וסמכות בין-לאומית) </w:t>
            </w:r>
          </w:p>
        </w:tc>
        <w:tc>
          <w:tcPr>
            <w:tcW w:w="628" w:type="dxa"/>
          </w:tcPr>
          <w:p w:rsidR="0064729A" w:rsidRDefault="0064729A" w:rsidP="00881846">
            <w:pPr>
              <w:pStyle w:val="TableText"/>
              <w:keepLines w:val="0"/>
              <w:rPr>
                <w:sz w:val="26"/>
              </w:rPr>
            </w:pPr>
            <w:r>
              <w:rPr>
                <w:sz w:val="26"/>
                <w:rtl/>
              </w:rPr>
              <w:t>27.</w:t>
            </w:r>
          </w:p>
        </w:tc>
        <w:tc>
          <w:tcPr>
            <w:tcW w:w="7140" w:type="dxa"/>
            <w:gridSpan w:val="4"/>
          </w:tcPr>
          <w:p w:rsidR="0064729A" w:rsidRDefault="0064729A" w:rsidP="00881846">
            <w:pPr>
              <w:pStyle w:val="TableBlock"/>
              <w:rPr>
                <w:sz w:val="26"/>
                <w:rtl/>
                <w:lang w:eastAsia="en-US"/>
              </w:rPr>
            </w:pPr>
            <w:r>
              <w:rPr>
                <w:sz w:val="26"/>
                <w:rtl/>
                <w:lang w:eastAsia="en-US"/>
              </w:rPr>
              <w:t>חוק שיפוט בענייני התרת נישואין (מקרים מיוחדים וסמכות בין-לאומית), התשכ"ט–1969</w:t>
            </w:r>
            <w:r>
              <w:rPr>
                <w:rStyle w:val="a7"/>
                <w:sz w:val="26"/>
                <w:rtl/>
                <w:lang w:eastAsia="en-US"/>
              </w:rPr>
              <w:footnoteReference w:id="7"/>
            </w:r>
            <w:r>
              <w:rPr>
                <w:sz w:val="26"/>
                <w:rtl/>
                <w:lang w:eastAsia="en-US"/>
              </w:rPr>
              <w:t xml:space="preserve"> – בטל. </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r w:rsidRPr="00C87D11">
              <w:rPr>
                <w:rtl/>
              </w:rPr>
              <w:t>ביטול חוק ברית הזוגיות והוראות מעבר</w:t>
            </w:r>
          </w:p>
        </w:tc>
        <w:tc>
          <w:tcPr>
            <w:tcW w:w="628" w:type="dxa"/>
          </w:tcPr>
          <w:p w:rsidR="0064729A" w:rsidRDefault="0064729A" w:rsidP="00881846">
            <w:pPr>
              <w:pStyle w:val="TableText"/>
              <w:rPr>
                <w:rtl/>
              </w:rPr>
            </w:pPr>
            <w:r>
              <w:rPr>
                <w:sz w:val="26"/>
                <w:rtl/>
              </w:rPr>
              <w:t>28.</w:t>
            </w:r>
          </w:p>
        </w:tc>
        <w:tc>
          <w:tcPr>
            <w:tcW w:w="7140" w:type="dxa"/>
            <w:gridSpan w:val="4"/>
          </w:tcPr>
          <w:p w:rsidR="0064729A" w:rsidRDefault="0064729A" w:rsidP="00881846">
            <w:pPr>
              <w:pStyle w:val="TableBlock"/>
              <w:rPr>
                <w:sz w:val="26"/>
                <w:rtl/>
                <w:lang w:eastAsia="en-US"/>
              </w:rPr>
            </w:pPr>
            <w:r>
              <w:rPr>
                <w:sz w:val="26"/>
                <w:rtl/>
                <w:lang w:eastAsia="en-US"/>
              </w:rPr>
              <w:t>(א)</w:t>
            </w:r>
            <w:r>
              <w:rPr>
                <w:sz w:val="26"/>
                <w:rtl/>
                <w:lang w:eastAsia="en-US"/>
              </w:rPr>
              <w:tab/>
            </w:r>
            <w:r w:rsidRPr="00DF47B5">
              <w:rPr>
                <w:sz w:val="26"/>
                <w:rtl/>
                <w:lang w:eastAsia="en-US"/>
              </w:rPr>
              <w:t>חוק ברית הזוגיות לחסרי דת, התש"ע</w:t>
            </w:r>
            <w:r>
              <w:rPr>
                <w:sz w:val="26"/>
                <w:rtl/>
                <w:lang w:eastAsia="en-US"/>
              </w:rPr>
              <w:t>–</w:t>
            </w:r>
            <w:r w:rsidRPr="00DF47B5">
              <w:rPr>
                <w:sz w:val="26"/>
                <w:rtl/>
                <w:lang w:eastAsia="en-US"/>
              </w:rPr>
              <w:t>2010</w:t>
            </w:r>
            <w:r>
              <w:rPr>
                <w:rStyle w:val="a7"/>
                <w:sz w:val="26"/>
                <w:rtl/>
                <w:lang w:eastAsia="en-US"/>
              </w:rPr>
              <w:footnoteReference w:id="8"/>
            </w:r>
            <w:r w:rsidRPr="00DF47B5">
              <w:rPr>
                <w:sz w:val="26"/>
                <w:rtl/>
                <w:lang w:eastAsia="en-US"/>
              </w:rPr>
              <w:t xml:space="preserve"> (להלן – </w:t>
            </w:r>
            <w:r>
              <w:rPr>
                <w:sz w:val="26"/>
                <w:rtl/>
                <w:lang w:eastAsia="en-US"/>
              </w:rPr>
              <w:t>חוק ברית הזוגיות) – בטל.</w:t>
            </w:r>
            <w:r w:rsidRPr="00DF47B5">
              <w:rPr>
                <w:sz w:val="26"/>
                <w:rtl/>
                <w:lang w:eastAsia="en-US"/>
              </w:rPr>
              <w:t xml:space="preserve"> </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Default="0064729A" w:rsidP="00881846">
            <w:pPr>
              <w:pStyle w:val="TableBlock"/>
              <w:rPr>
                <w:sz w:val="26"/>
                <w:rtl/>
                <w:lang w:eastAsia="en-US"/>
              </w:rPr>
            </w:pPr>
            <w:r>
              <w:rPr>
                <w:sz w:val="26"/>
                <w:rtl/>
                <w:lang w:eastAsia="en-US"/>
              </w:rPr>
              <w:t>(ב)</w:t>
            </w:r>
            <w:r>
              <w:rPr>
                <w:sz w:val="26"/>
                <w:rtl/>
                <w:lang w:eastAsia="en-US"/>
              </w:rPr>
              <w:tab/>
              <w:t>אדם</w:t>
            </w:r>
            <w:r w:rsidRPr="00DF47B5">
              <w:rPr>
                <w:sz w:val="26"/>
                <w:rtl/>
                <w:lang w:eastAsia="en-US"/>
              </w:rPr>
              <w:t xml:space="preserve"> שהיה</w:t>
            </w:r>
            <w:r w:rsidRPr="002545F6">
              <w:rPr>
                <w:sz w:val="26"/>
                <w:rtl/>
                <w:lang w:eastAsia="en-US"/>
              </w:rPr>
              <w:t xml:space="preserve"> רשום </w:t>
            </w:r>
            <w:r w:rsidRPr="00C45472">
              <w:rPr>
                <w:sz w:val="26"/>
                <w:rtl/>
                <w:lang w:eastAsia="en-US"/>
              </w:rPr>
              <w:t>ב</w:t>
            </w:r>
            <w:r w:rsidRPr="00E042F5">
              <w:rPr>
                <w:sz w:val="26"/>
                <w:rtl/>
                <w:lang w:eastAsia="en-US"/>
              </w:rPr>
              <w:t>מ</w:t>
            </w:r>
            <w:r w:rsidRPr="006723D3">
              <w:rPr>
                <w:sz w:val="26"/>
                <w:rtl/>
                <w:lang w:eastAsia="en-US"/>
              </w:rPr>
              <w:t xml:space="preserve">רשם הזוגיות מכוח חוק ברית הזוגיות ורישומו היה תקף ביום תחולתו של חוק זה, יירשם כנשוי במרשם האוכלוסין, אלא </w:t>
            </w:r>
            <w:r>
              <w:rPr>
                <w:sz w:val="26"/>
                <w:rtl/>
                <w:lang w:eastAsia="en-US"/>
              </w:rPr>
              <w:t>אם יגיש התנגדות לכך בתוך 30 יום;</w:t>
            </w:r>
            <w:r w:rsidRPr="006723D3">
              <w:rPr>
                <w:sz w:val="26"/>
                <w:rtl/>
                <w:lang w:eastAsia="en-US"/>
              </w:rPr>
              <w:t xml:space="preserve"> הועבר הרישום, יחולו על הנרשם כל הוראות חוק זה.</w:t>
            </w:r>
          </w:p>
        </w:tc>
      </w:tr>
      <w:tr w:rsidR="0064729A" w:rsidTr="0064729A">
        <w:tblPrEx>
          <w:tblLook w:val="0000"/>
        </w:tblPrEx>
        <w:trPr>
          <w:cantSplit/>
        </w:trPr>
        <w:tc>
          <w:tcPr>
            <w:tcW w:w="1870" w:type="dxa"/>
          </w:tcPr>
          <w:p w:rsidR="0064729A" w:rsidRPr="00C87D11" w:rsidRDefault="0064729A" w:rsidP="00881846">
            <w:pPr>
              <w:pStyle w:val="TableSideHeading"/>
              <w:ind w:right="0"/>
              <w:rPr>
                <w:rtl/>
              </w:rPr>
            </w:pPr>
          </w:p>
        </w:tc>
        <w:tc>
          <w:tcPr>
            <w:tcW w:w="628" w:type="dxa"/>
          </w:tcPr>
          <w:p w:rsidR="0064729A" w:rsidRDefault="0064729A" w:rsidP="00881846">
            <w:pPr>
              <w:pStyle w:val="TableText"/>
              <w:rPr>
                <w:rtl/>
              </w:rPr>
            </w:pPr>
          </w:p>
        </w:tc>
        <w:tc>
          <w:tcPr>
            <w:tcW w:w="7140" w:type="dxa"/>
            <w:gridSpan w:val="4"/>
          </w:tcPr>
          <w:p w:rsidR="0064729A" w:rsidRPr="004A4733" w:rsidRDefault="0064729A" w:rsidP="00881846">
            <w:pPr>
              <w:pStyle w:val="TableBlock"/>
              <w:rPr>
                <w:sz w:val="26"/>
                <w:rtl/>
                <w:lang w:eastAsia="en-US"/>
              </w:rPr>
            </w:pPr>
            <w:r>
              <w:rPr>
                <w:sz w:val="26"/>
                <w:rtl/>
                <w:lang w:eastAsia="en-US"/>
              </w:rPr>
              <w:t>(ג</w:t>
            </w:r>
            <w:r w:rsidRPr="006723D3">
              <w:rPr>
                <w:sz w:val="26"/>
                <w:rtl/>
                <w:lang w:eastAsia="en-US"/>
              </w:rPr>
              <w:t>)</w:t>
            </w:r>
            <w:r>
              <w:rPr>
                <w:sz w:val="26"/>
                <w:rtl/>
                <w:lang w:eastAsia="en-US"/>
              </w:rPr>
              <w:tab/>
            </w:r>
            <w:r w:rsidRPr="006723D3">
              <w:rPr>
                <w:sz w:val="26"/>
                <w:rtl/>
                <w:lang w:eastAsia="en-US"/>
              </w:rPr>
              <w:t>השר יקבע הוראות בנוגע לדרך ההודעה לזוגות הרשומים במרשם הזוגיות לחסרי דת על מחיקתם מן המרשם ורישומם כנשואים ו</w:t>
            </w:r>
            <w:r>
              <w:rPr>
                <w:sz w:val="26"/>
                <w:rtl/>
                <w:lang w:eastAsia="en-US"/>
              </w:rPr>
              <w:t xml:space="preserve">על </w:t>
            </w:r>
            <w:r w:rsidRPr="006723D3">
              <w:rPr>
                <w:sz w:val="26"/>
                <w:rtl/>
                <w:lang w:eastAsia="en-US"/>
              </w:rPr>
              <w:t>זכאותם להתנגד לכך.</w:t>
            </w:r>
          </w:p>
        </w:tc>
      </w:tr>
    </w:tbl>
    <w:p w:rsidR="00075AE0" w:rsidRDefault="00075AE0" w:rsidP="00075AE0">
      <w:pPr>
        <w:keepLines/>
        <w:tabs>
          <w:tab w:val="left" w:pos="624"/>
          <w:tab w:val="left" w:pos="1247"/>
        </w:tabs>
        <w:spacing w:before="0" w:line="360" w:lineRule="auto"/>
        <w:ind w:firstLine="0"/>
        <w:rPr>
          <w:sz w:val="24"/>
          <w:szCs w:val="24"/>
          <w:rtl/>
        </w:rPr>
      </w:pPr>
    </w:p>
    <w:p w:rsidR="00075AE0" w:rsidRDefault="00075AE0" w:rsidP="00075AE0">
      <w:pPr>
        <w:pStyle w:val="HeadDivreiHesber"/>
        <w:spacing w:before="0" w:after="0"/>
        <w:rPr>
          <w:sz w:val="24"/>
          <w:szCs w:val="24"/>
          <w:rtl/>
        </w:rPr>
      </w:pPr>
      <w:r>
        <w:rPr>
          <w:sz w:val="26"/>
          <w:rtl/>
        </w:rPr>
        <w:t>דברי הסבר</w:t>
      </w:r>
    </w:p>
    <w:p w:rsidR="00075AE0" w:rsidRPr="00D11333" w:rsidRDefault="00075AE0" w:rsidP="00075AE0">
      <w:pPr>
        <w:pStyle w:val="HesberHeading"/>
        <w:rPr>
          <w:rtl/>
        </w:rPr>
      </w:pPr>
      <w:r w:rsidRPr="00D11333">
        <w:rPr>
          <w:rtl/>
        </w:rPr>
        <w:t>כללי</w:t>
      </w:r>
    </w:p>
    <w:p w:rsidR="00075AE0" w:rsidRPr="00D11333" w:rsidRDefault="00075AE0" w:rsidP="00075AE0">
      <w:pPr>
        <w:pStyle w:val="Hesber"/>
        <w:rPr>
          <w:rtl/>
        </w:rPr>
      </w:pPr>
      <w:r w:rsidRPr="00D11333">
        <w:rPr>
          <w:rtl/>
        </w:rPr>
        <w:t xml:space="preserve">הזכות להינשא היא אחת מזכויות היסוד הבסיסיות ביותר שעל חברה מתוקנת להבטיח לכלל תושביה, ללא כל הפליה. במדינת ישראל היום, זכות זו אינה מובטחת לכל אדם. קיימות קבוצות גדולות אשר המצב המשפטי הקיים אינו מאפשר להן להינשא בישראל. זאת ועוד, זוגות רבים נאלצים להינשא בדרך אשר נוגדת את צו מצפונם. </w:t>
      </w:r>
    </w:p>
    <w:p w:rsidR="00075AE0" w:rsidRPr="00D11333" w:rsidRDefault="00075AE0" w:rsidP="00075AE0">
      <w:pPr>
        <w:pStyle w:val="Hesber"/>
        <w:rPr>
          <w:rtl/>
        </w:rPr>
      </w:pPr>
      <w:r w:rsidRPr="00D11333">
        <w:rPr>
          <w:rtl/>
        </w:rPr>
        <w:t>מטרת הצעת חוק זו היא להסדיר נישואין אזרחיים הזמינים לכל זוג בישראל החפץ בהם – ללא קשר למינם או לדתם של בני הזוג.</w:t>
      </w:r>
    </w:p>
    <w:p w:rsidR="00075AE0" w:rsidRDefault="00075AE0" w:rsidP="00075AE0">
      <w:pPr>
        <w:pStyle w:val="Hesber"/>
        <w:rPr>
          <w:rtl/>
        </w:rPr>
      </w:pPr>
      <w:r w:rsidRPr="00D11333">
        <w:rPr>
          <w:rtl/>
        </w:rPr>
        <w:t>הצעת החוק לא נועדה לבטל את ההסדרים הקיימים כיום אלא להוסיף עליהם. מי שיבחר להינשא בדרך הנהוגה היום יוכל להמשיך ולעשות זאת. מטרתה של הצעת חוק זו היא להבטיח כי כל אדם בישראל יוכל להינשא בישראל על פי אמונתו וצו מצפונו.</w:t>
      </w:r>
    </w:p>
    <w:p w:rsidR="00075AE0" w:rsidRPr="00D11333" w:rsidRDefault="00075AE0" w:rsidP="00075AE0">
      <w:pPr>
        <w:pStyle w:val="HesberHeading"/>
        <w:rPr>
          <w:rtl/>
        </w:rPr>
      </w:pPr>
      <w:r w:rsidRPr="00D11333">
        <w:rPr>
          <w:rtl/>
        </w:rPr>
        <w:t>פרק א': נישואין</w:t>
      </w:r>
    </w:p>
    <w:p w:rsidR="00075AE0" w:rsidRPr="00D11333" w:rsidRDefault="00075AE0" w:rsidP="00075AE0">
      <w:pPr>
        <w:pStyle w:val="HesberHeading"/>
        <w:rPr>
          <w:rtl/>
        </w:rPr>
      </w:pPr>
      <w:r w:rsidRPr="00D11333">
        <w:rPr>
          <w:rtl/>
        </w:rPr>
        <w:t>סימן א': נישואים לפי בחירה</w:t>
      </w:r>
    </w:p>
    <w:p w:rsidR="00075AE0" w:rsidRPr="00D11333" w:rsidRDefault="00075AE0" w:rsidP="00075AE0">
      <w:pPr>
        <w:pStyle w:val="HesberHeading"/>
        <w:rPr>
          <w:rtl/>
        </w:rPr>
      </w:pPr>
      <w:r w:rsidRPr="00D11333">
        <w:rPr>
          <w:rtl/>
        </w:rPr>
        <w:t xml:space="preserve">סעיף 1 </w:t>
      </w:r>
    </w:p>
    <w:p w:rsidR="00075AE0" w:rsidRPr="00D11333" w:rsidRDefault="00075AE0" w:rsidP="00075AE0">
      <w:pPr>
        <w:pStyle w:val="Hesber"/>
        <w:rPr>
          <w:rtl/>
        </w:rPr>
      </w:pPr>
      <w:r w:rsidRPr="00D11333">
        <w:rPr>
          <w:rtl/>
        </w:rPr>
        <w:t>הסעיף מגדיר את המונחים הנקובים בו.</w:t>
      </w:r>
    </w:p>
    <w:p w:rsidR="00075AE0" w:rsidRPr="00D11333" w:rsidRDefault="00075AE0" w:rsidP="00075AE0">
      <w:pPr>
        <w:pStyle w:val="HesberHeading"/>
        <w:rPr>
          <w:rtl/>
        </w:rPr>
      </w:pPr>
      <w:r w:rsidRPr="00D11333">
        <w:rPr>
          <w:rtl/>
        </w:rPr>
        <w:lastRenderedPageBreak/>
        <w:t>סעיף 2</w:t>
      </w:r>
    </w:p>
    <w:p w:rsidR="00075AE0" w:rsidRPr="00D11333" w:rsidRDefault="00075AE0" w:rsidP="00075AE0">
      <w:pPr>
        <w:pStyle w:val="Hesber"/>
        <w:rPr>
          <w:rtl/>
        </w:rPr>
      </w:pPr>
      <w:r w:rsidRPr="00D11333">
        <w:rPr>
          <w:rtl/>
        </w:rPr>
        <w:t xml:space="preserve">הסעיף קובע כי הזכות להינשא הינה זכות יסוד שניתן להגבילה רק בחוק שנועד לתכלית ראויה ובמידה שאינה עולה על הנדרש, בדומה לפסקת ההגבלה </w:t>
      </w:r>
      <w:r>
        <w:rPr>
          <w:rtl/>
        </w:rPr>
        <w:t>הקבועה בסעיף 8</w:t>
      </w:r>
      <w:r w:rsidRPr="00D11333">
        <w:rPr>
          <w:rtl/>
        </w:rPr>
        <w:t xml:space="preserve"> </w:t>
      </w:r>
      <w:r>
        <w:rPr>
          <w:rtl/>
        </w:rPr>
        <w:t>ל</w:t>
      </w:r>
      <w:r w:rsidRPr="00D11333">
        <w:rPr>
          <w:rtl/>
        </w:rPr>
        <w:t xml:space="preserve">חוק יסוד: כבוד האדם וחירותו. </w:t>
      </w:r>
    </w:p>
    <w:p w:rsidR="00075AE0" w:rsidRDefault="00075AE0" w:rsidP="00075AE0">
      <w:pPr>
        <w:pStyle w:val="HesberHeading"/>
        <w:rPr>
          <w:sz w:val="26"/>
          <w:rtl/>
        </w:rPr>
      </w:pPr>
      <w:r>
        <w:rPr>
          <w:sz w:val="26"/>
          <w:rtl/>
        </w:rPr>
        <w:t>סימן ב': הוראות כלליות לעניין נישואין אזרחיים</w:t>
      </w:r>
    </w:p>
    <w:p w:rsidR="00075AE0" w:rsidRPr="008C45D0" w:rsidRDefault="00075AE0" w:rsidP="00075AE0">
      <w:pPr>
        <w:pStyle w:val="Hesber"/>
        <w:rPr>
          <w:b/>
          <w:bCs/>
          <w:sz w:val="26"/>
          <w:rtl/>
        </w:rPr>
      </w:pPr>
      <w:r w:rsidRPr="008C45D0">
        <w:rPr>
          <w:b/>
          <w:bCs/>
          <w:sz w:val="26"/>
          <w:rtl/>
        </w:rPr>
        <w:t xml:space="preserve">סעיף 4 </w:t>
      </w:r>
    </w:p>
    <w:p w:rsidR="00075AE0" w:rsidRDefault="00075AE0" w:rsidP="00075AE0">
      <w:pPr>
        <w:pStyle w:val="Hesber"/>
        <w:rPr>
          <w:sz w:val="26"/>
          <w:rtl/>
        </w:rPr>
      </w:pPr>
      <w:r>
        <w:rPr>
          <w:sz w:val="26"/>
          <w:rtl/>
        </w:rPr>
        <w:t xml:space="preserve">הסעיף עוסק בתנאי סף אשר על בני הזוג המתחתנים לעמוד בהם, לרבות גילם, מעמדם האישי והקרבה המשפחתית ביניהם. </w:t>
      </w:r>
    </w:p>
    <w:p w:rsidR="00075AE0" w:rsidRPr="008C45D0" w:rsidRDefault="00075AE0" w:rsidP="00075AE0">
      <w:pPr>
        <w:pStyle w:val="Hesber"/>
        <w:rPr>
          <w:b/>
          <w:bCs/>
          <w:sz w:val="26"/>
          <w:rtl/>
        </w:rPr>
      </w:pPr>
      <w:r w:rsidRPr="008C45D0">
        <w:rPr>
          <w:b/>
          <w:bCs/>
          <w:sz w:val="26"/>
          <w:rtl/>
        </w:rPr>
        <w:t xml:space="preserve">סעיף 5 </w:t>
      </w:r>
    </w:p>
    <w:p w:rsidR="00075AE0" w:rsidRDefault="00075AE0" w:rsidP="00075AE0">
      <w:pPr>
        <w:pStyle w:val="Hesber"/>
        <w:rPr>
          <w:sz w:val="26"/>
          <w:rtl/>
        </w:rPr>
      </w:pPr>
      <w:r>
        <w:rPr>
          <w:sz w:val="26"/>
          <w:rtl/>
        </w:rPr>
        <w:t xml:space="preserve">הסעיף קובע חובה להסביר לזוג הנישא את משמעות ההליך. הסעיף נועד ליתן מענה לעובדה כי זוגות רבים מבצעים היום את טקסי הנישואין שלהם בלי שקיבלו כל מידע אודות ההשלכות המשפטיות של הטקס אותו בחרו לבצע. התוצאה היא שזוגות רבים נישאים בלי לדעת מהם הכללים המשפטיים ביחס למסגרת הנישואין ובלי שיהיו מודעים לכך שקיימת לפי חוק האפשרות לקבוע כללים חלופיים או כללי עזר בהסכם ובכך להימנע מרוב הבעיות המתעוררות בעת הליכי גירושין ופירוד בין בני זוג. </w:t>
      </w:r>
    </w:p>
    <w:p w:rsidR="00075AE0" w:rsidRDefault="00075AE0" w:rsidP="00075AE0">
      <w:pPr>
        <w:pStyle w:val="HesberHeading"/>
        <w:rPr>
          <w:sz w:val="26"/>
          <w:rtl/>
        </w:rPr>
      </w:pPr>
      <w:r>
        <w:rPr>
          <w:sz w:val="26"/>
          <w:rtl/>
        </w:rPr>
        <w:t>סעיף 6</w:t>
      </w:r>
    </w:p>
    <w:p w:rsidR="00075AE0" w:rsidRDefault="00075AE0" w:rsidP="00075AE0">
      <w:pPr>
        <w:pStyle w:val="Hesber"/>
        <w:rPr>
          <w:sz w:val="26"/>
          <w:rtl/>
        </w:rPr>
      </w:pPr>
      <w:r>
        <w:rPr>
          <w:sz w:val="26"/>
          <w:rtl/>
        </w:rPr>
        <w:t xml:space="preserve">הסעיף מגדיר כי שר המשפטים הוא האחראי על החוק ויקבע את התקנות והטפסים הדרושים לשם הסדרת הליכי הנישואין. </w:t>
      </w:r>
    </w:p>
    <w:p w:rsidR="00075AE0" w:rsidRPr="004A6329" w:rsidRDefault="00075AE0" w:rsidP="00075AE0">
      <w:pPr>
        <w:pStyle w:val="Hesber"/>
        <w:rPr>
          <w:b/>
          <w:bCs/>
          <w:sz w:val="26"/>
          <w:rtl/>
        </w:rPr>
      </w:pPr>
      <w:r w:rsidRPr="004A6329">
        <w:rPr>
          <w:b/>
          <w:bCs/>
          <w:sz w:val="26"/>
          <w:rtl/>
        </w:rPr>
        <w:t>סעיף 7</w:t>
      </w:r>
    </w:p>
    <w:p w:rsidR="00075AE0" w:rsidRDefault="00075AE0" w:rsidP="00075AE0">
      <w:pPr>
        <w:pStyle w:val="Hesber"/>
        <w:rPr>
          <w:sz w:val="26"/>
          <w:rtl/>
        </w:rPr>
      </w:pPr>
      <w:r>
        <w:rPr>
          <w:sz w:val="26"/>
          <w:rtl/>
        </w:rPr>
        <w:t>הסעיף מגדיר כי הרשם יוציא תעודת נישואין בסמוך לאחר הנישואין.</w:t>
      </w:r>
    </w:p>
    <w:p w:rsidR="00075AE0" w:rsidRDefault="00075AE0" w:rsidP="00075AE0">
      <w:pPr>
        <w:pStyle w:val="HesberHeading"/>
        <w:rPr>
          <w:sz w:val="26"/>
          <w:rtl/>
        </w:rPr>
      </w:pPr>
      <w:r>
        <w:rPr>
          <w:sz w:val="26"/>
          <w:rtl/>
        </w:rPr>
        <w:t>סימן ג': מינוי רשמי נישואין</w:t>
      </w:r>
    </w:p>
    <w:p w:rsidR="00075AE0" w:rsidRPr="004A6329" w:rsidRDefault="00075AE0" w:rsidP="00075AE0">
      <w:pPr>
        <w:pStyle w:val="Hesber"/>
        <w:rPr>
          <w:b/>
          <w:bCs/>
          <w:sz w:val="26"/>
          <w:rtl/>
        </w:rPr>
      </w:pPr>
      <w:r w:rsidRPr="004A6329">
        <w:rPr>
          <w:b/>
          <w:bCs/>
          <w:sz w:val="26"/>
          <w:rtl/>
        </w:rPr>
        <w:t xml:space="preserve">סעיף 8 </w:t>
      </w:r>
    </w:p>
    <w:p w:rsidR="00075AE0" w:rsidRDefault="00075AE0" w:rsidP="00075AE0">
      <w:pPr>
        <w:pStyle w:val="Hesber"/>
        <w:rPr>
          <w:sz w:val="26"/>
          <w:rtl/>
        </w:rPr>
      </w:pPr>
      <w:r>
        <w:rPr>
          <w:sz w:val="26"/>
          <w:rtl/>
        </w:rPr>
        <w:t>הסעיף קובע שעריכת נישואין אזרחיים תהיה בסמכות רשמי נישואין אזרחיים.</w:t>
      </w:r>
    </w:p>
    <w:p w:rsidR="00075AE0" w:rsidRPr="004A6329" w:rsidRDefault="00075AE0" w:rsidP="00075AE0">
      <w:pPr>
        <w:pStyle w:val="Hesber"/>
        <w:rPr>
          <w:b/>
          <w:bCs/>
          <w:sz w:val="26"/>
          <w:rtl/>
        </w:rPr>
      </w:pPr>
      <w:r w:rsidRPr="004A6329">
        <w:rPr>
          <w:b/>
          <w:bCs/>
          <w:sz w:val="26"/>
          <w:rtl/>
        </w:rPr>
        <w:t>סעיף 9</w:t>
      </w:r>
    </w:p>
    <w:p w:rsidR="00075AE0" w:rsidRDefault="00075AE0" w:rsidP="00075AE0">
      <w:pPr>
        <w:pStyle w:val="Hesber"/>
        <w:rPr>
          <w:sz w:val="26"/>
          <w:rtl/>
        </w:rPr>
      </w:pPr>
      <w:r>
        <w:rPr>
          <w:sz w:val="26"/>
          <w:rtl/>
        </w:rPr>
        <w:t xml:space="preserve">הסעיף קובע את הסמכות למנות רשמי נישואין ואת תנאי הכשירות לתפקיד רשם נישואין. </w:t>
      </w:r>
    </w:p>
    <w:p w:rsidR="00075AE0" w:rsidRPr="004A6329" w:rsidRDefault="00075AE0" w:rsidP="00075AE0">
      <w:pPr>
        <w:pStyle w:val="Hesber"/>
        <w:rPr>
          <w:b/>
          <w:bCs/>
          <w:sz w:val="26"/>
          <w:rtl/>
        </w:rPr>
      </w:pPr>
      <w:r w:rsidRPr="004A6329">
        <w:rPr>
          <w:b/>
          <w:bCs/>
          <w:sz w:val="26"/>
          <w:rtl/>
        </w:rPr>
        <w:t>סעיף 10</w:t>
      </w:r>
    </w:p>
    <w:p w:rsidR="00075AE0" w:rsidRDefault="00075AE0" w:rsidP="00075AE0">
      <w:pPr>
        <w:pStyle w:val="Hesber"/>
        <w:rPr>
          <w:sz w:val="26"/>
          <w:rtl/>
        </w:rPr>
      </w:pPr>
      <w:r>
        <w:rPr>
          <w:sz w:val="26"/>
          <w:rtl/>
        </w:rPr>
        <w:t>הסעיף קובע כי הסמכות הייחודית לדון בעניינים של נישואין אזרחיים מסורה לבית המשפט לענייני משפחה, זאת להבדיל מבית דין דתי או בית משפט אזרחי אחר.</w:t>
      </w:r>
    </w:p>
    <w:p w:rsidR="00075AE0" w:rsidRPr="00D11333" w:rsidRDefault="00075AE0" w:rsidP="00075AE0">
      <w:pPr>
        <w:pStyle w:val="HesberHeading"/>
        <w:rPr>
          <w:rtl/>
        </w:rPr>
      </w:pPr>
      <w:r w:rsidRPr="00D11333">
        <w:rPr>
          <w:rtl/>
        </w:rPr>
        <w:t>פרק ב': גירושין</w:t>
      </w:r>
    </w:p>
    <w:p w:rsidR="00075AE0" w:rsidRPr="00D11333" w:rsidRDefault="00075AE0" w:rsidP="00075AE0">
      <w:pPr>
        <w:pStyle w:val="HesberHeading"/>
        <w:rPr>
          <w:rtl/>
        </w:rPr>
      </w:pPr>
      <w:r w:rsidRPr="00D11333">
        <w:rPr>
          <w:rtl/>
        </w:rPr>
        <w:t>סימן א': קביעת מסלול גירושין</w:t>
      </w:r>
    </w:p>
    <w:p w:rsidR="00075AE0" w:rsidRPr="00D11333" w:rsidRDefault="00075AE0" w:rsidP="00075AE0">
      <w:pPr>
        <w:pStyle w:val="HesberHeading"/>
        <w:rPr>
          <w:rtl/>
        </w:rPr>
      </w:pPr>
      <w:r w:rsidRPr="00D11333">
        <w:rPr>
          <w:rtl/>
        </w:rPr>
        <w:t xml:space="preserve">סעיף 11 </w:t>
      </w:r>
    </w:p>
    <w:p w:rsidR="00075AE0" w:rsidRPr="00D11333" w:rsidRDefault="00075AE0" w:rsidP="00075AE0">
      <w:pPr>
        <w:pStyle w:val="Hesber"/>
        <w:rPr>
          <w:rtl/>
        </w:rPr>
      </w:pPr>
      <w:r w:rsidRPr="00D11333">
        <w:rPr>
          <w:rtl/>
        </w:rPr>
        <w:t xml:space="preserve">לפי סעיף זה, הגירושין, ככלל, יהיו על פי הדרך שבה בחרו בני הזוג להינשא. זוג שנישא בנישואין אזרחיים יתגרש בגירושין אזרחיים והחוק אינו פוגע בסמכות בתי הדין הדתיים לפסוק בגירושין של זוגות שנישאו בנישואין דתיים רשמים של המדינה. במובן זה החוק אינו מבטל את הגירושין הקיימים כיום אלא מוסיף עליהם. </w:t>
      </w:r>
      <w:r>
        <w:rPr>
          <w:rtl/>
        </w:rPr>
        <w:t xml:space="preserve">גירושין של </w:t>
      </w:r>
      <w:r w:rsidRPr="00D11333">
        <w:rPr>
          <w:rtl/>
        </w:rPr>
        <w:t xml:space="preserve">בני זוג שנישאו בנישואין כפולים – אזרחיים ודתיים רשמיים של </w:t>
      </w:r>
      <w:r w:rsidRPr="00D11333">
        <w:rPr>
          <w:rtl/>
        </w:rPr>
        <w:lastRenderedPageBreak/>
        <w:t xml:space="preserve">המדינה – </w:t>
      </w:r>
      <w:r>
        <w:rPr>
          <w:rtl/>
        </w:rPr>
        <w:t>ייערכו בבית הדין של העדה הדתית אליה הם משתייכים, כאשר</w:t>
      </w:r>
      <w:r w:rsidRPr="00D11333">
        <w:rPr>
          <w:rtl/>
        </w:rPr>
        <w:t xml:space="preserve"> </w:t>
      </w:r>
      <w:r w:rsidRPr="0034281C">
        <w:rPr>
          <w:rtl/>
        </w:rPr>
        <w:t xml:space="preserve">במקרה זה תהיה לבית הדין הדתי סמכות רק לגבי עצם התרת הקשר, </w:t>
      </w:r>
      <w:r>
        <w:rPr>
          <w:rtl/>
        </w:rPr>
        <w:t xml:space="preserve">בעוד </w:t>
      </w:r>
      <w:r w:rsidRPr="0034281C">
        <w:rPr>
          <w:rtl/>
        </w:rPr>
        <w:t>שאר העניינים הכרוכים בגירושין כגון מזונות, משמרות ילדים וחלוקת הרכוש יהיו בסמכות בית המשפט לעני</w:t>
      </w:r>
      <w:r>
        <w:rPr>
          <w:rtl/>
        </w:rPr>
        <w:t>י</w:t>
      </w:r>
      <w:r w:rsidRPr="0034281C">
        <w:rPr>
          <w:rtl/>
        </w:rPr>
        <w:t>ני משפחה.</w:t>
      </w:r>
    </w:p>
    <w:p w:rsidR="00075AE0" w:rsidRDefault="00075AE0" w:rsidP="00075AE0">
      <w:pPr>
        <w:pStyle w:val="Hesber"/>
        <w:ind w:firstLine="0"/>
        <w:rPr>
          <w:b/>
          <w:bCs/>
          <w:sz w:val="26"/>
          <w:rtl/>
        </w:rPr>
      </w:pPr>
      <w:r>
        <w:rPr>
          <w:b/>
          <w:bCs/>
          <w:sz w:val="26"/>
          <w:rtl/>
        </w:rPr>
        <w:t xml:space="preserve">סעיף 12 </w:t>
      </w:r>
    </w:p>
    <w:p w:rsidR="00075AE0" w:rsidRPr="0034281C" w:rsidRDefault="00075AE0" w:rsidP="00075AE0">
      <w:pPr>
        <w:pStyle w:val="Hesber"/>
        <w:rPr>
          <w:rtl/>
        </w:rPr>
      </w:pPr>
      <w:r w:rsidRPr="0034281C">
        <w:rPr>
          <w:rtl/>
        </w:rPr>
        <w:t xml:space="preserve">כיוון שברוב המדינות הנישואין המוכרים הם הנישואין האזרחיים, סעיף </w:t>
      </w:r>
      <w:r>
        <w:rPr>
          <w:rtl/>
        </w:rPr>
        <w:t>זה</w:t>
      </w:r>
      <w:r w:rsidRPr="0034281C">
        <w:rPr>
          <w:rtl/>
        </w:rPr>
        <w:t xml:space="preserve"> קובע כי דרך הגירושין לגבי בני זוג שנישאו מחוץ לישראל תהא אזרחית, אלא אם כן הסכימו בני הזוג אחרת, כלומר אם יש הסכמה של שני בני הזוג שנישאו בחו"ל הם יוכלו לבחור בגירושין בבית דין דתי. הדבר רלוונטי בעיקר לזוגות שנישאו בנישואין דתיים בחו"ל אשר הוכרו על ידי אותה מדינה כנישואין של המדינה, והם עשויים לרצות להתגרש גם בבית דין דתי</w:t>
      </w:r>
      <w:r>
        <w:rPr>
          <w:rtl/>
        </w:rPr>
        <w:t>.</w:t>
      </w:r>
      <w:r w:rsidRPr="0034281C">
        <w:rPr>
          <w:rtl/>
        </w:rPr>
        <w:t xml:space="preserve"> </w:t>
      </w:r>
    </w:p>
    <w:p w:rsidR="00075AE0" w:rsidRDefault="00075AE0" w:rsidP="00075AE0">
      <w:pPr>
        <w:pStyle w:val="HesberHeading"/>
        <w:rPr>
          <w:sz w:val="26"/>
          <w:rtl/>
        </w:rPr>
      </w:pPr>
      <w:r>
        <w:rPr>
          <w:sz w:val="26"/>
          <w:rtl/>
        </w:rPr>
        <w:t>סימן ב': גירושין אזרחיים</w:t>
      </w:r>
    </w:p>
    <w:p w:rsidR="00075AE0" w:rsidRDefault="00075AE0" w:rsidP="00075AE0">
      <w:pPr>
        <w:pStyle w:val="HesberHeading"/>
        <w:rPr>
          <w:sz w:val="26"/>
          <w:rtl/>
        </w:rPr>
      </w:pPr>
      <w:r>
        <w:rPr>
          <w:sz w:val="26"/>
          <w:rtl/>
        </w:rPr>
        <w:t>סעיף 13</w:t>
      </w:r>
    </w:p>
    <w:p w:rsidR="00075AE0" w:rsidRDefault="00075AE0" w:rsidP="00075AE0">
      <w:pPr>
        <w:pStyle w:val="Hesber"/>
        <w:rPr>
          <w:sz w:val="26"/>
          <w:rtl/>
        </w:rPr>
      </w:pPr>
      <w:r>
        <w:rPr>
          <w:sz w:val="26"/>
          <w:rtl/>
        </w:rPr>
        <w:t>סעיף זה מעניק לבית המשפט לענייני משפחה סמכות ייחודית לדון בגירושין אזרחיים. סעיף זה נועד למנוע מצב בו גירושין אזרחיים יידונו בערכאות דתיות, מה שעשוי להביא לקונפליקט בין הוראות הדין הדתי והאזרחי, וכן נוגד את רצונם של בני זוג שבחרו בדרך גירושין אזרחית.</w:t>
      </w:r>
    </w:p>
    <w:p w:rsidR="00075AE0" w:rsidRDefault="00075AE0" w:rsidP="00075AE0">
      <w:pPr>
        <w:pStyle w:val="HesberHeading"/>
        <w:rPr>
          <w:sz w:val="26"/>
          <w:rtl/>
        </w:rPr>
      </w:pPr>
      <w:r>
        <w:rPr>
          <w:sz w:val="26"/>
          <w:rtl/>
        </w:rPr>
        <w:t>סעיף 14</w:t>
      </w:r>
    </w:p>
    <w:p w:rsidR="00075AE0" w:rsidRDefault="00075AE0" w:rsidP="00075AE0">
      <w:pPr>
        <w:pStyle w:val="Hesber"/>
        <w:rPr>
          <w:sz w:val="26"/>
          <w:rtl/>
        </w:rPr>
      </w:pPr>
      <w:r>
        <w:rPr>
          <w:sz w:val="26"/>
          <w:rtl/>
        </w:rPr>
        <w:t>סעיף זה נועד לקבוע את עילות הגירושין בגירושין אזרחיים. הוראות הסעיף משקפות את התפיסה לפיה אין צורך בהוכחת אשמה או קיום הסכמה של שני בני הזוג על מנת להתיר את הנישואין. עם זאת, בית המשפט יהא רשאי לעכב מתן צו גירושין בנסיבות שבהן הוא סבור כי יהיה בכך כדי לסייע לפתרון עניין מהעניינים הכרוכים בהליך הגירושין. כמו כן, יהא בית המשפט רשאי לעכב מתן צו הגירושין, כאשר ישנן נסיבות מיוחדות הדורשות זאת, למשל כאשר המבקש הוא בן זוג המונע מבן זוגו, המעוניין בכך, התרת נישואין דתית. הוראה זו נועדה למנוע מצב שבו בן זוג יזכה בהתרת נישואין אזרחית בעוד הוא מעגן את בן זוגו דתית. בנוסף, הסעיף קובע כי יש להמתין שישה חודשים לכל הפחות ממועד הגשת בקשת הגירושין ועד מתן צו הגירושין. הוראה זו נועדה להבטיח שיקול דעת וגמירות דעת מצד הצדדים בהליך הגירושין, ובפרט כאשר להליך זה השלכות על טובתם של ילדים קטינים. יחד עם זאת, בית המשפט רשאי לחרוג מכלל זה, מטעמים מיוחדים שיירשמו. חריג זה נועד לשמש במצבים מיוחדים שבהם אין מקום לעכב את הגירושין, כגון אלימות במשפחה.</w:t>
      </w:r>
    </w:p>
    <w:p w:rsidR="00075AE0" w:rsidRDefault="00075AE0" w:rsidP="00075AE0">
      <w:pPr>
        <w:pStyle w:val="HesberHeading"/>
        <w:rPr>
          <w:sz w:val="26"/>
          <w:rtl/>
        </w:rPr>
      </w:pPr>
      <w:r>
        <w:rPr>
          <w:sz w:val="26"/>
          <w:rtl/>
        </w:rPr>
        <w:t>סעיף 15</w:t>
      </w:r>
    </w:p>
    <w:p w:rsidR="00075AE0" w:rsidRPr="00630A92" w:rsidRDefault="00075AE0" w:rsidP="00075AE0">
      <w:pPr>
        <w:pStyle w:val="Hesber"/>
        <w:rPr>
          <w:rtl/>
        </w:rPr>
      </w:pPr>
      <w:r w:rsidRPr="00630A92">
        <w:rPr>
          <w:rtl/>
        </w:rPr>
        <w:t xml:space="preserve">סעיף זה מונה רשימת חריגים בהם יינתן צו גירושין גם בלי שיתמלאו התנאים המנויים בסעיף 14, ובפרט כאשר לא ניתן לקבל הסכמה של שני בני הזוג לגירושין מטעמים שונים </w:t>
      </w:r>
      <w:r>
        <w:rPr>
          <w:rtl/>
        </w:rPr>
        <w:t>הנוגעים</w:t>
      </w:r>
      <w:r w:rsidRPr="00630A92">
        <w:rPr>
          <w:rtl/>
        </w:rPr>
        <w:t xml:space="preserve"> </w:t>
      </w:r>
      <w:r>
        <w:rPr>
          <w:rtl/>
        </w:rPr>
        <w:t>ל</w:t>
      </w:r>
      <w:r w:rsidRPr="00630A92">
        <w:rPr>
          <w:rtl/>
        </w:rPr>
        <w:t xml:space="preserve">נבצרות </w:t>
      </w:r>
      <w:r>
        <w:rPr>
          <w:rtl/>
        </w:rPr>
        <w:t xml:space="preserve">של </w:t>
      </w:r>
      <w:r w:rsidRPr="00630A92">
        <w:rPr>
          <w:rtl/>
        </w:rPr>
        <w:t>אחד מבני הזוג.</w:t>
      </w:r>
    </w:p>
    <w:p w:rsidR="00075AE0" w:rsidRDefault="00075AE0" w:rsidP="00075AE0">
      <w:pPr>
        <w:pStyle w:val="HesberHeading"/>
        <w:rPr>
          <w:sz w:val="26"/>
          <w:rtl/>
        </w:rPr>
      </w:pPr>
      <w:r>
        <w:rPr>
          <w:sz w:val="26"/>
          <w:rtl/>
        </w:rPr>
        <w:t>סעיף 16</w:t>
      </w:r>
    </w:p>
    <w:p w:rsidR="00075AE0" w:rsidRPr="00630A92" w:rsidRDefault="00075AE0" w:rsidP="00075AE0">
      <w:pPr>
        <w:pStyle w:val="Hesber"/>
        <w:rPr>
          <w:rtl/>
        </w:rPr>
      </w:pPr>
      <w:r w:rsidRPr="00630A92">
        <w:rPr>
          <w:rtl/>
        </w:rPr>
        <w:t>סעיף זה קובע כללי ברירת דין ברורים למקרה של נישואין שנערכו מחוץ לישראל, כדי למנוע חו</w:t>
      </w:r>
      <w:r>
        <w:rPr>
          <w:rtl/>
        </w:rPr>
        <w:t>ס</w:t>
      </w:r>
      <w:r w:rsidRPr="00630A92">
        <w:rPr>
          <w:rtl/>
        </w:rPr>
        <w:t xml:space="preserve">ר בהירות והתדיינויות סבוכות בשאלה זו. הסעיף קובע כי הדין שיחול על גירושין אלה </w:t>
      </w:r>
      <w:r>
        <w:rPr>
          <w:rtl/>
        </w:rPr>
        <w:t>י</w:t>
      </w:r>
      <w:r w:rsidRPr="00630A92">
        <w:rPr>
          <w:rtl/>
        </w:rPr>
        <w:t xml:space="preserve">היה הדין במקום מושבם, קרי מקום מגוריהם של בני הזוג בעת שנישאו, וזאת בהתבסס על ההנחה שהייתה להם ציפייה סבירה שזהו הדין שלפיו יחולק הרכוש או יוכרעו עניינים אחרים הקושרים לנישואין. לבני הזוג אפשרות </w:t>
      </w:r>
      <w:r w:rsidRPr="00630A92">
        <w:rPr>
          <w:rtl/>
        </w:rPr>
        <w:lastRenderedPageBreak/>
        <w:t xml:space="preserve">להתנות על כך ולקבוע, בהסכמה, שהדין שיקבע את זכויותיהם עם הגירושין יהיה הדין של מקום מושבם הנוכחי, קרי הדין הישראלי. </w:t>
      </w:r>
    </w:p>
    <w:p w:rsidR="00075AE0" w:rsidRDefault="00075AE0" w:rsidP="00075AE0">
      <w:pPr>
        <w:pStyle w:val="HesberHeading"/>
        <w:rPr>
          <w:sz w:val="26"/>
          <w:rtl/>
        </w:rPr>
      </w:pPr>
      <w:r>
        <w:rPr>
          <w:sz w:val="26"/>
          <w:rtl/>
        </w:rPr>
        <w:t>סימן ג': הוראות כלליות</w:t>
      </w:r>
    </w:p>
    <w:p w:rsidR="00075AE0" w:rsidRDefault="00075AE0" w:rsidP="00075AE0">
      <w:pPr>
        <w:pStyle w:val="HesberHeading"/>
        <w:rPr>
          <w:b w:val="0"/>
          <w:bCs w:val="0"/>
          <w:sz w:val="26"/>
          <w:rtl/>
        </w:rPr>
      </w:pPr>
      <w:r>
        <w:rPr>
          <w:sz w:val="26"/>
          <w:rtl/>
        </w:rPr>
        <w:t>סעיף 17</w:t>
      </w:r>
    </w:p>
    <w:p w:rsidR="00075AE0" w:rsidRDefault="00075AE0" w:rsidP="00075AE0">
      <w:pPr>
        <w:pStyle w:val="Hesber"/>
        <w:rPr>
          <w:sz w:val="26"/>
          <w:rtl/>
        </w:rPr>
      </w:pPr>
      <w:r>
        <w:rPr>
          <w:sz w:val="26"/>
          <w:rtl/>
        </w:rPr>
        <w:t xml:space="preserve">בדומה לצווים אחרים אשר ניתנים על ידי בית המשפט, צו הגירושין נכנס לתוקף החל מהמועד שבו ניתן על ידי בית המשפט ולא במועד הרישום. ההיגיון העומד ביסוד הוראה זו הוא מניעת מצבים שבהם עקב בעיות טכניות או אי יכולת לרשום את צו הגירושין, לא ייכנסו לתוקף הוראות אחרות בפסק דין או בחוק אשר מותנות באקט הגירושין (כגון מועד איזון המשאבים בין הצדדים, מזונות, פינוי מדור, זכויות הקיימות בחוק למשפחות חד הוריות וכיוצא באלו). </w:t>
      </w:r>
    </w:p>
    <w:p w:rsidR="00075AE0" w:rsidRPr="00E7751E" w:rsidRDefault="00075AE0" w:rsidP="00075AE0">
      <w:pPr>
        <w:pStyle w:val="HesberHeading"/>
        <w:rPr>
          <w:rtl/>
        </w:rPr>
      </w:pPr>
      <w:r w:rsidRPr="00881846">
        <w:rPr>
          <w:rtl/>
        </w:rPr>
        <w:t>פרק ג': עניינים הנובעים מנישואין וגירושין</w:t>
      </w:r>
    </w:p>
    <w:p w:rsidR="00075AE0" w:rsidRDefault="00075AE0" w:rsidP="00075AE0">
      <w:pPr>
        <w:pStyle w:val="HesberHeading"/>
        <w:rPr>
          <w:sz w:val="26"/>
          <w:rtl/>
        </w:rPr>
      </w:pPr>
      <w:r>
        <w:rPr>
          <w:sz w:val="26"/>
          <w:rtl/>
        </w:rPr>
        <w:t xml:space="preserve">סעיף 18 </w:t>
      </w:r>
    </w:p>
    <w:p w:rsidR="00075AE0" w:rsidRPr="00D05EA2" w:rsidRDefault="00075AE0" w:rsidP="00075AE0">
      <w:pPr>
        <w:pStyle w:val="Hesber"/>
        <w:rPr>
          <w:rtl/>
        </w:rPr>
      </w:pPr>
      <w:r w:rsidRPr="00D05EA2">
        <w:rPr>
          <w:rtl/>
        </w:rPr>
        <w:t>מטרת פרק זה היא להסדיר מסגרת אזרחית שתדון בעניינים הנובעים מנישואין וגירושין אזרחיים או מנישואין וגירושין דתיים, שלא הוסדרו עד לחקיקת חוק זה. העניינים הנובעים מנישואין וגירושין כוללים, בין השאר, החזקת ילדים, מזונות והסדרי רכוש בין בני הזוג.</w:t>
      </w:r>
    </w:p>
    <w:p w:rsidR="00075AE0" w:rsidRPr="00D05EA2" w:rsidRDefault="00075AE0" w:rsidP="00075AE0">
      <w:pPr>
        <w:pStyle w:val="Hesber"/>
        <w:rPr>
          <w:rtl/>
        </w:rPr>
      </w:pPr>
      <w:r w:rsidRPr="00D05EA2">
        <w:rPr>
          <w:rtl/>
        </w:rPr>
        <w:t xml:space="preserve">אין בכוונת סימן זה לפגוע בהסדרים שהיו קיימים ביחס לנישואין או לגירושין דתיים שנערכו במסגרת בתי הדין הדתיים ערב חקיקת חוק זה או שייערכו במסגרת סמכויות בתי הדין גם לאחר חקיקת חוק זה. </w:t>
      </w:r>
    </w:p>
    <w:p w:rsidR="00075AE0" w:rsidRPr="00D05EA2" w:rsidRDefault="00075AE0" w:rsidP="00075AE0">
      <w:pPr>
        <w:pStyle w:val="Hesber"/>
        <w:rPr>
          <w:rtl/>
        </w:rPr>
      </w:pPr>
      <w:r w:rsidRPr="00D05EA2">
        <w:rPr>
          <w:rtl/>
        </w:rPr>
        <w:t>על פי הצעת החוק, הסמכות הבלעדית לדון בעניינים הנובעים מן הנישואין והגירושין האזרחיים תהא מסורה לבתי המשפט לענייני משפחה. במקרה של נישואין או גירושין אזרחיים לא תהיה תחולה לדין האישי (הדין הדתי) של בני הזוג, אלא יחולו הוראות החוק הנוכחי וכן הפסיקה שנקבעה על ידי בתי המשפט לענייני משפחה בעניינים שונים הקשורים לנישואין וגירושין.</w:t>
      </w:r>
    </w:p>
    <w:p w:rsidR="00075AE0" w:rsidRDefault="00075AE0" w:rsidP="00075AE0">
      <w:pPr>
        <w:pStyle w:val="HesberHeading"/>
        <w:rPr>
          <w:sz w:val="26"/>
          <w:rtl/>
        </w:rPr>
      </w:pPr>
      <w:r>
        <w:rPr>
          <w:sz w:val="26"/>
          <w:rtl/>
        </w:rPr>
        <w:t>פרק ד': הוראות מעבר</w:t>
      </w:r>
    </w:p>
    <w:p w:rsidR="00075AE0" w:rsidRDefault="00075AE0" w:rsidP="00075AE0">
      <w:pPr>
        <w:pStyle w:val="HesberHeading"/>
        <w:rPr>
          <w:sz w:val="26"/>
          <w:rtl/>
        </w:rPr>
      </w:pPr>
      <w:r>
        <w:rPr>
          <w:sz w:val="26"/>
          <w:rtl/>
        </w:rPr>
        <w:t>סעיפים 19 עד 22</w:t>
      </w:r>
    </w:p>
    <w:p w:rsidR="00075AE0" w:rsidRDefault="00075AE0" w:rsidP="00075AE0">
      <w:pPr>
        <w:pStyle w:val="Hesber"/>
        <w:rPr>
          <w:sz w:val="26"/>
          <w:rtl/>
        </w:rPr>
      </w:pPr>
      <w:r>
        <w:rPr>
          <w:sz w:val="26"/>
          <w:rtl/>
        </w:rPr>
        <w:t xml:space="preserve">הוראות המעבר בהצעת חוק זו נועדו להשוות את מצבם של זוגות שנישאו בטרם כניסתו של החוק לתוקפו לזוגות שיינשאו לאחר חקיקת החוק. על אף האמור, כדי למנוע אי ודאות משפטית, מוצע לקבוע כי על זוגות שכבר החלו להתדיין בטרם חקיקת החוק ימשיך לחול הדין שחל ערב חקיקתו. </w:t>
      </w:r>
    </w:p>
    <w:p w:rsidR="00075AE0" w:rsidRDefault="00075AE0" w:rsidP="00075AE0">
      <w:pPr>
        <w:pStyle w:val="HesberHeading"/>
        <w:rPr>
          <w:sz w:val="26"/>
          <w:rtl/>
        </w:rPr>
      </w:pPr>
      <w:r>
        <w:rPr>
          <w:sz w:val="26"/>
          <w:rtl/>
        </w:rPr>
        <w:t>פרק ה: תיקונים עקיפים</w:t>
      </w:r>
    </w:p>
    <w:p w:rsidR="00075AE0" w:rsidRDefault="00075AE0" w:rsidP="00075AE0">
      <w:pPr>
        <w:pStyle w:val="HesberHeading"/>
        <w:rPr>
          <w:sz w:val="26"/>
          <w:rtl/>
        </w:rPr>
      </w:pPr>
      <w:r>
        <w:rPr>
          <w:sz w:val="26"/>
          <w:rtl/>
        </w:rPr>
        <w:t>סעיף 23</w:t>
      </w:r>
    </w:p>
    <w:p w:rsidR="00075AE0" w:rsidRDefault="00075AE0" w:rsidP="00075AE0">
      <w:pPr>
        <w:pStyle w:val="Hesber"/>
        <w:rPr>
          <w:sz w:val="26"/>
          <w:rtl/>
        </w:rPr>
      </w:pPr>
      <w:r>
        <w:rPr>
          <w:sz w:val="26"/>
          <w:rtl/>
        </w:rPr>
        <w:t xml:space="preserve">חוק שיפוט בתי דין רבניים (נישואין וגירושין), התשי"ג–1953, מתייחס למצב משפטי שבו קיימת עבור זוג יהודי רק דרך אחת להינשא ולהתגרש בישראל. עם הרחבת אפשרויות הבחירה בחוק זה יש לתקן את החוק, כך שיתאים לקיומה של אפשרות נוספת להינשא ולהתגרש בישראל. </w:t>
      </w:r>
    </w:p>
    <w:p w:rsidR="00075AE0" w:rsidRDefault="00075AE0" w:rsidP="00075AE0">
      <w:pPr>
        <w:pStyle w:val="HesberHeading"/>
        <w:rPr>
          <w:sz w:val="26"/>
          <w:rtl/>
        </w:rPr>
      </w:pPr>
      <w:r>
        <w:rPr>
          <w:sz w:val="26"/>
          <w:rtl/>
        </w:rPr>
        <w:lastRenderedPageBreak/>
        <w:t>סעיף 24</w:t>
      </w:r>
    </w:p>
    <w:p w:rsidR="00075AE0" w:rsidRDefault="00075AE0" w:rsidP="00075AE0">
      <w:pPr>
        <w:pStyle w:val="Hesber"/>
        <w:rPr>
          <w:sz w:val="26"/>
          <w:rtl/>
        </w:rPr>
      </w:pPr>
      <w:r>
        <w:rPr>
          <w:sz w:val="26"/>
          <w:rtl/>
        </w:rPr>
        <w:t>תיקון פקודת הנישואין והגירושין (רישום) כדי להעניק את הסמכויות המתאימות לרשם הנישואין האזרחיים.</w:t>
      </w:r>
    </w:p>
    <w:p w:rsidR="00075AE0" w:rsidRDefault="00075AE0" w:rsidP="00075AE0">
      <w:pPr>
        <w:pStyle w:val="HesberHeading"/>
        <w:rPr>
          <w:sz w:val="26"/>
          <w:rtl/>
        </w:rPr>
      </w:pPr>
      <w:r>
        <w:rPr>
          <w:sz w:val="26"/>
          <w:rtl/>
        </w:rPr>
        <w:t>סעיף 25</w:t>
      </w:r>
    </w:p>
    <w:p w:rsidR="00075AE0" w:rsidRDefault="00075AE0" w:rsidP="00075AE0">
      <w:pPr>
        <w:pStyle w:val="Hesber"/>
        <w:rPr>
          <w:sz w:val="26"/>
          <w:rtl/>
        </w:rPr>
      </w:pPr>
      <w:r>
        <w:rPr>
          <w:sz w:val="26"/>
          <w:rtl/>
        </w:rPr>
        <w:t>הסעיף מבצע תיקונים בדבר המלך במועצה על ארץ ישראל 1922 עד 1947, המהווה דבר חקיקה מנדטורי, על מנת להתאימו למציאות החדשה שיוצר החוק של קיום נישואין וגירושין אזרחים עבור בני כל הדתות המוכרות בישראל.</w:t>
      </w:r>
    </w:p>
    <w:p w:rsidR="00075AE0" w:rsidRDefault="00075AE0" w:rsidP="00075AE0">
      <w:pPr>
        <w:pStyle w:val="HesberHeading"/>
        <w:rPr>
          <w:sz w:val="26"/>
          <w:rtl/>
        </w:rPr>
      </w:pPr>
      <w:r>
        <w:rPr>
          <w:sz w:val="26"/>
          <w:rtl/>
        </w:rPr>
        <w:t>סעיף 26</w:t>
      </w:r>
    </w:p>
    <w:p w:rsidR="00075AE0" w:rsidRPr="00881846" w:rsidRDefault="00075AE0" w:rsidP="00075AE0">
      <w:pPr>
        <w:pStyle w:val="Hesber"/>
        <w:rPr>
          <w:rtl/>
        </w:rPr>
      </w:pPr>
      <w:r>
        <w:rPr>
          <w:rtl/>
        </w:rPr>
        <w:t xml:space="preserve">החוק לתיקון דיני משפחה (מזונות), התשי"ט–1959, מתייחס למצב המשפטי שבו קיימת רק דרך דין תורה כדרך להינשא ולהתגרש בישראל וכפועל יוצא מכך מחיל בסעיפים 2(א) ו-3(א) את הדין האישי, שהוא דין דתי, על המתדיינים בענייני מזונות. לאור הרחבת אפשרויות הבחירה, הן לגבי דרך הנישואין והגירושין והן לגבי הערכאה שתדון בעניין המזונות, מוצע ליצור בתוך כל אחד מסעיפים אלו מסלול התדיינות בנושא </w:t>
      </w:r>
      <w:r w:rsidRPr="00881846">
        <w:rPr>
          <w:rtl/>
        </w:rPr>
        <w:t>המזונות שאינו מתנהל על פי הדין האישי, אלא על פי ההוראות האזרחיות הרלוונטיות.</w:t>
      </w:r>
    </w:p>
    <w:p w:rsidR="00075AE0" w:rsidRPr="00881846" w:rsidRDefault="00075AE0" w:rsidP="00075AE0">
      <w:pPr>
        <w:pStyle w:val="Hesber"/>
      </w:pPr>
      <w:r w:rsidRPr="00881846">
        <w:rPr>
          <w:rtl/>
        </w:rPr>
        <w:t>סעיף 27</w:t>
      </w:r>
    </w:p>
    <w:p w:rsidR="00075AE0" w:rsidRPr="00881846" w:rsidRDefault="00075AE0" w:rsidP="00075AE0">
      <w:pPr>
        <w:pStyle w:val="Hesber"/>
        <w:rPr>
          <w:rtl/>
        </w:rPr>
      </w:pPr>
      <w:r w:rsidRPr="00881846">
        <w:rPr>
          <w:rtl/>
        </w:rPr>
        <w:t xml:space="preserve">חוק שיפוט בענייני התרת נישואין (מקרים מיוחדים וסמכות בין-לאומית), התשכ"ט–1969, נועד לקבוע את הערכאה הדתית שתדון בעניינם של בני זוג בני דתות או עדות שונות. עם מתן אפשרות לבני זוג להינשא בנישואין אזרחיים בישראל והסדרת התחום, ניתן לבטל חוק זה. </w:t>
      </w:r>
    </w:p>
    <w:p w:rsidR="00075AE0" w:rsidRPr="00881846" w:rsidRDefault="00075AE0" w:rsidP="00075AE0">
      <w:pPr>
        <w:pStyle w:val="Hesber"/>
      </w:pPr>
      <w:r w:rsidRPr="00881846">
        <w:rPr>
          <w:rtl/>
        </w:rPr>
        <w:t>סעיף 28</w:t>
      </w:r>
    </w:p>
    <w:p w:rsidR="00075AE0" w:rsidRPr="00881846" w:rsidRDefault="00075AE0" w:rsidP="00075AE0">
      <w:pPr>
        <w:pStyle w:val="Hesber"/>
        <w:rPr>
          <w:rtl/>
        </w:rPr>
      </w:pPr>
      <w:r w:rsidRPr="00881846">
        <w:rPr>
          <w:rtl/>
        </w:rPr>
        <w:t xml:space="preserve">חוק ברית הזוגיות לחסרי דת, התש"ע–2010, אינו רלבנטי לאחר חקיקת הוראות חוק זה, ועל כן יש לבטלו תוך ביצוע ההתאמות הנדרשות לגבי בני זוג רשומים. </w:t>
      </w:r>
    </w:p>
    <w:p w:rsidR="00075AE0" w:rsidRPr="00881846" w:rsidRDefault="00075AE0" w:rsidP="00075AE0">
      <w:pPr>
        <w:pStyle w:val="Hesber"/>
        <w:ind w:firstLine="0"/>
        <w:rPr>
          <w:rtl/>
        </w:rPr>
      </w:pPr>
      <w:r w:rsidRPr="00881846">
        <w:rPr>
          <w:rtl/>
        </w:rPr>
        <w:t>הצעות חוק דומות בעיקרן הונחו על שולחן הכנסת השמונה-עשרה על ידי חבר הכנסת ניצן הורוביץ וקבוצת חברי הכנסת (פ/236/18; הוסרה מסדר היום ביום ט' בתמוז התשס"ט (1 ביולי 2009); פ/1827/18; הוסרה מסדר היום ביום כ"ח באייר התש"ע (12 במאי 2010)), על ידי חבר הכנסת אופיר פינס-פז (פ/1837/18) ועל ידי חבר הכנסת שלמה מולה וקבוצת חברי הכנסת (פ/3245/18; הוסרה מסדר היום ביום כ"ה בתמוז התשע"א (27 ביולי 2011)) ועל שולחן הכנסת התשע-עשרה על ידי חבר הכנסת ניצן הורוביץ וקבוצת חברי הכנסת (פ/769/19; פ/778/19) ועל ידי חבר הכנסת דב חנין (פ/1003/19).</w:t>
      </w:r>
    </w:p>
    <w:p w:rsidR="0064729A" w:rsidRDefault="0064729A" w:rsidP="0064729A">
      <w:pPr>
        <w:ind w:left="340" w:firstLine="0"/>
        <w:rPr>
          <w:rFonts w:cs="David"/>
          <w:snapToGrid w:val="0"/>
          <w:spacing w:val="0"/>
          <w:sz w:val="20"/>
          <w:szCs w:val="26"/>
          <w:rtl/>
        </w:rPr>
      </w:pPr>
    </w:p>
    <w:p w:rsidR="0064729A" w:rsidRDefault="0064729A" w:rsidP="0064729A">
      <w:pPr>
        <w:ind w:left="340" w:firstLine="0"/>
        <w:rPr>
          <w:rFonts w:cs="David"/>
          <w:snapToGrid w:val="0"/>
          <w:spacing w:val="0"/>
          <w:sz w:val="20"/>
          <w:szCs w:val="26"/>
          <w:rtl/>
        </w:rPr>
      </w:pPr>
    </w:p>
    <w:p w:rsidR="0064729A" w:rsidRPr="0022704F" w:rsidRDefault="0064729A" w:rsidP="0064729A">
      <w:pPr>
        <w:ind w:left="340" w:firstLine="0"/>
        <w:rPr>
          <w:rFonts w:cs="David"/>
          <w:snapToGrid w:val="0"/>
          <w:spacing w:val="0"/>
          <w:sz w:val="20"/>
          <w:szCs w:val="26"/>
          <w:rtl/>
        </w:rPr>
      </w:pPr>
      <w:r w:rsidRPr="0022704F">
        <w:rPr>
          <w:rFonts w:cs="David"/>
          <w:snapToGrid w:val="0"/>
          <w:spacing w:val="0"/>
          <w:sz w:val="20"/>
          <w:szCs w:val="26"/>
          <w:rtl/>
        </w:rPr>
        <w:t>---------------------------------</w:t>
      </w:r>
    </w:p>
    <w:p w:rsidR="0064729A" w:rsidRPr="0022704F" w:rsidRDefault="0064729A" w:rsidP="0064729A">
      <w:pPr>
        <w:ind w:left="340" w:firstLine="0"/>
        <w:rPr>
          <w:rFonts w:cs="David"/>
          <w:snapToGrid w:val="0"/>
          <w:spacing w:val="0"/>
          <w:sz w:val="20"/>
          <w:szCs w:val="26"/>
          <w:rtl/>
        </w:rPr>
      </w:pPr>
      <w:r w:rsidRPr="0022704F">
        <w:rPr>
          <w:rFonts w:cs="David"/>
          <w:snapToGrid w:val="0"/>
          <w:spacing w:val="0"/>
          <w:sz w:val="20"/>
          <w:szCs w:val="26"/>
          <w:rtl/>
        </w:rPr>
        <w:t>הוגשה ליו"ר הכנסת והסגנים</w:t>
      </w:r>
    </w:p>
    <w:p w:rsidR="0064729A" w:rsidRPr="0022704F" w:rsidRDefault="0064729A" w:rsidP="0064729A">
      <w:pPr>
        <w:ind w:left="340" w:firstLine="0"/>
        <w:rPr>
          <w:rFonts w:cs="David"/>
          <w:snapToGrid w:val="0"/>
          <w:spacing w:val="0"/>
          <w:sz w:val="20"/>
          <w:szCs w:val="26"/>
          <w:rtl/>
        </w:rPr>
      </w:pPr>
      <w:r w:rsidRPr="0022704F">
        <w:rPr>
          <w:rFonts w:cs="David"/>
          <w:snapToGrid w:val="0"/>
          <w:spacing w:val="0"/>
          <w:sz w:val="20"/>
          <w:szCs w:val="26"/>
          <w:rtl/>
        </w:rPr>
        <w:t>והונחה על שולחן הכנסת ביום</w:t>
      </w:r>
    </w:p>
    <w:p w:rsidR="0064729A" w:rsidRPr="00935520" w:rsidRDefault="0064729A" w:rsidP="0064729A">
      <w:pPr>
        <w:ind w:left="340" w:firstLine="0"/>
        <w:rPr>
          <w:rFonts w:ascii="Arial" w:eastAsia="Arial Unicode MS" w:hAnsi="Arial" w:cs="David"/>
          <w:snapToGrid w:val="0"/>
          <w:spacing w:val="0"/>
          <w:sz w:val="20"/>
          <w:szCs w:val="26"/>
        </w:rPr>
      </w:pPr>
      <w:r>
        <w:rPr>
          <w:rFonts w:cs="David"/>
          <w:snapToGrid w:val="0"/>
          <w:spacing w:val="0"/>
          <w:sz w:val="20"/>
          <w:szCs w:val="26"/>
          <w:rtl/>
        </w:rPr>
        <w:t>ד' בסיוון התשע"ד</w:t>
      </w:r>
      <w:r w:rsidRPr="00935520">
        <w:rPr>
          <w:rFonts w:cs="David"/>
          <w:snapToGrid w:val="0"/>
          <w:spacing w:val="0"/>
          <w:sz w:val="20"/>
          <w:szCs w:val="26"/>
          <w:rtl/>
        </w:rPr>
        <w:t xml:space="preserve"> – </w:t>
      </w:r>
      <w:r>
        <w:rPr>
          <w:rFonts w:cs="David"/>
          <w:snapToGrid w:val="0"/>
          <w:spacing w:val="0"/>
          <w:sz w:val="20"/>
          <w:szCs w:val="26"/>
          <w:rtl/>
        </w:rPr>
        <w:t>2</w:t>
      </w:r>
      <w:r w:rsidRPr="00935520">
        <w:rPr>
          <w:rFonts w:cs="David"/>
          <w:snapToGrid w:val="0"/>
          <w:spacing w:val="0"/>
          <w:sz w:val="20"/>
          <w:szCs w:val="26"/>
          <w:rtl/>
        </w:rPr>
        <w:t>.</w:t>
      </w:r>
      <w:r>
        <w:rPr>
          <w:rFonts w:cs="David"/>
          <w:snapToGrid w:val="0"/>
          <w:spacing w:val="0"/>
          <w:sz w:val="20"/>
          <w:szCs w:val="26"/>
          <w:rtl/>
        </w:rPr>
        <w:t>6</w:t>
      </w:r>
      <w:r w:rsidRPr="00935520">
        <w:rPr>
          <w:rFonts w:cs="David"/>
          <w:snapToGrid w:val="0"/>
          <w:spacing w:val="0"/>
          <w:sz w:val="20"/>
          <w:szCs w:val="26"/>
          <w:rtl/>
        </w:rPr>
        <w:t>.</w:t>
      </w:r>
      <w:r>
        <w:rPr>
          <w:rFonts w:cs="David"/>
          <w:snapToGrid w:val="0"/>
          <w:spacing w:val="0"/>
          <w:sz w:val="20"/>
          <w:szCs w:val="26"/>
          <w:rtl/>
        </w:rPr>
        <w:t>14</w:t>
      </w:r>
    </w:p>
    <w:p w:rsidR="0064729A" w:rsidRPr="00935520" w:rsidRDefault="0064729A" w:rsidP="0064729A">
      <w:pPr>
        <w:ind w:left="340" w:firstLine="0"/>
        <w:rPr>
          <w:rFonts w:cs="David"/>
          <w:snapToGrid w:val="0"/>
          <w:spacing w:val="0"/>
          <w:sz w:val="20"/>
          <w:szCs w:val="26"/>
          <w:rtl/>
        </w:rPr>
      </w:pPr>
    </w:p>
    <w:p w:rsidR="00E13C27" w:rsidRPr="00075AE0" w:rsidRDefault="00E13C27" w:rsidP="00075AE0">
      <w:pPr>
        <w:rPr>
          <w:rtl/>
        </w:rPr>
      </w:pPr>
    </w:p>
    <w:sectPr w:rsidR="00E13C27" w:rsidRPr="00075AE0"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26" w:rsidRDefault="002E2526">
      <w:r>
        <w:separator/>
      </w:r>
    </w:p>
  </w:endnote>
  <w:endnote w:type="continuationSeparator" w:id="0">
    <w:p w:rsidR="002E2526" w:rsidRDefault="002E25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Narrow"/>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1A0623" w:rsidRDefault="001A06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A766E4">
      <w:rPr>
        <w:rStyle w:val="af"/>
        <w:rFonts w:cs="Hadasa Roso SL"/>
        <w:noProof/>
        <w:rtl/>
      </w:rPr>
      <w:t>11</w:t>
    </w:r>
    <w:r>
      <w:rPr>
        <w:rStyle w:val="af"/>
        <w:rFonts w:cs="Hadasa Roso SL"/>
      </w:rPr>
      <w:fldChar w:fldCharType="end"/>
    </w:r>
  </w:p>
  <w:p w:rsidR="001A0623" w:rsidRDefault="001A06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26" w:rsidRDefault="002E2526">
      <w:r>
        <w:separator/>
      </w:r>
    </w:p>
  </w:footnote>
  <w:footnote w:type="continuationSeparator" w:id="0">
    <w:p w:rsidR="002E2526" w:rsidRDefault="002E2526">
      <w:r>
        <w:continuationSeparator/>
      </w:r>
    </w:p>
  </w:footnote>
  <w:footnote w:type="continuationNotice" w:id="1">
    <w:p w:rsidR="002E2526" w:rsidRDefault="002E2526"/>
  </w:footnote>
  <w:footnote w:id="2">
    <w:p w:rsidR="00000000" w:rsidRDefault="00075AE0" w:rsidP="00075AE0">
      <w:pPr>
        <w:pStyle w:val="a5"/>
      </w:pPr>
      <w:r>
        <w:rPr>
          <w:rStyle w:val="a7"/>
        </w:rPr>
        <w:footnoteRef/>
      </w:r>
      <w:r>
        <w:rPr>
          <w:rtl/>
        </w:rPr>
        <w:t xml:space="preserve"> ס"ח התש"ם, עמ' 90.</w:t>
      </w:r>
    </w:p>
  </w:footnote>
  <w:footnote w:id="3">
    <w:p w:rsidR="00000000" w:rsidRDefault="00075AE0" w:rsidP="00075AE0">
      <w:pPr>
        <w:pStyle w:val="a5"/>
      </w:pPr>
      <w:r>
        <w:rPr>
          <w:rStyle w:val="a7"/>
        </w:rPr>
        <w:footnoteRef/>
      </w:r>
      <w:r>
        <w:rPr>
          <w:rtl/>
        </w:rPr>
        <w:t xml:space="preserve"> חא"י, כרך ב', עמ' (ע) 876, (א) 903.</w:t>
      </w:r>
    </w:p>
  </w:footnote>
  <w:footnote w:id="4">
    <w:p w:rsidR="00000000" w:rsidRDefault="00075AE0" w:rsidP="00075AE0">
      <w:pPr>
        <w:pStyle w:val="a5"/>
      </w:pPr>
      <w:r>
        <w:rPr>
          <w:rStyle w:val="a7"/>
        </w:rPr>
        <w:footnoteRef/>
      </w:r>
      <w:r>
        <w:rPr>
          <w:sz w:val="20"/>
          <w:rtl/>
        </w:rPr>
        <w:t xml:space="preserve"> ס"ח התשי"ג, עמ' 165.</w:t>
      </w:r>
    </w:p>
  </w:footnote>
  <w:footnote w:id="5">
    <w:p w:rsidR="00000000" w:rsidRDefault="0064729A" w:rsidP="00075AE0">
      <w:pPr>
        <w:pStyle w:val="a5"/>
      </w:pPr>
      <w:r>
        <w:rPr>
          <w:rStyle w:val="a7"/>
        </w:rPr>
        <w:footnoteRef/>
      </w:r>
      <w:r>
        <w:rPr>
          <w:rtl/>
        </w:rPr>
        <w:t xml:space="preserve"> </w:t>
      </w:r>
      <w:r w:rsidRPr="00F268B5">
        <w:rPr>
          <w:rtl/>
        </w:rPr>
        <w:t>חא"י, כרך ג', עמ' (ע) 2738, (א) 2569</w:t>
      </w:r>
      <w:r>
        <w:rPr>
          <w:rtl/>
        </w:rPr>
        <w:t>.</w:t>
      </w:r>
    </w:p>
  </w:footnote>
  <w:footnote w:id="6">
    <w:p w:rsidR="00000000" w:rsidRDefault="0064729A" w:rsidP="00075AE0">
      <w:pPr>
        <w:pStyle w:val="a5"/>
      </w:pPr>
      <w:r>
        <w:rPr>
          <w:rStyle w:val="a7"/>
        </w:rPr>
        <w:footnoteRef/>
      </w:r>
      <w:r>
        <w:rPr>
          <w:sz w:val="20"/>
          <w:rtl/>
        </w:rPr>
        <w:t xml:space="preserve"> ס"ח התשי"ט, עמ' 72.</w:t>
      </w:r>
    </w:p>
  </w:footnote>
  <w:footnote w:id="7">
    <w:p w:rsidR="00000000" w:rsidRDefault="0064729A" w:rsidP="00075AE0">
      <w:pPr>
        <w:pStyle w:val="a5"/>
      </w:pPr>
      <w:r>
        <w:rPr>
          <w:rStyle w:val="a7"/>
        </w:rPr>
        <w:footnoteRef/>
      </w:r>
      <w:r>
        <w:rPr>
          <w:sz w:val="20"/>
          <w:rtl/>
        </w:rPr>
        <w:t xml:space="preserve"> ס"ח התשכ"ט, עמ' 248.</w:t>
      </w:r>
    </w:p>
  </w:footnote>
  <w:footnote w:id="8">
    <w:p w:rsidR="00000000" w:rsidRDefault="0064729A" w:rsidP="00075AE0">
      <w:pPr>
        <w:pStyle w:val="a5"/>
      </w:pPr>
      <w:r>
        <w:rPr>
          <w:rStyle w:val="a7"/>
        </w:rPr>
        <w:footnoteRef/>
      </w:r>
      <w:r>
        <w:rPr>
          <w:rtl/>
        </w:rPr>
        <w:t xml:space="preserve"> ס"ח התש"ע, עמ' 428.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294397"/>
    <w:multiLevelType w:val="hybridMultilevel"/>
    <w:tmpl w:val="1F8A7376"/>
    <w:lvl w:ilvl="0" w:tplc="E13680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AEF6AF7"/>
    <w:multiLevelType w:val="hybridMultilevel"/>
    <w:tmpl w:val="AC7A776A"/>
    <w:lvl w:ilvl="0" w:tplc="77D0E1D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E892763"/>
    <w:multiLevelType w:val="hybridMultilevel"/>
    <w:tmpl w:val="1B82B1DA"/>
    <w:lvl w:ilvl="0" w:tplc="9168D4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549961lsCopyOriginal.docx"/>
    <w:docVar w:name="StartMode" w:val="3"/>
  </w:docVars>
  <w:rsids>
    <w:rsidRoot w:val="00DB7060"/>
    <w:rsid w:val="00015B27"/>
    <w:rsid w:val="00075AE0"/>
    <w:rsid w:val="000A542E"/>
    <w:rsid w:val="000F1F8C"/>
    <w:rsid w:val="001207F8"/>
    <w:rsid w:val="00121924"/>
    <w:rsid w:val="001279A8"/>
    <w:rsid w:val="0014195F"/>
    <w:rsid w:val="00152609"/>
    <w:rsid w:val="00153E1B"/>
    <w:rsid w:val="001A0623"/>
    <w:rsid w:val="001C1FB4"/>
    <w:rsid w:val="001C23B0"/>
    <w:rsid w:val="00203A7F"/>
    <w:rsid w:val="002111B1"/>
    <w:rsid w:val="002200A1"/>
    <w:rsid w:val="0022704F"/>
    <w:rsid w:val="002362BF"/>
    <w:rsid w:val="00241B97"/>
    <w:rsid w:val="002545F6"/>
    <w:rsid w:val="00254605"/>
    <w:rsid w:val="002728B4"/>
    <w:rsid w:val="00292712"/>
    <w:rsid w:val="002A3108"/>
    <w:rsid w:val="002C2E29"/>
    <w:rsid w:val="002E2526"/>
    <w:rsid w:val="003232A2"/>
    <w:rsid w:val="0034281C"/>
    <w:rsid w:val="003710F6"/>
    <w:rsid w:val="00386E88"/>
    <w:rsid w:val="003D74A0"/>
    <w:rsid w:val="004033D8"/>
    <w:rsid w:val="004A4733"/>
    <w:rsid w:val="004A6329"/>
    <w:rsid w:val="004D3876"/>
    <w:rsid w:val="004E4552"/>
    <w:rsid w:val="00553C9D"/>
    <w:rsid w:val="00574DEC"/>
    <w:rsid w:val="005755CB"/>
    <w:rsid w:val="005B064E"/>
    <w:rsid w:val="005D51AE"/>
    <w:rsid w:val="00630A92"/>
    <w:rsid w:val="00634A7C"/>
    <w:rsid w:val="00644940"/>
    <w:rsid w:val="0064729A"/>
    <w:rsid w:val="006723D3"/>
    <w:rsid w:val="006818A9"/>
    <w:rsid w:val="006C1D0D"/>
    <w:rsid w:val="006E1F0A"/>
    <w:rsid w:val="0070601E"/>
    <w:rsid w:val="00765F66"/>
    <w:rsid w:val="007D5A12"/>
    <w:rsid w:val="007E59F9"/>
    <w:rsid w:val="00810BCD"/>
    <w:rsid w:val="00812C98"/>
    <w:rsid w:val="00814D92"/>
    <w:rsid w:val="00836B37"/>
    <w:rsid w:val="00881846"/>
    <w:rsid w:val="00892135"/>
    <w:rsid w:val="00895449"/>
    <w:rsid w:val="00897879"/>
    <w:rsid w:val="008C2DDC"/>
    <w:rsid w:val="008C45D0"/>
    <w:rsid w:val="008F0D63"/>
    <w:rsid w:val="008F2C35"/>
    <w:rsid w:val="0091204F"/>
    <w:rsid w:val="009203DB"/>
    <w:rsid w:val="00933D10"/>
    <w:rsid w:val="00935520"/>
    <w:rsid w:val="00943386"/>
    <w:rsid w:val="00957589"/>
    <w:rsid w:val="00982412"/>
    <w:rsid w:val="00A168AF"/>
    <w:rsid w:val="00A26BD6"/>
    <w:rsid w:val="00A766E4"/>
    <w:rsid w:val="00A82CB7"/>
    <w:rsid w:val="00AC36F7"/>
    <w:rsid w:val="00AC60AE"/>
    <w:rsid w:val="00AF474A"/>
    <w:rsid w:val="00B35784"/>
    <w:rsid w:val="00B60CC0"/>
    <w:rsid w:val="00B652EC"/>
    <w:rsid w:val="00BC45FB"/>
    <w:rsid w:val="00BD2D78"/>
    <w:rsid w:val="00C45472"/>
    <w:rsid w:val="00C87D11"/>
    <w:rsid w:val="00C9176A"/>
    <w:rsid w:val="00CC6555"/>
    <w:rsid w:val="00D05EA2"/>
    <w:rsid w:val="00D11333"/>
    <w:rsid w:val="00D35AB8"/>
    <w:rsid w:val="00D843D5"/>
    <w:rsid w:val="00D867D7"/>
    <w:rsid w:val="00DB7060"/>
    <w:rsid w:val="00DE3153"/>
    <w:rsid w:val="00DF47B5"/>
    <w:rsid w:val="00E042F5"/>
    <w:rsid w:val="00E13C27"/>
    <w:rsid w:val="00E16E6B"/>
    <w:rsid w:val="00E31A81"/>
    <w:rsid w:val="00E33BBD"/>
    <w:rsid w:val="00E45103"/>
    <w:rsid w:val="00E665B9"/>
    <w:rsid w:val="00E7751E"/>
    <w:rsid w:val="00E906B8"/>
    <w:rsid w:val="00EA01E6"/>
    <w:rsid w:val="00EA758F"/>
    <w:rsid w:val="00ED4A6F"/>
    <w:rsid w:val="00EE6E9C"/>
    <w:rsid w:val="00EF32DA"/>
    <w:rsid w:val="00EF3A3A"/>
    <w:rsid w:val="00F268B5"/>
    <w:rsid w:val="00F4084A"/>
    <w:rsid w:val="00FF1B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link w:val="a4"/>
    <w:uiPriority w:val="99"/>
    <w:semiHidden/>
    <w:rsid w:val="00943386"/>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a5">
    <w:name w:val="footnote text"/>
    <w:basedOn w:val="Ragil"/>
    <w:link w:val="a6"/>
    <w:autoRedefine/>
    <w:uiPriority w:val="99"/>
    <w:rsid w:val="00943386"/>
    <w:pPr>
      <w:spacing w:line="240" w:lineRule="auto"/>
      <w:ind w:left="227" w:hanging="227"/>
    </w:pPr>
    <w:rPr>
      <w:sz w:val="14"/>
      <w:szCs w:val="20"/>
    </w:rPr>
  </w:style>
  <w:style w:type="character" w:customStyle="1" w:styleId="a6">
    <w:name w:val="טקסט הערת שוליים תו"/>
    <w:basedOn w:val="a0"/>
    <w:link w:val="a5"/>
    <w:uiPriority w:val="99"/>
    <w:locked/>
    <w:rsid w:val="00634A7C"/>
    <w:rPr>
      <w:rFonts w:ascii="Arial" w:eastAsia="Arial Unicode MS" w:hAnsi="Arial" w:cs="David"/>
      <w:color w:val="000000"/>
      <w:sz w:val="14"/>
      <w:lang w:eastAsia="ja-JP" w:bidi="he-IL"/>
    </w:rPr>
  </w:style>
  <w:style w:type="character" w:styleId="a7">
    <w:name w:val="footnote reference"/>
    <w:basedOn w:val="a0"/>
    <w:uiPriority w:val="99"/>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a8">
    <w:name w:val="endnote reference"/>
    <w:basedOn w:val="a0"/>
    <w:uiPriority w:val="99"/>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9">
    <w:name w:val="header"/>
    <w:basedOn w:val="a"/>
    <w:link w:val="aa"/>
    <w:uiPriority w:val="99"/>
    <w:rsid w:val="00943386"/>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943386"/>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1207F8"/>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customStyle="1" w:styleId="P00">
    <w:name w:val="P00"/>
    <w:rsid w:val="00634A7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heme="minorEastAsia"/>
      <w:noProof/>
      <w:szCs w:val="26"/>
      <w:lang w:eastAsia="he-IL"/>
    </w:rPr>
  </w:style>
  <w:style w:type="character" w:customStyle="1" w:styleId="default">
    <w:name w:val="default"/>
    <w:rsid w:val="00634A7C"/>
    <w:rPr>
      <w:rFonts w:ascii="Times New Roman" w:hAnsi="Times New Roman"/>
      <w:sz w:val="26"/>
    </w:rPr>
  </w:style>
  <w:style w:type="character" w:styleId="af0">
    <w:name w:val="annotation reference"/>
    <w:basedOn w:val="a0"/>
    <w:uiPriority w:val="99"/>
    <w:semiHidden/>
    <w:unhideWhenUsed/>
    <w:rsid w:val="00E906B8"/>
    <w:rPr>
      <w:rFonts w:cs="Times New Roman"/>
      <w:sz w:val="16"/>
      <w:szCs w:val="16"/>
    </w:rPr>
  </w:style>
  <w:style w:type="paragraph" w:styleId="af1">
    <w:name w:val="annotation text"/>
    <w:basedOn w:val="a"/>
    <w:link w:val="af2"/>
    <w:uiPriority w:val="99"/>
    <w:semiHidden/>
    <w:unhideWhenUsed/>
    <w:rsid w:val="00E906B8"/>
    <w:rPr>
      <w:sz w:val="20"/>
      <w:szCs w:val="20"/>
    </w:rPr>
  </w:style>
  <w:style w:type="character" w:customStyle="1" w:styleId="af2">
    <w:name w:val="טקסט הערה תו"/>
    <w:basedOn w:val="a0"/>
    <w:link w:val="af1"/>
    <w:uiPriority w:val="99"/>
    <w:semiHidden/>
    <w:locked/>
    <w:rsid w:val="00E906B8"/>
    <w:rPr>
      <w:rFonts w:ascii="Hadasa Roso SL" w:hAnsi="Hadasa Roso SL" w:cs="Hadasa Roso SL"/>
      <w:color w:val="000000"/>
      <w:spacing w:val="1"/>
      <w:lang w:eastAsia="ja-JP"/>
    </w:rPr>
  </w:style>
  <w:style w:type="paragraph" w:styleId="af3">
    <w:name w:val="Balloon Text"/>
    <w:basedOn w:val="a"/>
    <w:link w:val="af4"/>
    <w:uiPriority w:val="99"/>
    <w:semiHidden/>
    <w:unhideWhenUsed/>
    <w:rsid w:val="00E906B8"/>
    <w:pPr>
      <w:spacing w:before="0" w:line="240" w:lineRule="auto"/>
    </w:pPr>
    <w:rPr>
      <w:rFonts w:ascii="Tahoma" w:hAnsi="Tahoma" w:cs="Tahoma"/>
      <w:sz w:val="16"/>
      <w:szCs w:val="16"/>
    </w:rPr>
  </w:style>
  <w:style w:type="character" w:customStyle="1" w:styleId="af4">
    <w:name w:val="טקסט בלונים תו"/>
    <w:basedOn w:val="a0"/>
    <w:link w:val="af3"/>
    <w:uiPriority w:val="99"/>
    <w:semiHidden/>
    <w:locked/>
    <w:rsid w:val="00E906B8"/>
    <w:rPr>
      <w:rFonts w:ascii="Tahoma" w:hAnsi="Tahoma" w:cs="Tahoma"/>
      <w:color w:val="000000"/>
      <w:spacing w:val="1"/>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B2AC1A4A-24F9-4D42-8580-E6DB0DFF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7A3F0-B211-49C1-8383-942B6FCE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2735</Words>
  <Characters>14471</Characters>
  <Application>Microsoft Office Word</Application>
  <DocSecurity>0</DocSecurity>
  <Lines>241</Lines>
  <Paragraphs>95</Paragraphs>
  <ScaleCrop>false</ScaleCrop>
  <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נישואין אזרחיים בישראל, התשע"ד-2014</dc:title>
  <dc:creator>שלי יחימוביץ</dc:creator>
  <cp:lastModifiedBy>bb bt</cp:lastModifiedBy>
  <cp:revision>2</cp:revision>
  <cp:lastPrinted>2014-05-29T09:53:00Z</cp:lastPrinted>
  <dcterms:created xsi:type="dcterms:W3CDTF">2015-06-09T14:15:00Z</dcterms:created>
  <dcterms:modified xsi:type="dcterms:W3CDTF">2015-06-09T14:15:00Z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y fmtid="{D5CDD505-2E9C-101B-9397-08002B2CF9AE}" pid="3" name="Autonumber">
    <vt:lpwstr>280160</vt:lpwstr>
  </property>
  <property fmtid="{D5CDD505-2E9C-101B-9397-08002B2CF9AE}" pid="4" name="title">
    <vt:lpwstr>הצעת חוק נישואין אזרחיים בישראל, התשע"ד-2014</vt:lpwstr>
  </property>
  <property fmtid="{D5CDD505-2E9C-101B-9397-08002B2CF9AE}" pid="5" name="SDAuthor">
    <vt:lpwstr>יחימוביץ' שלי</vt:lpwstr>
  </property>
  <property fmtid="{D5CDD505-2E9C-101B-9397-08002B2CF9AE}" pid="6" name="SDDocDate">
    <vt:lpwstr>2014-05-26T17:42:51+03:00</vt:lpwstr>
  </property>
  <property fmtid="{D5CDD505-2E9C-101B-9397-08002B2CF9AE}" pid="7" name="LSITEMID">
    <vt:lpwstr>549961</vt:lpwstr>
  </property>
  <property fmtid="{D5CDD505-2E9C-101B-9397-08002B2CF9AE}" pid="8" name="LSSUBJECT">
    <vt:lpwstr>הצעת חוק נישואין אזרחיים בישראל, התשע"ד-2014</vt:lpwstr>
  </property>
  <property fmtid="{D5CDD505-2E9C-101B-9397-08002B2CF9AE}" pid="9" name="LSKNESSETID">
    <vt:lpwstr>19</vt:lpwstr>
  </property>
  <property fmtid="{D5CDD505-2E9C-101B-9397-08002B2CF9AE}" pid="10" name="USNAME">
    <vt:lpwstr>שלי יחימוביץ'</vt:lpwstr>
  </property>
  <property fmtid="{D5CDD505-2E9C-101B-9397-08002B2CF9AE}" pid="11" name="DTCOUNTER">
    <vt:lpwstr>837615</vt:lpwstr>
  </property>
  <property fmtid="{D5CDD505-2E9C-101B-9397-08002B2CF9AE}" pid="12" name="תאריך הנחה">
    <vt:lpwstr>06/02/2014</vt:lpwstr>
  </property>
  <property fmtid="{D5CDD505-2E9C-101B-9397-08002B2CF9AE}" pid="13" name="PLACE_DATE">
    <vt:lpwstr>02/06/2014 00:00:00</vt:lpwstr>
  </property>
  <property fmtid="{D5CDD505-2E9C-101B-9397-08002B2CF9AE}" pid="14" name="VAADA">
    <vt:lpwstr/>
  </property>
  <property fmtid="{D5CDD505-2E9C-101B-9397-08002B2CF9AE}" pid="15" name="YOZEMHATZAA_CHAKLIST">
    <vt:lpwstr>שלי יחימוביץ', מיכל בירן, משה מזרחי, מיקי רוזנטל, נחמן שי, איציק שמולי, עמר בר-לב, אבישי ברוורמן, סתיו שפיר, יחיאל חיליק בר, איתן כבל</vt:lpwstr>
  </property>
  <property fmtid="{D5CDD505-2E9C-101B-9397-08002B2CF9AE}" pid="16" name="YOZEMID">
    <vt:lpwstr>000004405, 000023570, 000023571, 000023569, 000012961, 000023568, 000023673, 000004407, 000023566, 000009615, 000000445</vt:lpwstr>
  </property>
  <property fmtid="{D5CDD505-2E9C-101B-9397-08002B2CF9AE}" pid="17" name="PROPOSER">
    <vt:lpwstr/>
  </property>
  <property fmtid="{D5CDD505-2E9C-101B-9397-08002B2CF9AE}" pid="18" name="PROPOSERID">
    <vt:lpwstr/>
  </property>
  <property fmtid="{D5CDD505-2E9C-101B-9397-08002B2CF9AE}" pid="19" name="MISHATZAATCHOK">
    <vt:lpwstr>פ/2521/19</vt:lpwstr>
  </property>
</Properties>
</file>