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7F3E53">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2020214</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שולי מועלם-רפאלי</w:t>
      </w:r>
      <w:r>
        <w:br/>
      </w:r>
      <w:r>
        <w:rPr>
          <w:rFonts w:hint="cs"/>
          <w:b/>
          <w:bCs/>
          <w:rtl/>
        </w:rPr>
        <w:t xml:space="preserve"> </w:t>
      </w:r>
      <w:r>
        <w:tab/>
      </w:r>
      <w:r>
        <w:tab/>
      </w:r>
      <w:r>
        <w:tab/>
      </w:r>
      <w:r>
        <w:tab/>
      </w:r>
      <w:r>
        <w:rPr>
          <w:rFonts w:hint="cs"/>
          <w:b/>
          <w:bCs/>
          <w:rtl/>
        </w:rPr>
        <w:t>מרדכי יוגב</w:t>
      </w:r>
      <w:r>
        <w:br/>
      </w:r>
      <w:r>
        <w:rPr>
          <w:rFonts w:hint="cs"/>
          <w:b/>
          <w:bCs/>
          <w:rtl/>
        </w:rPr>
        <w:t xml:space="preserve"> </w:t>
      </w:r>
      <w:r>
        <w:tab/>
      </w:r>
      <w:r>
        <w:tab/>
      </w:r>
      <w:r>
        <w:tab/>
      </w:r>
      <w:r>
        <w:tab/>
      </w:r>
      <w:r>
        <w:rPr>
          <w:rFonts w:hint="cs"/>
          <w:b/>
          <w:bCs/>
          <w:rtl/>
        </w:rPr>
        <w:t>אורלי לוי אבקסיס</w:t>
      </w:r>
      <w:bookmarkEnd w:id="3"/>
    </w:p>
    <w:p w14:paraId="7F6961AA" w14:textId="7B10E691" w:rsidR="00E13C27" w:rsidRPr="00CF1AA2" w:rsidRDefault="007D585A" w:rsidP="00140694">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p>
    <w:p w14:paraId="34DB4103" w14:textId="42431637" w:rsidR="00904591" w:rsidRPr="00904591" w:rsidRDefault="00266D86" w:rsidP="00140694">
      <w:pPr>
        <w:pStyle w:val="David"/>
        <w:spacing w:before="0" w:line="360" w:lineRule="auto"/>
        <w:ind w:left="3544"/>
        <w:rPr>
          <w:sz w:val="4"/>
          <w:szCs w:val="4"/>
          <w:rtl/>
        </w:rPr>
      </w:pPr>
      <w:r>
        <w:t>____</w:t>
      </w:r>
      <w:r w:rsidR="00E374F2">
        <w:t>__</w:t>
      </w:r>
      <w:r>
        <w:t>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5" w:name="Private_Number"/>
      <w:r>
        <w:rPr>
          <w:rFonts w:hint="cs"/>
          <w:rtl/>
        </w:rPr>
        <w:t>פ/4715/20</w:t>
      </w:r>
      <w:bookmarkEnd w:id="5"/>
    </w:p>
    <w:p w14:paraId="7F6961AE" w14:textId="61FE76F9" w:rsidR="00E13C27" w:rsidRDefault="00A443CF" w:rsidP="008F23BF">
      <w:pPr>
        <w:pStyle w:val="HeadHatzaotHok"/>
        <w:rPr>
          <w:rtl/>
        </w:rPr>
      </w:pPr>
      <w:bookmarkStart w:id="6" w:name="LGS_Subject"/>
      <w:r>
        <w:rPr>
          <w:rFonts w:hint="cs"/>
          <w:rtl/>
        </w:rPr>
        <w:t xml:space="preserve">הצעת </w:t>
      </w:r>
      <w:r w:rsidR="00F1066A">
        <w:rPr>
          <w:rFonts w:hint="cs"/>
          <w:rtl/>
        </w:rPr>
        <w:t xml:space="preserve">חוק </w:t>
      </w:r>
      <w:r>
        <w:rPr>
          <w:rFonts w:hint="cs"/>
          <w:rtl/>
        </w:rPr>
        <w:t>מינוי ייצוג משפטי לקטין (תיקוני חקיקה), התשע"ח</w:t>
      </w:r>
      <w:bookmarkEnd w:id="6"/>
      <w:r w:rsidR="008F23BF">
        <w:rPr>
          <w:rFonts w:hint="eastAsia"/>
          <w:rtl/>
        </w:rPr>
        <w:t>–</w:t>
      </w:r>
      <w:r w:rsidR="008F23BF">
        <w:rPr>
          <w:rFonts w:hint="cs"/>
          <w:rtl/>
        </w:rPr>
        <w:t>2017</w:t>
      </w: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481"/>
        <w:gridCol w:w="143"/>
        <w:gridCol w:w="593"/>
        <w:gridCol w:w="31"/>
        <w:gridCol w:w="4649"/>
      </w:tblGrid>
      <w:tr w:rsidR="006013AD" w14:paraId="035EEF3D" w14:textId="77777777" w:rsidTr="00F9220F">
        <w:trPr>
          <w:cantSplit/>
        </w:trPr>
        <w:tc>
          <w:tcPr>
            <w:tcW w:w="1869" w:type="dxa"/>
          </w:tcPr>
          <w:p w14:paraId="3863FF98" w14:textId="4ACED6AE" w:rsidR="006013AD" w:rsidRDefault="00F1066A" w:rsidP="006013AD">
            <w:pPr>
              <w:pStyle w:val="TableSideHeading"/>
              <w:keepLines w:val="0"/>
              <w:rPr>
                <w:rtl/>
              </w:rPr>
            </w:pPr>
            <w:r>
              <w:rPr>
                <w:rFonts w:hint="cs"/>
                <w:rtl/>
              </w:rPr>
              <w:t>תיקון חוק הנוער (טיפול והשגחה)</w:t>
            </w:r>
          </w:p>
        </w:tc>
        <w:tc>
          <w:tcPr>
            <w:tcW w:w="624" w:type="dxa"/>
          </w:tcPr>
          <w:p w14:paraId="6F513EF6" w14:textId="56B7772E" w:rsidR="006013AD" w:rsidRDefault="006013AD" w:rsidP="006013AD">
            <w:pPr>
              <w:pStyle w:val="TableText"/>
              <w:keepLines w:val="0"/>
              <w:rPr>
                <w:rtl/>
              </w:rPr>
            </w:pPr>
            <w:r>
              <w:rPr>
                <w:rFonts w:hint="cs"/>
                <w:rtl/>
              </w:rPr>
              <w:t>1.</w:t>
            </w:r>
          </w:p>
        </w:tc>
        <w:tc>
          <w:tcPr>
            <w:tcW w:w="7145" w:type="dxa"/>
            <w:gridSpan w:val="7"/>
          </w:tcPr>
          <w:p w14:paraId="1AE94DEB" w14:textId="1D22D349" w:rsidR="006013AD" w:rsidRPr="006013AD" w:rsidRDefault="00A245A4" w:rsidP="00EE3F5B">
            <w:pPr>
              <w:pStyle w:val="TableHead"/>
              <w:jc w:val="both"/>
              <w:rPr>
                <w:b w:val="0"/>
                <w:bCs w:val="0"/>
              </w:rPr>
            </w:pPr>
            <w:r>
              <w:rPr>
                <w:rFonts w:hint="cs"/>
                <w:b w:val="0"/>
                <w:bCs w:val="0"/>
                <w:rtl/>
              </w:rPr>
              <w:t>ב</w:t>
            </w:r>
            <w:r w:rsidR="006013AD" w:rsidRPr="006013AD">
              <w:rPr>
                <w:rFonts w:hint="cs"/>
                <w:b w:val="0"/>
                <w:bCs w:val="0"/>
                <w:rtl/>
              </w:rPr>
              <w:t>חוק הנוער (טיפול והשגחה), התש"ך</w:t>
            </w:r>
            <w:r w:rsidR="00EE3F5B">
              <w:rPr>
                <w:rFonts w:hint="eastAsia"/>
                <w:b w:val="0"/>
                <w:bCs w:val="0"/>
                <w:rtl/>
              </w:rPr>
              <w:t>–</w:t>
            </w:r>
            <w:r w:rsidR="00EE3F5B">
              <w:rPr>
                <w:rFonts w:hint="cs"/>
                <w:b w:val="0"/>
                <w:bCs w:val="0"/>
                <w:rtl/>
              </w:rPr>
              <w:t xml:space="preserve"> </w:t>
            </w:r>
            <w:r w:rsidR="006013AD" w:rsidRPr="006013AD">
              <w:rPr>
                <w:rFonts w:hint="cs"/>
                <w:b w:val="0"/>
                <w:bCs w:val="0"/>
                <w:rtl/>
              </w:rPr>
              <w:t>1960</w:t>
            </w:r>
            <w:r w:rsidR="006013AD" w:rsidRPr="006013AD">
              <w:rPr>
                <w:rStyle w:val="a6"/>
                <w:b w:val="0"/>
                <w:bCs w:val="0"/>
                <w:rtl/>
              </w:rPr>
              <w:footnoteReference w:id="2"/>
            </w:r>
            <w:r w:rsidR="006013AD" w:rsidRPr="006013AD">
              <w:rPr>
                <w:rFonts w:hint="cs"/>
                <w:b w:val="0"/>
                <w:bCs w:val="0"/>
                <w:rtl/>
              </w:rPr>
              <w:t xml:space="preserve"> </w:t>
            </w:r>
            <w:r w:rsidR="00EE3F5B">
              <w:rPr>
                <w:rFonts w:hint="cs"/>
                <w:b w:val="0"/>
                <w:bCs w:val="0"/>
                <w:rtl/>
              </w:rPr>
              <w:t xml:space="preserve"> </w:t>
            </w:r>
            <w:r w:rsidR="00EE3F5B">
              <w:rPr>
                <w:rFonts w:hint="eastAsia"/>
                <w:b w:val="0"/>
                <w:bCs w:val="0"/>
              </w:rPr>
              <w:t>–</w:t>
            </w:r>
          </w:p>
        </w:tc>
      </w:tr>
      <w:tr w:rsidR="00F1066A" w14:paraId="24299039" w14:textId="77777777" w:rsidTr="00F1066A">
        <w:trPr>
          <w:cantSplit/>
          <w:trHeight w:val="60"/>
        </w:trPr>
        <w:tc>
          <w:tcPr>
            <w:tcW w:w="1869" w:type="dxa"/>
          </w:tcPr>
          <w:p w14:paraId="02CE8792" w14:textId="77777777" w:rsidR="00F1066A" w:rsidRDefault="00F1066A">
            <w:pPr>
              <w:pStyle w:val="TableSideHeading"/>
            </w:pPr>
          </w:p>
        </w:tc>
        <w:tc>
          <w:tcPr>
            <w:tcW w:w="624" w:type="dxa"/>
          </w:tcPr>
          <w:p w14:paraId="4833933A" w14:textId="77777777" w:rsidR="00F1066A" w:rsidRDefault="00F1066A">
            <w:pPr>
              <w:pStyle w:val="TableText"/>
            </w:pPr>
          </w:p>
        </w:tc>
        <w:tc>
          <w:tcPr>
            <w:tcW w:w="624" w:type="dxa"/>
          </w:tcPr>
          <w:p w14:paraId="7DA3F1D5" w14:textId="50A0DEE9" w:rsidR="00F1066A" w:rsidRDefault="00F1066A">
            <w:pPr>
              <w:pStyle w:val="TableText"/>
            </w:pPr>
            <w:r>
              <w:rPr>
                <w:rFonts w:hint="cs"/>
                <w:rtl/>
              </w:rPr>
              <w:t>(1)</w:t>
            </w:r>
          </w:p>
        </w:tc>
        <w:tc>
          <w:tcPr>
            <w:tcW w:w="6521" w:type="dxa"/>
            <w:gridSpan w:val="6"/>
          </w:tcPr>
          <w:p w14:paraId="15818074" w14:textId="2B3EEBB4" w:rsidR="00F1066A" w:rsidRDefault="00F1066A">
            <w:pPr>
              <w:pStyle w:val="TableBlock"/>
            </w:pPr>
            <w:r w:rsidRPr="006013AD">
              <w:rPr>
                <w:rFonts w:hint="cs"/>
                <w:rtl/>
              </w:rPr>
              <w:t>במקום סעיף 8ג יבוא:</w:t>
            </w:r>
          </w:p>
        </w:tc>
      </w:tr>
      <w:tr w:rsidR="009700B6" w14:paraId="1A958664" w14:textId="77777777" w:rsidTr="00F9220F">
        <w:trPr>
          <w:cantSplit/>
        </w:trPr>
        <w:tc>
          <w:tcPr>
            <w:tcW w:w="1869" w:type="dxa"/>
          </w:tcPr>
          <w:p w14:paraId="7C9727B8" w14:textId="579EC5F8" w:rsidR="009700B6" w:rsidRDefault="009700B6" w:rsidP="009700B6">
            <w:pPr>
              <w:pStyle w:val="TableSideHeading"/>
              <w:keepLines w:val="0"/>
            </w:pPr>
          </w:p>
        </w:tc>
        <w:tc>
          <w:tcPr>
            <w:tcW w:w="624" w:type="dxa"/>
          </w:tcPr>
          <w:p w14:paraId="4DDBC41D" w14:textId="77777777" w:rsidR="009700B6" w:rsidRDefault="009700B6" w:rsidP="009700B6">
            <w:pPr>
              <w:pStyle w:val="TableText"/>
              <w:keepLines w:val="0"/>
            </w:pPr>
          </w:p>
        </w:tc>
        <w:tc>
          <w:tcPr>
            <w:tcW w:w="1872" w:type="dxa"/>
            <w:gridSpan w:val="4"/>
          </w:tcPr>
          <w:p w14:paraId="02FF798F" w14:textId="58B883D4" w:rsidR="009700B6" w:rsidRDefault="009700B6" w:rsidP="009700B6">
            <w:pPr>
              <w:pStyle w:val="TableInnerSideHeading"/>
            </w:pPr>
            <w:r w:rsidRPr="00EE3F5B">
              <w:t>"</w:t>
            </w:r>
            <w:r w:rsidRPr="00BC1DC2">
              <w:rPr>
                <w:rtl/>
              </w:rPr>
              <w:t>מינוי מייצג לקטין</w:t>
            </w:r>
          </w:p>
        </w:tc>
        <w:tc>
          <w:tcPr>
            <w:tcW w:w="624" w:type="dxa"/>
            <w:gridSpan w:val="2"/>
          </w:tcPr>
          <w:p w14:paraId="1DE72171" w14:textId="7630DE74" w:rsidR="009700B6" w:rsidRDefault="009700B6" w:rsidP="009700B6">
            <w:pPr>
              <w:pStyle w:val="TableText"/>
            </w:pPr>
            <w:r>
              <w:rPr>
                <w:rFonts w:hint="cs"/>
                <w:rtl/>
              </w:rPr>
              <w:t>8ג.</w:t>
            </w:r>
          </w:p>
        </w:tc>
        <w:tc>
          <w:tcPr>
            <w:tcW w:w="4649" w:type="dxa"/>
          </w:tcPr>
          <w:p w14:paraId="46FAB243" w14:textId="5AAD306F" w:rsidR="009700B6" w:rsidRDefault="009700B6" w:rsidP="00EE3F5B">
            <w:pPr>
              <w:pStyle w:val="TableBlock"/>
            </w:pPr>
            <w:r w:rsidRPr="009700B6">
              <w:rPr>
                <w:rtl/>
              </w:rPr>
              <w:t>(א</w:t>
            </w:r>
            <w:r>
              <w:rPr>
                <w:rtl/>
              </w:rPr>
              <w:t>)</w:t>
            </w:r>
            <w:r>
              <w:rPr>
                <w:rtl/>
              </w:rPr>
              <w:tab/>
            </w:r>
            <w:r w:rsidRPr="00A3561F">
              <w:rPr>
                <w:rFonts w:hint="cs"/>
                <w:rtl/>
              </w:rPr>
              <w:t xml:space="preserve">בית משפט הדן בעניינו של קטין </w:t>
            </w:r>
            <w:r>
              <w:rPr>
                <w:rFonts w:hint="cs"/>
                <w:rtl/>
              </w:rPr>
              <w:t xml:space="preserve">בהליכים לפי חוק זה, </w:t>
            </w:r>
            <w:r w:rsidRPr="00A3561F">
              <w:rPr>
                <w:rFonts w:hint="cs"/>
                <w:rtl/>
              </w:rPr>
              <w:t>ימנה לקטין עורך דין שייצגו, בהתאם להוראות חוק הסיוע המשפטי, התשל"ב</w:t>
            </w:r>
            <w:r w:rsidR="00F1066A">
              <w:rPr>
                <w:rFonts w:hint="eastAsia"/>
                <w:rtl/>
              </w:rPr>
              <w:t>–</w:t>
            </w:r>
            <w:r w:rsidRPr="00A3561F">
              <w:rPr>
                <w:rFonts w:hint="cs"/>
                <w:rtl/>
              </w:rPr>
              <w:t>1972</w:t>
            </w:r>
            <w:r w:rsidRPr="00B82B1B">
              <w:rPr>
                <w:vertAlign w:val="superscript"/>
                <w:rtl/>
              </w:rPr>
              <w:footnoteReference w:id="3"/>
            </w:r>
            <w:r w:rsidRPr="00A3561F">
              <w:rPr>
                <w:rFonts w:hint="cs"/>
                <w:rtl/>
              </w:rPr>
              <w:t xml:space="preserve"> </w:t>
            </w:r>
            <w:r w:rsidR="008F23BF">
              <w:rPr>
                <w:rFonts w:hint="cs"/>
                <w:rtl/>
              </w:rPr>
              <w:t xml:space="preserve"> </w:t>
            </w:r>
            <w:r w:rsidR="008F23BF" w:rsidRPr="00A3561F">
              <w:rPr>
                <w:rFonts w:hint="cs"/>
                <w:rtl/>
              </w:rPr>
              <w:t>(להלן</w:t>
            </w:r>
            <w:r w:rsidR="00F1066A">
              <w:rPr>
                <w:rFonts w:hint="cs"/>
                <w:rtl/>
              </w:rPr>
              <w:t xml:space="preserve"> </w:t>
            </w:r>
            <w:r w:rsidR="00F1066A">
              <w:rPr>
                <w:rFonts w:hint="eastAsia"/>
                <w:rtl/>
              </w:rPr>
              <w:t>–</w:t>
            </w:r>
            <w:r w:rsidR="00F1066A">
              <w:rPr>
                <w:rFonts w:hint="cs"/>
                <w:rtl/>
              </w:rPr>
              <w:t xml:space="preserve"> מייצג</w:t>
            </w:r>
            <w:r w:rsidR="008F23BF" w:rsidRPr="00A3561F">
              <w:rPr>
                <w:rFonts w:hint="cs"/>
                <w:rtl/>
              </w:rPr>
              <w:t>)</w:t>
            </w:r>
            <w:r w:rsidR="00EE3F5B">
              <w:rPr>
                <w:rFonts w:hint="cs"/>
                <w:rtl/>
              </w:rPr>
              <w:t>,</w:t>
            </w:r>
            <w:r w:rsidR="008F23BF">
              <w:rPr>
                <w:rFonts w:hint="cs"/>
                <w:rtl/>
              </w:rPr>
              <w:t xml:space="preserve"> </w:t>
            </w:r>
            <w:r w:rsidRPr="00A3561F">
              <w:rPr>
                <w:rFonts w:hint="cs"/>
                <w:rtl/>
              </w:rPr>
              <w:t>אלא אם</w:t>
            </w:r>
            <w:r w:rsidR="00EE3F5B">
              <w:rPr>
                <w:rFonts w:hint="cs"/>
                <w:rtl/>
              </w:rPr>
              <w:t xml:space="preserve"> כן</w:t>
            </w:r>
            <w:r w:rsidRPr="00A3561F">
              <w:rPr>
                <w:rFonts w:hint="cs"/>
                <w:rtl/>
              </w:rPr>
              <w:t xml:space="preserve"> </w:t>
            </w:r>
            <w:r>
              <w:rPr>
                <w:rFonts w:hint="cs"/>
                <w:rtl/>
              </w:rPr>
              <w:t>הקטין בחר להיות מיוצג על ידי עורך דין מטעמו.</w:t>
            </w:r>
          </w:p>
        </w:tc>
      </w:tr>
      <w:tr w:rsidR="006B45FB" w14:paraId="5B1DB7DF" w14:textId="77777777" w:rsidTr="00F9220F">
        <w:trPr>
          <w:cantSplit/>
        </w:trPr>
        <w:tc>
          <w:tcPr>
            <w:tcW w:w="1869" w:type="dxa"/>
          </w:tcPr>
          <w:p w14:paraId="765D2EA3" w14:textId="0D775187" w:rsidR="006B45FB" w:rsidRDefault="006B45FB" w:rsidP="006B45FB">
            <w:pPr>
              <w:pStyle w:val="TableSideHeading"/>
            </w:pPr>
          </w:p>
        </w:tc>
        <w:tc>
          <w:tcPr>
            <w:tcW w:w="624" w:type="dxa"/>
          </w:tcPr>
          <w:p w14:paraId="6FD30A04" w14:textId="77777777" w:rsidR="006B45FB" w:rsidRDefault="006B45FB" w:rsidP="006B45FB">
            <w:pPr>
              <w:pStyle w:val="TableText"/>
            </w:pPr>
          </w:p>
        </w:tc>
        <w:tc>
          <w:tcPr>
            <w:tcW w:w="624" w:type="dxa"/>
          </w:tcPr>
          <w:p w14:paraId="0E341D63" w14:textId="77777777" w:rsidR="006B45FB" w:rsidRDefault="006B45FB" w:rsidP="006B45FB">
            <w:pPr>
              <w:pStyle w:val="TableText"/>
            </w:pPr>
          </w:p>
        </w:tc>
        <w:tc>
          <w:tcPr>
            <w:tcW w:w="624" w:type="dxa"/>
          </w:tcPr>
          <w:p w14:paraId="00582208" w14:textId="77777777" w:rsidR="006B45FB" w:rsidRDefault="006B45FB" w:rsidP="006B45FB">
            <w:pPr>
              <w:pStyle w:val="TableText"/>
            </w:pPr>
          </w:p>
        </w:tc>
        <w:tc>
          <w:tcPr>
            <w:tcW w:w="624" w:type="dxa"/>
            <w:gridSpan w:val="2"/>
          </w:tcPr>
          <w:p w14:paraId="501E2FD2" w14:textId="77777777" w:rsidR="006B45FB" w:rsidRDefault="006B45FB" w:rsidP="006B45FB">
            <w:pPr>
              <w:pStyle w:val="TableText"/>
            </w:pPr>
          </w:p>
        </w:tc>
        <w:tc>
          <w:tcPr>
            <w:tcW w:w="624" w:type="dxa"/>
            <w:gridSpan w:val="2"/>
          </w:tcPr>
          <w:p w14:paraId="311D7DDB" w14:textId="77777777" w:rsidR="006B45FB" w:rsidRDefault="006B45FB" w:rsidP="006B45FB">
            <w:pPr>
              <w:pStyle w:val="TableText"/>
            </w:pPr>
          </w:p>
        </w:tc>
        <w:tc>
          <w:tcPr>
            <w:tcW w:w="4649" w:type="dxa"/>
          </w:tcPr>
          <w:p w14:paraId="5372185E" w14:textId="074C5800" w:rsidR="006B45FB" w:rsidRDefault="006B45FB" w:rsidP="00EE3F5B">
            <w:pPr>
              <w:pStyle w:val="TableBlock"/>
            </w:pPr>
            <w:r>
              <w:rPr>
                <w:rFonts w:hint="cs"/>
                <w:rtl/>
              </w:rPr>
              <w:t>(ב)</w:t>
            </w:r>
            <w:r>
              <w:rPr>
                <w:rtl/>
              </w:rPr>
              <w:tab/>
            </w:r>
            <w:r w:rsidRPr="00A3561F">
              <w:rPr>
                <w:rFonts w:hint="cs"/>
                <w:rtl/>
              </w:rPr>
              <w:t xml:space="preserve">מינה בית המשפט מייצג לקטין רשאי הוא לקבוע כי </w:t>
            </w:r>
            <w:r w:rsidR="008F23BF">
              <w:rPr>
                <w:rFonts w:hint="cs"/>
                <w:rtl/>
              </w:rPr>
              <w:t>הוא</w:t>
            </w:r>
            <w:r w:rsidRPr="00A3561F">
              <w:rPr>
                <w:rFonts w:hint="cs"/>
                <w:rtl/>
              </w:rPr>
              <w:t xml:space="preserve"> ייצג את הקטין גם בעני</w:t>
            </w:r>
            <w:r>
              <w:rPr>
                <w:rFonts w:hint="cs"/>
                <w:rtl/>
              </w:rPr>
              <w:t>י</w:t>
            </w:r>
            <w:r w:rsidRPr="00A3561F">
              <w:rPr>
                <w:rFonts w:hint="cs"/>
                <w:rtl/>
              </w:rPr>
              <w:t xml:space="preserve">נים הנובעים </w:t>
            </w:r>
            <w:r w:rsidR="00EE3F5B">
              <w:rPr>
                <w:rFonts w:hint="cs"/>
                <w:rtl/>
              </w:rPr>
              <w:t>מ</w:t>
            </w:r>
            <w:r w:rsidRPr="00A3561F">
              <w:rPr>
                <w:rFonts w:hint="cs"/>
                <w:rtl/>
              </w:rPr>
              <w:t>ההליך שבפניו, אם מצא כי הדבר דרוש לטובת הקטין ולשם שמירה על ענייניו.</w:t>
            </w:r>
          </w:p>
        </w:tc>
      </w:tr>
      <w:tr w:rsidR="004433E9" w14:paraId="5FF89E97" w14:textId="77777777" w:rsidTr="00F9220F">
        <w:trPr>
          <w:cantSplit/>
        </w:trPr>
        <w:tc>
          <w:tcPr>
            <w:tcW w:w="1869" w:type="dxa"/>
          </w:tcPr>
          <w:p w14:paraId="1904257F" w14:textId="77777777" w:rsidR="004433E9" w:rsidRDefault="004433E9" w:rsidP="006B45FB">
            <w:pPr>
              <w:pStyle w:val="TableSideHeading"/>
            </w:pPr>
          </w:p>
        </w:tc>
        <w:tc>
          <w:tcPr>
            <w:tcW w:w="624" w:type="dxa"/>
          </w:tcPr>
          <w:p w14:paraId="4F1F2CFD" w14:textId="77777777" w:rsidR="004433E9" w:rsidRDefault="004433E9" w:rsidP="004433E9">
            <w:pPr>
              <w:pStyle w:val="TableText"/>
            </w:pPr>
          </w:p>
        </w:tc>
        <w:tc>
          <w:tcPr>
            <w:tcW w:w="624" w:type="dxa"/>
          </w:tcPr>
          <w:p w14:paraId="7A0DB40F" w14:textId="77777777" w:rsidR="004433E9" w:rsidRDefault="004433E9" w:rsidP="006B45FB">
            <w:pPr>
              <w:pStyle w:val="TableText"/>
            </w:pPr>
          </w:p>
        </w:tc>
        <w:tc>
          <w:tcPr>
            <w:tcW w:w="624" w:type="dxa"/>
          </w:tcPr>
          <w:p w14:paraId="7AC18E98" w14:textId="77777777" w:rsidR="004433E9" w:rsidRDefault="004433E9" w:rsidP="006B45FB">
            <w:pPr>
              <w:pStyle w:val="TableText"/>
            </w:pPr>
          </w:p>
        </w:tc>
        <w:tc>
          <w:tcPr>
            <w:tcW w:w="624" w:type="dxa"/>
            <w:gridSpan w:val="2"/>
          </w:tcPr>
          <w:p w14:paraId="6E8853D4" w14:textId="77777777" w:rsidR="004433E9" w:rsidRDefault="004433E9" w:rsidP="006B45FB">
            <w:pPr>
              <w:pStyle w:val="TableText"/>
            </w:pPr>
          </w:p>
        </w:tc>
        <w:tc>
          <w:tcPr>
            <w:tcW w:w="624" w:type="dxa"/>
            <w:gridSpan w:val="2"/>
          </w:tcPr>
          <w:p w14:paraId="7F04DA88" w14:textId="77777777" w:rsidR="004433E9" w:rsidRDefault="004433E9" w:rsidP="006B45FB">
            <w:pPr>
              <w:pStyle w:val="TableText"/>
            </w:pPr>
          </w:p>
        </w:tc>
        <w:tc>
          <w:tcPr>
            <w:tcW w:w="4649" w:type="dxa"/>
          </w:tcPr>
          <w:p w14:paraId="7840909C" w14:textId="15E7BC54" w:rsidR="004433E9" w:rsidRDefault="004433E9" w:rsidP="004433E9">
            <w:pPr>
              <w:pStyle w:val="TableBlock"/>
              <w:rPr>
                <w:rtl/>
              </w:rPr>
            </w:pPr>
            <w:r>
              <w:rPr>
                <w:rFonts w:hint="cs"/>
                <w:rtl/>
              </w:rPr>
              <w:t>(ג)</w:t>
            </w:r>
            <w:r>
              <w:rPr>
                <w:rtl/>
              </w:rPr>
              <w:tab/>
            </w:r>
            <w:r w:rsidRPr="004433E9">
              <w:rPr>
                <w:rtl/>
              </w:rPr>
              <w:t>מינה בית המשפט מייצג לקטין, יהיה הקטין צד להליך, לרבות לעניין זכות הערעור.</w:t>
            </w:r>
            <w:r>
              <w:rPr>
                <w:rtl/>
              </w:rPr>
              <w:tab/>
            </w:r>
          </w:p>
        </w:tc>
      </w:tr>
      <w:tr w:rsidR="004433E9" w14:paraId="30D726E2" w14:textId="77777777" w:rsidTr="00F9220F">
        <w:trPr>
          <w:cantSplit/>
        </w:trPr>
        <w:tc>
          <w:tcPr>
            <w:tcW w:w="1869" w:type="dxa"/>
          </w:tcPr>
          <w:p w14:paraId="12461301" w14:textId="77777777" w:rsidR="004433E9" w:rsidRDefault="004433E9" w:rsidP="006B45FB">
            <w:pPr>
              <w:pStyle w:val="TableSideHeading"/>
              <w:rPr>
                <w:rtl/>
              </w:rPr>
            </w:pPr>
          </w:p>
        </w:tc>
        <w:tc>
          <w:tcPr>
            <w:tcW w:w="624" w:type="dxa"/>
          </w:tcPr>
          <w:p w14:paraId="2553CD47" w14:textId="77777777" w:rsidR="004433E9" w:rsidRDefault="004433E9" w:rsidP="004433E9">
            <w:pPr>
              <w:pStyle w:val="TableText"/>
            </w:pPr>
          </w:p>
        </w:tc>
        <w:tc>
          <w:tcPr>
            <w:tcW w:w="624" w:type="dxa"/>
          </w:tcPr>
          <w:p w14:paraId="1AF6F450" w14:textId="77777777" w:rsidR="004433E9" w:rsidRDefault="004433E9" w:rsidP="006B45FB">
            <w:pPr>
              <w:pStyle w:val="TableText"/>
            </w:pPr>
          </w:p>
        </w:tc>
        <w:tc>
          <w:tcPr>
            <w:tcW w:w="624" w:type="dxa"/>
          </w:tcPr>
          <w:p w14:paraId="0F075A89" w14:textId="77777777" w:rsidR="004433E9" w:rsidRDefault="004433E9" w:rsidP="006B45FB">
            <w:pPr>
              <w:pStyle w:val="TableText"/>
            </w:pPr>
          </w:p>
        </w:tc>
        <w:tc>
          <w:tcPr>
            <w:tcW w:w="624" w:type="dxa"/>
            <w:gridSpan w:val="2"/>
          </w:tcPr>
          <w:p w14:paraId="2828F976" w14:textId="77777777" w:rsidR="004433E9" w:rsidRDefault="004433E9" w:rsidP="006B45FB">
            <w:pPr>
              <w:pStyle w:val="TableText"/>
            </w:pPr>
          </w:p>
        </w:tc>
        <w:tc>
          <w:tcPr>
            <w:tcW w:w="624" w:type="dxa"/>
            <w:gridSpan w:val="2"/>
          </w:tcPr>
          <w:p w14:paraId="46F6E67A" w14:textId="77777777" w:rsidR="004433E9" w:rsidRDefault="004433E9" w:rsidP="006B45FB">
            <w:pPr>
              <w:pStyle w:val="TableText"/>
            </w:pPr>
          </w:p>
        </w:tc>
        <w:tc>
          <w:tcPr>
            <w:tcW w:w="4649" w:type="dxa"/>
          </w:tcPr>
          <w:p w14:paraId="08F4C285" w14:textId="1606B9A7" w:rsidR="004433E9" w:rsidRDefault="004433E9" w:rsidP="008F23BF">
            <w:pPr>
              <w:pStyle w:val="TableBlock"/>
              <w:rPr>
                <w:rtl/>
              </w:rPr>
            </w:pPr>
            <w:r>
              <w:rPr>
                <w:rFonts w:hint="cs"/>
                <w:rtl/>
              </w:rPr>
              <w:t xml:space="preserve">(ד) </w:t>
            </w:r>
            <w:r>
              <w:rPr>
                <w:rtl/>
              </w:rPr>
              <w:tab/>
            </w:r>
            <w:r w:rsidRPr="004433E9">
              <w:rPr>
                <w:rtl/>
              </w:rPr>
              <w:t xml:space="preserve">מייצג לקטין יהיה עורך דין שעבר הכשרה מיוחדת מטעם הסיוע המשפטי </w:t>
            </w:r>
            <w:r w:rsidR="008F23BF">
              <w:rPr>
                <w:rFonts w:hint="cs"/>
                <w:rtl/>
              </w:rPr>
              <w:t xml:space="preserve">בנושא </w:t>
            </w:r>
            <w:r w:rsidRPr="004433E9">
              <w:rPr>
                <w:rtl/>
              </w:rPr>
              <w:t>ייצוג קטינים.</w:t>
            </w:r>
            <w:r>
              <w:rPr>
                <w:rtl/>
              </w:rPr>
              <w:tab/>
            </w:r>
          </w:p>
        </w:tc>
      </w:tr>
      <w:tr w:rsidR="004433E9" w14:paraId="75BD8FF8" w14:textId="77777777" w:rsidTr="00F9220F">
        <w:trPr>
          <w:cantSplit/>
        </w:trPr>
        <w:tc>
          <w:tcPr>
            <w:tcW w:w="1869" w:type="dxa"/>
          </w:tcPr>
          <w:p w14:paraId="07D3A455" w14:textId="77777777" w:rsidR="004433E9" w:rsidRDefault="004433E9" w:rsidP="006B45FB">
            <w:pPr>
              <w:pStyle w:val="TableSideHeading"/>
              <w:rPr>
                <w:rtl/>
              </w:rPr>
            </w:pPr>
          </w:p>
        </w:tc>
        <w:tc>
          <w:tcPr>
            <w:tcW w:w="624" w:type="dxa"/>
          </w:tcPr>
          <w:p w14:paraId="5D53FA17" w14:textId="77777777" w:rsidR="004433E9" w:rsidRDefault="004433E9" w:rsidP="004433E9">
            <w:pPr>
              <w:pStyle w:val="TableText"/>
            </w:pPr>
          </w:p>
        </w:tc>
        <w:tc>
          <w:tcPr>
            <w:tcW w:w="624" w:type="dxa"/>
          </w:tcPr>
          <w:p w14:paraId="79AE1A72" w14:textId="77777777" w:rsidR="004433E9" w:rsidRDefault="004433E9" w:rsidP="006B45FB">
            <w:pPr>
              <w:pStyle w:val="TableText"/>
            </w:pPr>
          </w:p>
        </w:tc>
        <w:tc>
          <w:tcPr>
            <w:tcW w:w="624" w:type="dxa"/>
          </w:tcPr>
          <w:p w14:paraId="27397C4E" w14:textId="77777777" w:rsidR="004433E9" w:rsidRDefault="004433E9" w:rsidP="006B45FB">
            <w:pPr>
              <w:pStyle w:val="TableText"/>
            </w:pPr>
          </w:p>
        </w:tc>
        <w:tc>
          <w:tcPr>
            <w:tcW w:w="624" w:type="dxa"/>
            <w:gridSpan w:val="2"/>
          </w:tcPr>
          <w:p w14:paraId="63627D99" w14:textId="77777777" w:rsidR="004433E9" w:rsidRDefault="004433E9" w:rsidP="006B45FB">
            <w:pPr>
              <w:pStyle w:val="TableText"/>
            </w:pPr>
          </w:p>
        </w:tc>
        <w:tc>
          <w:tcPr>
            <w:tcW w:w="624" w:type="dxa"/>
            <w:gridSpan w:val="2"/>
          </w:tcPr>
          <w:p w14:paraId="54793870" w14:textId="77777777" w:rsidR="004433E9" w:rsidRDefault="004433E9" w:rsidP="006B45FB">
            <w:pPr>
              <w:pStyle w:val="TableText"/>
            </w:pPr>
          </w:p>
        </w:tc>
        <w:tc>
          <w:tcPr>
            <w:tcW w:w="4649" w:type="dxa"/>
          </w:tcPr>
          <w:p w14:paraId="49770311" w14:textId="329BC3A7" w:rsidR="004433E9" w:rsidRDefault="004433E9" w:rsidP="00F1066A">
            <w:pPr>
              <w:pStyle w:val="TableBlock"/>
              <w:rPr>
                <w:rtl/>
              </w:rPr>
            </w:pPr>
            <w:r>
              <w:rPr>
                <w:rFonts w:hint="cs"/>
                <w:rtl/>
              </w:rPr>
              <w:t>(</w:t>
            </w:r>
            <w:r w:rsidR="00F9220F">
              <w:rPr>
                <w:rFonts w:hint="cs"/>
                <w:rtl/>
              </w:rPr>
              <w:t>ה</w:t>
            </w:r>
            <w:r>
              <w:rPr>
                <w:rFonts w:hint="cs"/>
                <w:rtl/>
              </w:rPr>
              <w:t>)</w:t>
            </w:r>
            <w:r>
              <w:rPr>
                <w:rtl/>
              </w:rPr>
              <w:tab/>
            </w:r>
            <w:r w:rsidRPr="004433E9">
              <w:rPr>
                <w:rtl/>
              </w:rPr>
              <w:t>מייצג הקטין ייפגש עם הקטין ו</w:t>
            </w:r>
            <w:r w:rsidR="00B84ACC">
              <w:rPr>
                <w:rFonts w:hint="cs"/>
                <w:rtl/>
              </w:rPr>
              <w:t>יעמוד</w:t>
            </w:r>
            <w:r w:rsidRPr="004433E9">
              <w:rPr>
                <w:rtl/>
              </w:rPr>
              <w:t xml:space="preserve"> עמו </w:t>
            </w:r>
            <w:r w:rsidR="00B84ACC">
              <w:rPr>
                <w:rFonts w:hint="cs"/>
                <w:rtl/>
              </w:rPr>
              <w:t>ב</w:t>
            </w:r>
            <w:r w:rsidRPr="004433E9">
              <w:rPr>
                <w:rtl/>
              </w:rPr>
              <w:t>קשר</w:t>
            </w:r>
            <w:r w:rsidR="008F23BF">
              <w:rPr>
                <w:rFonts w:hint="cs"/>
                <w:rtl/>
              </w:rPr>
              <w:t xml:space="preserve"> על פי נ</w:t>
            </w:r>
            <w:r w:rsidRPr="004433E9">
              <w:rPr>
                <w:rtl/>
              </w:rPr>
              <w:t xml:space="preserve">סיבות העניין, וכן </w:t>
            </w:r>
            <w:r w:rsidR="00B84ACC">
              <w:rPr>
                <w:rFonts w:hint="cs"/>
                <w:rtl/>
              </w:rPr>
              <w:t>רשאי</w:t>
            </w:r>
            <w:r w:rsidRPr="004433E9">
              <w:rPr>
                <w:rtl/>
              </w:rPr>
              <w:t xml:space="preserve"> הוא להיפגש עם הורי הקטין ועם כל גורם משמעותי אחר בחיי הקטין.</w:t>
            </w:r>
          </w:p>
        </w:tc>
      </w:tr>
      <w:tr w:rsidR="00B84ACC" w14:paraId="34255279" w14:textId="77777777" w:rsidTr="00F9220F">
        <w:trPr>
          <w:cantSplit/>
        </w:trPr>
        <w:tc>
          <w:tcPr>
            <w:tcW w:w="1869" w:type="dxa"/>
          </w:tcPr>
          <w:p w14:paraId="4345D095" w14:textId="66D36F7E" w:rsidR="00B84ACC" w:rsidRDefault="00B84ACC" w:rsidP="00B84ACC">
            <w:pPr>
              <w:pStyle w:val="TableSideHeading"/>
              <w:ind w:right="0"/>
              <w:rPr>
                <w:rtl/>
              </w:rPr>
            </w:pPr>
          </w:p>
        </w:tc>
        <w:tc>
          <w:tcPr>
            <w:tcW w:w="624" w:type="dxa"/>
          </w:tcPr>
          <w:p w14:paraId="685FAADC" w14:textId="77777777" w:rsidR="00B84ACC" w:rsidRDefault="00B84ACC" w:rsidP="00B84ACC">
            <w:pPr>
              <w:pStyle w:val="TableText"/>
              <w:ind w:right="0"/>
              <w:rPr>
                <w:rtl/>
              </w:rPr>
            </w:pPr>
          </w:p>
        </w:tc>
        <w:tc>
          <w:tcPr>
            <w:tcW w:w="1729" w:type="dxa"/>
            <w:gridSpan w:val="3"/>
          </w:tcPr>
          <w:p w14:paraId="11F73EF8" w14:textId="2CDB6683" w:rsidR="00B84ACC" w:rsidRDefault="00B84ACC" w:rsidP="00B84ACC">
            <w:pPr>
              <w:pStyle w:val="TableText"/>
              <w:ind w:right="0"/>
              <w:rPr>
                <w:rtl/>
              </w:rPr>
            </w:pPr>
            <w:r w:rsidRPr="004433E9">
              <w:rPr>
                <w:rtl/>
              </w:rPr>
              <w:t>מינוי מייצג לאחראי על קטין</w:t>
            </w:r>
          </w:p>
        </w:tc>
        <w:tc>
          <w:tcPr>
            <w:tcW w:w="736" w:type="dxa"/>
            <w:gridSpan w:val="2"/>
          </w:tcPr>
          <w:p w14:paraId="3DDBA11A" w14:textId="77777777" w:rsidR="00B84ACC" w:rsidRDefault="00B84ACC" w:rsidP="00B84ACC">
            <w:pPr>
              <w:pStyle w:val="TableBlock"/>
              <w:jc w:val="left"/>
              <w:rPr>
                <w:rtl/>
              </w:rPr>
            </w:pPr>
            <w:r>
              <w:rPr>
                <w:rFonts w:hint="cs"/>
                <w:rtl/>
              </w:rPr>
              <w:t>8ד.</w:t>
            </w:r>
          </w:p>
        </w:tc>
        <w:tc>
          <w:tcPr>
            <w:tcW w:w="4680" w:type="dxa"/>
            <w:gridSpan w:val="2"/>
          </w:tcPr>
          <w:p w14:paraId="392AA5BF" w14:textId="6270E90E" w:rsidR="00B84ACC" w:rsidRDefault="00B84ACC" w:rsidP="00C01796">
            <w:pPr>
              <w:pStyle w:val="TableBlock"/>
              <w:rPr>
                <w:rtl/>
              </w:rPr>
            </w:pPr>
            <w:r w:rsidRPr="00A3561F">
              <w:rPr>
                <w:rFonts w:hint="cs"/>
                <w:rtl/>
              </w:rPr>
              <w:t xml:space="preserve">בית משפט הדן בעניינו של קטין </w:t>
            </w:r>
            <w:r>
              <w:rPr>
                <w:rFonts w:hint="cs"/>
                <w:rtl/>
              </w:rPr>
              <w:t xml:space="preserve">בהליכים לפי חוק זה, </w:t>
            </w:r>
            <w:r w:rsidRPr="00A3561F">
              <w:rPr>
                <w:rFonts w:hint="cs"/>
                <w:rtl/>
              </w:rPr>
              <w:t>ימנה ל</w:t>
            </w:r>
            <w:r>
              <w:rPr>
                <w:rFonts w:hint="cs"/>
                <w:rtl/>
              </w:rPr>
              <w:t>אחראי על ה</w:t>
            </w:r>
            <w:r w:rsidRPr="00A3561F">
              <w:rPr>
                <w:rFonts w:hint="cs"/>
                <w:rtl/>
              </w:rPr>
              <w:t>קטין עורך דין שייצגו, בהתאם להוראות חוק הסיוע המשפטי, התשל"ב</w:t>
            </w:r>
            <w:r>
              <w:rPr>
                <w:rFonts w:hint="eastAsia"/>
                <w:rtl/>
              </w:rPr>
              <w:t>–</w:t>
            </w:r>
            <w:r w:rsidRPr="00A3561F">
              <w:rPr>
                <w:rFonts w:hint="cs"/>
                <w:rtl/>
              </w:rPr>
              <w:t>1972</w:t>
            </w:r>
            <w:r>
              <w:rPr>
                <w:rFonts w:hint="cs"/>
                <w:rtl/>
              </w:rPr>
              <w:t>,</w:t>
            </w:r>
            <w:r w:rsidRPr="00A3561F">
              <w:rPr>
                <w:rFonts w:hint="cs"/>
                <w:rtl/>
              </w:rPr>
              <w:t xml:space="preserve"> </w:t>
            </w:r>
            <w:r>
              <w:rPr>
                <w:rFonts w:hint="cs"/>
                <w:rtl/>
              </w:rPr>
              <w:t>אלא אם</w:t>
            </w:r>
            <w:r w:rsidR="00EE3F5B">
              <w:rPr>
                <w:rFonts w:hint="cs"/>
                <w:rtl/>
              </w:rPr>
              <w:t xml:space="preserve"> כן</w:t>
            </w:r>
            <w:r>
              <w:rPr>
                <w:rFonts w:hint="cs"/>
                <w:rtl/>
              </w:rPr>
              <w:t xml:space="preserve"> האחראי על הקטין בחר להי</w:t>
            </w:r>
            <w:r w:rsidR="00F1066A">
              <w:rPr>
                <w:rFonts w:hint="cs"/>
                <w:rtl/>
              </w:rPr>
              <w:t>ות מיוצג על ידי עורך דין מטעמו";</w:t>
            </w:r>
          </w:p>
        </w:tc>
      </w:tr>
      <w:tr w:rsidR="00F1066A" w14:paraId="316BC916" w14:textId="77777777" w:rsidTr="00F1066A">
        <w:trPr>
          <w:cantSplit/>
          <w:trHeight w:val="60"/>
        </w:trPr>
        <w:tc>
          <w:tcPr>
            <w:tcW w:w="1869" w:type="dxa"/>
          </w:tcPr>
          <w:p w14:paraId="15A47A95" w14:textId="5CA2F2C6" w:rsidR="00F1066A" w:rsidRDefault="00F1066A" w:rsidP="00F1066A">
            <w:pPr>
              <w:pStyle w:val="TableSideHeading"/>
            </w:pPr>
          </w:p>
        </w:tc>
        <w:tc>
          <w:tcPr>
            <w:tcW w:w="624" w:type="dxa"/>
          </w:tcPr>
          <w:p w14:paraId="61FF55B5" w14:textId="77777777" w:rsidR="00F1066A" w:rsidRDefault="00F1066A" w:rsidP="00F1066A">
            <w:pPr>
              <w:pStyle w:val="TableText"/>
            </w:pPr>
          </w:p>
        </w:tc>
        <w:tc>
          <w:tcPr>
            <w:tcW w:w="624" w:type="dxa"/>
          </w:tcPr>
          <w:p w14:paraId="1B87E7B5" w14:textId="7C41396A" w:rsidR="00F1066A" w:rsidRDefault="00F1066A" w:rsidP="00F1066A">
            <w:pPr>
              <w:pStyle w:val="TableText"/>
            </w:pPr>
            <w:r>
              <w:rPr>
                <w:rFonts w:hint="cs"/>
                <w:rtl/>
              </w:rPr>
              <w:t>(2)</w:t>
            </w:r>
          </w:p>
        </w:tc>
        <w:tc>
          <w:tcPr>
            <w:tcW w:w="6521" w:type="dxa"/>
            <w:gridSpan w:val="6"/>
          </w:tcPr>
          <w:p w14:paraId="47D0D442" w14:textId="64B0C3CD" w:rsidR="00F1066A" w:rsidRDefault="00F1066A" w:rsidP="00EE3F5B">
            <w:pPr>
              <w:pStyle w:val="TableBlock"/>
            </w:pPr>
            <w:r>
              <w:rPr>
                <w:rFonts w:hint="cs"/>
                <w:rtl/>
              </w:rPr>
              <w:t>בסעיף 16, אחרי "ניתנת לערעור" יבוא "לרבות על</w:t>
            </w:r>
            <w:r w:rsidR="00EE3F5B">
              <w:rPr>
                <w:rFonts w:hint="cs"/>
                <w:rtl/>
              </w:rPr>
              <w:t xml:space="preserve"> </w:t>
            </w:r>
            <w:r>
              <w:rPr>
                <w:rFonts w:hint="cs"/>
                <w:rtl/>
              </w:rPr>
              <w:t>ידי קטין,".</w:t>
            </w:r>
          </w:p>
        </w:tc>
      </w:tr>
      <w:tr w:rsidR="00F1066A" w14:paraId="737DDD51" w14:textId="77777777" w:rsidTr="00F9220F">
        <w:trPr>
          <w:cantSplit/>
        </w:trPr>
        <w:tc>
          <w:tcPr>
            <w:tcW w:w="1869" w:type="dxa"/>
          </w:tcPr>
          <w:p w14:paraId="7C8CE8FB" w14:textId="12C1A425" w:rsidR="00F1066A" w:rsidRDefault="00F1066A" w:rsidP="00F1066A">
            <w:pPr>
              <w:pStyle w:val="TableSideHeading"/>
              <w:rPr>
                <w:rtl/>
              </w:rPr>
            </w:pPr>
            <w:r>
              <w:rPr>
                <w:rFonts w:hint="cs"/>
                <w:rtl/>
              </w:rPr>
              <w:t>תיקון חוק הסיוע המשפטי</w:t>
            </w:r>
          </w:p>
        </w:tc>
        <w:tc>
          <w:tcPr>
            <w:tcW w:w="624" w:type="dxa"/>
          </w:tcPr>
          <w:p w14:paraId="44D2E370" w14:textId="6C746656" w:rsidR="00F1066A" w:rsidRDefault="00F1066A" w:rsidP="00F1066A">
            <w:pPr>
              <w:pStyle w:val="TableText"/>
              <w:rPr>
                <w:rtl/>
              </w:rPr>
            </w:pPr>
            <w:r>
              <w:rPr>
                <w:rFonts w:hint="cs"/>
                <w:rtl/>
              </w:rPr>
              <w:t>2.</w:t>
            </w:r>
          </w:p>
        </w:tc>
        <w:tc>
          <w:tcPr>
            <w:tcW w:w="7145" w:type="dxa"/>
            <w:gridSpan w:val="7"/>
          </w:tcPr>
          <w:p w14:paraId="696C1C12" w14:textId="7D78924F" w:rsidR="00F1066A" w:rsidRDefault="00F1066A" w:rsidP="00F1066A">
            <w:pPr>
              <w:pStyle w:val="TableBlock"/>
              <w:rPr>
                <w:rtl/>
              </w:rPr>
            </w:pPr>
            <w:r>
              <w:rPr>
                <w:rFonts w:hint="cs"/>
                <w:rtl/>
              </w:rPr>
              <w:t>בחוק הסיוע המשפטי, התשל"ב</w:t>
            </w:r>
            <w:r>
              <w:rPr>
                <w:rFonts w:hint="eastAsia"/>
                <w:rtl/>
              </w:rPr>
              <w:t>–</w:t>
            </w:r>
            <w:r>
              <w:rPr>
                <w:rFonts w:hint="cs"/>
                <w:rtl/>
              </w:rPr>
              <w:t>1972</w:t>
            </w:r>
            <w:r w:rsidRPr="00B82B1B">
              <w:rPr>
                <w:vertAlign w:val="superscript"/>
                <w:rtl/>
              </w:rPr>
              <w:footnoteReference w:id="4"/>
            </w:r>
            <w:r w:rsidR="00EE3F5B">
              <w:rPr>
                <w:rFonts w:hint="cs"/>
                <w:rtl/>
              </w:rPr>
              <w:t xml:space="preserve">, בתוספת, אחרי פרט </w:t>
            </w:r>
            <w:r>
              <w:rPr>
                <w:rFonts w:hint="cs"/>
                <w:rtl/>
              </w:rPr>
              <w:t>(11) יבוא:</w:t>
            </w:r>
          </w:p>
        </w:tc>
      </w:tr>
      <w:tr w:rsidR="00F1066A" w14:paraId="5CB8BB4A" w14:textId="77777777" w:rsidTr="00F9220F">
        <w:trPr>
          <w:cantSplit/>
        </w:trPr>
        <w:tc>
          <w:tcPr>
            <w:tcW w:w="1869" w:type="dxa"/>
          </w:tcPr>
          <w:p w14:paraId="0018571E" w14:textId="6DDBABFE" w:rsidR="00F1066A" w:rsidRDefault="00F1066A" w:rsidP="00F1066A">
            <w:pPr>
              <w:pStyle w:val="TableSideHeading"/>
            </w:pPr>
          </w:p>
        </w:tc>
        <w:tc>
          <w:tcPr>
            <w:tcW w:w="624" w:type="dxa"/>
          </w:tcPr>
          <w:p w14:paraId="40D2D4DE" w14:textId="77777777" w:rsidR="00F1066A" w:rsidRDefault="00F1066A" w:rsidP="00F1066A">
            <w:pPr>
              <w:pStyle w:val="TableText"/>
            </w:pPr>
          </w:p>
        </w:tc>
        <w:tc>
          <w:tcPr>
            <w:tcW w:w="624" w:type="dxa"/>
          </w:tcPr>
          <w:p w14:paraId="733D209D" w14:textId="5515606D" w:rsidR="00F1066A" w:rsidRDefault="00F1066A" w:rsidP="00F1066A">
            <w:pPr>
              <w:pStyle w:val="TableText"/>
            </w:pPr>
            <w:r>
              <w:rPr>
                <w:rFonts w:hint="cs"/>
                <w:rtl/>
              </w:rPr>
              <w:t>"(12)</w:t>
            </w:r>
          </w:p>
        </w:tc>
        <w:tc>
          <w:tcPr>
            <w:tcW w:w="6521" w:type="dxa"/>
            <w:gridSpan w:val="6"/>
          </w:tcPr>
          <w:p w14:paraId="0B1917F5" w14:textId="6123083B" w:rsidR="00F1066A" w:rsidRDefault="00F1066A" w:rsidP="00F1066A">
            <w:pPr>
              <w:pStyle w:val="TableBlock"/>
            </w:pPr>
            <w:r>
              <w:rPr>
                <w:rFonts w:hint="cs"/>
                <w:rtl/>
              </w:rPr>
              <w:t>לקטין לפי הוראות סעיף 8ג לחוק הנוער (טיפול והשגחה), התש"ך</w:t>
            </w:r>
            <w:r>
              <w:rPr>
                <w:rFonts w:hint="eastAsia"/>
                <w:rtl/>
              </w:rPr>
              <w:t>–</w:t>
            </w:r>
            <w:r>
              <w:rPr>
                <w:rFonts w:hint="cs"/>
                <w:rtl/>
              </w:rPr>
              <w:t xml:space="preserve">1960 (להלן </w:t>
            </w:r>
            <w:r>
              <w:rPr>
                <w:rtl/>
              </w:rPr>
              <w:t>–</w:t>
            </w:r>
            <w:r>
              <w:rPr>
                <w:rFonts w:hint="cs"/>
                <w:rtl/>
              </w:rPr>
              <w:t xml:space="preserve"> חוק הנוער (טיפול והשגחה)), בכל הנוגע </w:t>
            </w:r>
            <w:r>
              <w:rPr>
                <w:rFonts w:hint="eastAsia"/>
                <w:rtl/>
              </w:rPr>
              <w:t>–</w:t>
            </w:r>
          </w:p>
        </w:tc>
      </w:tr>
      <w:tr w:rsidR="00F1066A" w14:paraId="5D2FEEDA" w14:textId="77777777" w:rsidTr="00B95D65">
        <w:trPr>
          <w:cantSplit/>
        </w:trPr>
        <w:tc>
          <w:tcPr>
            <w:tcW w:w="1869" w:type="dxa"/>
          </w:tcPr>
          <w:p w14:paraId="2D54ED85" w14:textId="64DF0691" w:rsidR="00F1066A" w:rsidRDefault="00F1066A" w:rsidP="00F1066A">
            <w:pPr>
              <w:pStyle w:val="TableSideHeading"/>
            </w:pPr>
          </w:p>
        </w:tc>
        <w:tc>
          <w:tcPr>
            <w:tcW w:w="624" w:type="dxa"/>
          </w:tcPr>
          <w:p w14:paraId="2E28D312" w14:textId="77777777" w:rsidR="00F1066A" w:rsidRDefault="00F1066A" w:rsidP="00F1066A">
            <w:pPr>
              <w:pStyle w:val="TableText"/>
            </w:pPr>
          </w:p>
        </w:tc>
        <w:tc>
          <w:tcPr>
            <w:tcW w:w="624" w:type="dxa"/>
          </w:tcPr>
          <w:p w14:paraId="6F362584" w14:textId="77777777" w:rsidR="00F1066A" w:rsidRDefault="00F1066A" w:rsidP="00F1066A">
            <w:pPr>
              <w:pStyle w:val="TableText"/>
            </w:pPr>
          </w:p>
        </w:tc>
        <w:tc>
          <w:tcPr>
            <w:tcW w:w="6521" w:type="dxa"/>
            <w:gridSpan w:val="6"/>
          </w:tcPr>
          <w:p w14:paraId="34CDFB56" w14:textId="415943CE" w:rsidR="00F1066A" w:rsidRDefault="00F1066A" w:rsidP="00F1066A">
            <w:pPr>
              <w:pStyle w:val="TableText"/>
            </w:pPr>
            <w:r>
              <w:rPr>
                <w:rFonts w:hint="cs"/>
                <w:rtl/>
              </w:rPr>
              <w:t>(א)</w:t>
            </w:r>
            <w:r>
              <w:rPr>
                <w:rtl/>
              </w:rPr>
              <w:tab/>
            </w:r>
            <w:r>
              <w:rPr>
                <w:rFonts w:hint="cs"/>
                <w:rtl/>
              </w:rPr>
              <w:t>לייצוג לפי סעיף 8ג לחוק האמור, וסעיפים 3 ו-4 לא יחולו;</w:t>
            </w:r>
          </w:p>
        </w:tc>
      </w:tr>
      <w:tr w:rsidR="00F1066A" w14:paraId="717C560D" w14:textId="77777777" w:rsidTr="00EF5BAB">
        <w:trPr>
          <w:cantSplit/>
        </w:trPr>
        <w:tc>
          <w:tcPr>
            <w:tcW w:w="1869" w:type="dxa"/>
          </w:tcPr>
          <w:p w14:paraId="03CCE764" w14:textId="772B0090" w:rsidR="00F1066A" w:rsidRDefault="00F1066A" w:rsidP="00F1066A">
            <w:pPr>
              <w:pStyle w:val="TableSideHeading"/>
              <w:rPr>
                <w:rtl/>
              </w:rPr>
            </w:pPr>
          </w:p>
        </w:tc>
        <w:tc>
          <w:tcPr>
            <w:tcW w:w="624" w:type="dxa"/>
          </w:tcPr>
          <w:p w14:paraId="66D59D46" w14:textId="77777777" w:rsidR="00F1066A" w:rsidRDefault="00F1066A" w:rsidP="00F1066A">
            <w:pPr>
              <w:pStyle w:val="TableText"/>
            </w:pPr>
          </w:p>
        </w:tc>
        <w:tc>
          <w:tcPr>
            <w:tcW w:w="624" w:type="dxa"/>
          </w:tcPr>
          <w:p w14:paraId="2BFF7E3E" w14:textId="77777777" w:rsidR="00F1066A" w:rsidRDefault="00F1066A" w:rsidP="00F1066A">
            <w:pPr>
              <w:pStyle w:val="TableText"/>
            </w:pPr>
          </w:p>
        </w:tc>
        <w:tc>
          <w:tcPr>
            <w:tcW w:w="6521" w:type="dxa"/>
            <w:gridSpan w:val="6"/>
          </w:tcPr>
          <w:p w14:paraId="65EA8850" w14:textId="4423CCA1" w:rsidR="00F1066A" w:rsidRDefault="00F1066A" w:rsidP="00F1066A">
            <w:pPr>
              <w:pStyle w:val="TableText"/>
              <w:rPr>
                <w:rtl/>
              </w:rPr>
            </w:pPr>
            <w:r>
              <w:rPr>
                <w:rFonts w:hint="cs"/>
                <w:rtl/>
              </w:rPr>
              <w:t>(ב)</w:t>
            </w:r>
            <w:r>
              <w:rPr>
                <w:rtl/>
              </w:rPr>
              <w:tab/>
            </w:r>
            <w:r>
              <w:rPr>
                <w:rFonts w:hint="cs"/>
                <w:rtl/>
              </w:rPr>
              <w:t>לייצוג לפי סעיף 8ג בערעור על החלטה לפי החוק האמור, וסעיף 3 לא יחול.</w:t>
            </w:r>
          </w:p>
        </w:tc>
      </w:tr>
      <w:tr w:rsidR="00F1066A" w14:paraId="63AE2D9B" w14:textId="77777777" w:rsidTr="00F9220F">
        <w:trPr>
          <w:cantSplit/>
        </w:trPr>
        <w:tc>
          <w:tcPr>
            <w:tcW w:w="1869" w:type="dxa"/>
          </w:tcPr>
          <w:p w14:paraId="6DC2AF87" w14:textId="5C7E55D6" w:rsidR="00F1066A" w:rsidRDefault="00F1066A" w:rsidP="00F1066A">
            <w:pPr>
              <w:pStyle w:val="TableSideHeading"/>
            </w:pPr>
          </w:p>
        </w:tc>
        <w:tc>
          <w:tcPr>
            <w:tcW w:w="624" w:type="dxa"/>
          </w:tcPr>
          <w:p w14:paraId="60D4C5B4" w14:textId="77777777" w:rsidR="00F1066A" w:rsidRDefault="00F1066A" w:rsidP="00F1066A">
            <w:pPr>
              <w:pStyle w:val="TableText"/>
            </w:pPr>
          </w:p>
        </w:tc>
        <w:tc>
          <w:tcPr>
            <w:tcW w:w="624" w:type="dxa"/>
          </w:tcPr>
          <w:p w14:paraId="5DB16760" w14:textId="4F21F196" w:rsidR="00F1066A" w:rsidRDefault="00F1066A" w:rsidP="00F1066A">
            <w:pPr>
              <w:pStyle w:val="TableText"/>
            </w:pPr>
            <w:r>
              <w:rPr>
                <w:rFonts w:hint="cs"/>
                <w:rtl/>
              </w:rPr>
              <w:t>(13)</w:t>
            </w:r>
          </w:p>
        </w:tc>
        <w:tc>
          <w:tcPr>
            <w:tcW w:w="6521" w:type="dxa"/>
            <w:gridSpan w:val="6"/>
          </w:tcPr>
          <w:p w14:paraId="79D7B7AC" w14:textId="47FCDC3C" w:rsidR="00F1066A" w:rsidRDefault="00F1066A" w:rsidP="00F1066A">
            <w:pPr>
              <w:pStyle w:val="TableBlock"/>
            </w:pPr>
            <w:r>
              <w:rPr>
                <w:rFonts w:hint="cs"/>
                <w:rtl/>
              </w:rPr>
              <w:t xml:space="preserve">לאחראי על קטין כהגדרתו בחוק הנוער (טיפול והשגחה), בכל הנוגע </w:t>
            </w:r>
            <w:r>
              <w:rPr>
                <w:rFonts w:hint="eastAsia"/>
                <w:rtl/>
              </w:rPr>
              <w:t>–</w:t>
            </w:r>
          </w:p>
        </w:tc>
      </w:tr>
      <w:tr w:rsidR="00F1066A" w14:paraId="5AB8DE8D" w14:textId="77777777" w:rsidTr="00D139EC">
        <w:trPr>
          <w:cantSplit/>
        </w:trPr>
        <w:tc>
          <w:tcPr>
            <w:tcW w:w="1869" w:type="dxa"/>
          </w:tcPr>
          <w:p w14:paraId="7B5FD1F1" w14:textId="6B8C7DA0" w:rsidR="00F1066A" w:rsidRDefault="00F1066A" w:rsidP="00F1066A">
            <w:pPr>
              <w:pStyle w:val="TableSideHeading"/>
            </w:pPr>
          </w:p>
        </w:tc>
        <w:tc>
          <w:tcPr>
            <w:tcW w:w="624" w:type="dxa"/>
          </w:tcPr>
          <w:p w14:paraId="2605F4CD" w14:textId="77777777" w:rsidR="00F1066A" w:rsidRDefault="00F1066A" w:rsidP="00F1066A">
            <w:pPr>
              <w:pStyle w:val="TableText"/>
            </w:pPr>
          </w:p>
        </w:tc>
        <w:tc>
          <w:tcPr>
            <w:tcW w:w="624" w:type="dxa"/>
          </w:tcPr>
          <w:p w14:paraId="4D8D25D4" w14:textId="77777777" w:rsidR="00F1066A" w:rsidRDefault="00F1066A" w:rsidP="00F1066A">
            <w:pPr>
              <w:pStyle w:val="TableText"/>
            </w:pPr>
          </w:p>
        </w:tc>
        <w:tc>
          <w:tcPr>
            <w:tcW w:w="6521" w:type="dxa"/>
            <w:gridSpan w:val="6"/>
          </w:tcPr>
          <w:p w14:paraId="4BFA41BD" w14:textId="5DA528D1" w:rsidR="00F1066A" w:rsidRDefault="00F1066A" w:rsidP="00F1066A">
            <w:pPr>
              <w:pStyle w:val="TableText"/>
            </w:pPr>
            <w:r>
              <w:rPr>
                <w:rFonts w:hint="cs"/>
                <w:rtl/>
              </w:rPr>
              <w:t>(א)</w:t>
            </w:r>
            <w:r>
              <w:rPr>
                <w:rtl/>
              </w:rPr>
              <w:tab/>
            </w:r>
            <w:r>
              <w:rPr>
                <w:rFonts w:hint="cs"/>
                <w:rtl/>
              </w:rPr>
              <w:t>לייצוג לפי סעיף 8ד לחוק האמור, וסעיפים 3 ו- 4 לא יחולו;</w:t>
            </w:r>
          </w:p>
        </w:tc>
      </w:tr>
      <w:tr w:rsidR="00F1066A" w14:paraId="7EDE3798" w14:textId="77777777" w:rsidTr="00031B6A">
        <w:trPr>
          <w:cantSplit/>
        </w:trPr>
        <w:tc>
          <w:tcPr>
            <w:tcW w:w="1869" w:type="dxa"/>
          </w:tcPr>
          <w:p w14:paraId="6FE70AD1" w14:textId="60A82CE7" w:rsidR="00F1066A" w:rsidRDefault="00F1066A" w:rsidP="00F1066A">
            <w:pPr>
              <w:pStyle w:val="TableSideHeading"/>
              <w:rPr>
                <w:rtl/>
              </w:rPr>
            </w:pPr>
          </w:p>
        </w:tc>
        <w:tc>
          <w:tcPr>
            <w:tcW w:w="624" w:type="dxa"/>
          </w:tcPr>
          <w:p w14:paraId="0D96DB1B" w14:textId="77777777" w:rsidR="00F1066A" w:rsidRDefault="00F1066A" w:rsidP="00F1066A">
            <w:pPr>
              <w:pStyle w:val="TableText"/>
            </w:pPr>
          </w:p>
        </w:tc>
        <w:tc>
          <w:tcPr>
            <w:tcW w:w="624" w:type="dxa"/>
          </w:tcPr>
          <w:p w14:paraId="6F6052ED" w14:textId="77777777" w:rsidR="00F1066A" w:rsidRDefault="00F1066A" w:rsidP="00F1066A">
            <w:pPr>
              <w:pStyle w:val="TableText"/>
            </w:pPr>
          </w:p>
        </w:tc>
        <w:tc>
          <w:tcPr>
            <w:tcW w:w="6521" w:type="dxa"/>
            <w:gridSpan w:val="6"/>
          </w:tcPr>
          <w:p w14:paraId="6CC28E69" w14:textId="2509B6BC" w:rsidR="00F1066A" w:rsidRDefault="00F1066A" w:rsidP="00F1066A">
            <w:pPr>
              <w:pStyle w:val="TableText"/>
              <w:rPr>
                <w:rtl/>
              </w:rPr>
            </w:pPr>
            <w:r>
              <w:rPr>
                <w:rFonts w:hint="cs"/>
                <w:rtl/>
              </w:rPr>
              <w:t>(ב)</w:t>
            </w:r>
            <w:r>
              <w:rPr>
                <w:rtl/>
              </w:rPr>
              <w:tab/>
            </w:r>
            <w:r>
              <w:rPr>
                <w:rFonts w:hint="cs"/>
                <w:rtl/>
              </w:rPr>
              <w:t xml:space="preserve">לייצוג לפי סעיף 8ד בערעור על החלטה לפי החוק </w:t>
            </w:r>
            <w:r w:rsidRPr="00C22968">
              <w:rPr>
                <w:rFonts w:hint="cs"/>
                <w:rtl/>
              </w:rPr>
              <w:t>האמור</w:t>
            </w:r>
            <w:r>
              <w:rPr>
                <w:rFonts w:hint="cs"/>
                <w:rtl/>
              </w:rPr>
              <w:t>,</w:t>
            </w:r>
            <w:r w:rsidRPr="00C22968">
              <w:rPr>
                <w:rFonts w:hint="cs"/>
                <w:rtl/>
              </w:rPr>
              <w:t xml:space="preserve"> וסעי</w:t>
            </w:r>
            <w:r>
              <w:rPr>
                <w:rFonts w:hint="cs"/>
                <w:rtl/>
              </w:rPr>
              <w:t>ף</w:t>
            </w:r>
            <w:r w:rsidRPr="00C22968">
              <w:rPr>
                <w:rFonts w:hint="cs"/>
                <w:rtl/>
              </w:rPr>
              <w:t xml:space="preserve"> 3 לא יחול</w:t>
            </w:r>
            <w:r>
              <w:rPr>
                <w:rFonts w:hint="cs"/>
                <w:rtl/>
              </w:rPr>
              <w:t>."</w:t>
            </w:r>
          </w:p>
        </w:tc>
      </w:tr>
    </w:tbl>
    <w:p w14:paraId="7F6961CA" w14:textId="77777777" w:rsidR="002D1EE3" w:rsidRDefault="002D1EE3" w:rsidP="002D1EE3">
      <w:pPr>
        <w:pStyle w:val="HeadDivreiHesber"/>
        <w:rPr>
          <w:rtl/>
        </w:rPr>
      </w:pPr>
      <w:r w:rsidRPr="0027450A">
        <w:rPr>
          <w:rFonts w:hint="cs"/>
          <w:rtl/>
        </w:rPr>
        <w:t>דברי הסבר</w:t>
      </w:r>
    </w:p>
    <w:p w14:paraId="7F9AB575" w14:textId="1B749855" w:rsidR="0082253E" w:rsidRPr="00B82B1B" w:rsidRDefault="0082253E" w:rsidP="00EE3F5B">
      <w:pPr>
        <w:pStyle w:val="Hesber"/>
        <w:rPr>
          <w:rtl/>
        </w:rPr>
      </w:pPr>
      <w:r w:rsidRPr="00B82B1B">
        <w:rPr>
          <w:rFonts w:hint="cs"/>
          <w:rtl/>
        </w:rPr>
        <w:t>ה</w:t>
      </w:r>
      <w:r w:rsidRPr="00B82B1B">
        <w:rPr>
          <w:rtl/>
        </w:rPr>
        <w:t xml:space="preserve">וועדה לבחינת עקרונות יסוד בתחום הילד והמשפט ויישומם בחקיקה בראשות כבוד השופטת סביונה רוטלוי </w:t>
      </w:r>
      <w:r w:rsidRPr="00B82B1B">
        <w:rPr>
          <w:rFonts w:hint="cs"/>
          <w:rtl/>
        </w:rPr>
        <w:t>(דוח המשנה בנושא ייצוג)</w:t>
      </w:r>
      <w:r w:rsidR="00EE3F5B">
        <w:rPr>
          <w:rFonts w:hint="cs"/>
          <w:rtl/>
        </w:rPr>
        <w:t>,</w:t>
      </w:r>
      <w:r w:rsidRPr="00B82B1B">
        <w:rPr>
          <w:rFonts w:hint="cs"/>
          <w:rtl/>
        </w:rPr>
        <w:t xml:space="preserve"> המליצה בשנת 2003 על עיגון בחקיקה של זכות הילד לייצוג בהליכי נוער</w:t>
      </w:r>
      <w:r w:rsidR="00EE3F5B">
        <w:rPr>
          <w:rFonts w:hint="cs"/>
          <w:rtl/>
        </w:rPr>
        <w:t>.</w:t>
      </w:r>
      <w:r w:rsidRPr="00B82B1B">
        <w:rPr>
          <w:rFonts w:hint="cs"/>
          <w:rtl/>
        </w:rPr>
        <w:t xml:space="preserve"> הצעת חוק</w:t>
      </w:r>
      <w:r w:rsidR="00EE3F5B">
        <w:rPr>
          <w:rFonts w:hint="cs"/>
          <w:rtl/>
        </w:rPr>
        <w:t xml:space="preserve"> זו</w:t>
      </w:r>
      <w:r w:rsidRPr="00B82B1B">
        <w:rPr>
          <w:rFonts w:hint="cs"/>
          <w:rtl/>
        </w:rPr>
        <w:t xml:space="preserve"> </w:t>
      </w:r>
      <w:r w:rsidR="00EE3F5B">
        <w:rPr>
          <w:rFonts w:hint="cs"/>
          <w:rtl/>
        </w:rPr>
        <w:t>נועדה</w:t>
      </w:r>
      <w:r w:rsidRPr="00B82B1B">
        <w:rPr>
          <w:rFonts w:hint="cs"/>
          <w:rtl/>
        </w:rPr>
        <w:t xml:space="preserve"> ליישם את המלצותיה. מבקר המדינה קרא אף הוא למשרד המשפטים במספר דוחות להסדיר את נושא הייצוג הנפרד לקטינים בהליכים אזרחיים במסגרת הסיוע המשפטי.</w:t>
      </w:r>
      <w:r w:rsidRPr="00B82B1B">
        <w:rPr>
          <w:rtl/>
        </w:rPr>
        <w:t xml:space="preserve"> </w:t>
      </w:r>
      <w:r w:rsidRPr="00B82B1B">
        <w:rPr>
          <w:rFonts w:hint="cs"/>
          <w:rtl/>
        </w:rPr>
        <w:t>גם הוועדה לזכויות הילד של האו"ם הנחתה לאחרונה את ישראל (ביוני 2013) לבסס מנגנון ברור לייצוג נפרד לקטינים</w:t>
      </w:r>
      <w:r w:rsidRPr="00B82B1B">
        <w:rPr>
          <w:rtl/>
        </w:rPr>
        <w:t xml:space="preserve">. </w:t>
      </w:r>
    </w:p>
    <w:p w14:paraId="6D304475" w14:textId="6304C281" w:rsidR="0082253E" w:rsidRPr="00B82B1B" w:rsidRDefault="0082253E" w:rsidP="00140694">
      <w:pPr>
        <w:pStyle w:val="Hesber"/>
        <w:rPr>
          <w:rtl/>
        </w:rPr>
      </w:pPr>
      <w:r w:rsidRPr="00B82B1B">
        <w:rPr>
          <w:rFonts w:hint="cs"/>
          <w:rtl/>
        </w:rPr>
        <w:t>נוכח מהות ההליכים המשפטיים בפני בית המשפט לנוער והחשיבות המוכחת של הייצוג המשפטי הנפרד להורים ולקטינים לתקינות ויעילות הליכים אלו</w:t>
      </w:r>
      <w:r w:rsidR="00D81B8C" w:rsidRPr="00B82B1B">
        <w:rPr>
          <w:rFonts w:hint="cs"/>
          <w:rtl/>
        </w:rPr>
        <w:t>,</w:t>
      </w:r>
      <w:r w:rsidRPr="00B82B1B">
        <w:rPr>
          <w:rFonts w:hint="cs"/>
          <w:rtl/>
        </w:rPr>
        <w:t xml:space="preserve"> קמה הצדקה לתיקון חקיקתי מתאים</w:t>
      </w:r>
      <w:r w:rsidR="00B07A4C" w:rsidRPr="00B82B1B">
        <w:rPr>
          <w:rFonts w:hint="cs"/>
          <w:rtl/>
        </w:rPr>
        <w:t xml:space="preserve">. </w:t>
      </w:r>
    </w:p>
    <w:p w14:paraId="6FBF3F8D" w14:textId="35A71697" w:rsidR="0082253E" w:rsidRPr="00B82B1B" w:rsidRDefault="0082253E" w:rsidP="00EE3F5B">
      <w:pPr>
        <w:pStyle w:val="Hesber"/>
        <w:rPr>
          <w:rtl/>
        </w:rPr>
      </w:pPr>
      <w:r w:rsidRPr="00B82B1B">
        <w:rPr>
          <w:rFonts w:hint="cs"/>
          <w:rtl/>
        </w:rPr>
        <w:t>לפיכך</w:t>
      </w:r>
      <w:r w:rsidR="00EE3F5B">
        <w:rPr>
          <w:rFonts w:hint="cs"/>
          <w:rtl/>
        </w:rPr>
        <w:t>,</w:t>
      </w:r>
      <w:r w:rsidRPr="00B82B1B">
        <w:rPr>
          <w:rFonts w:hint="cs"/>
          <w:rtl/>
        </w:rPr>
        <w:t xml:space="preserve"> מוצע לעגן את זכותו של הקטין לייצוג עצמאי בהליכים אלו וחובתו של בית המשפט להורות על מינוי מייצג עצמאי במקרים </w:t>
      </w:r>
      <w:r w:rsidR="00EE3F5B">
        <w:rPr>
          <w:rFonts w:hint="cs"/>
          <w:rtl/>
        </w:rPr>
        <w:t>ש</w:t>
      </w:r>
      <w:r w:rsidRPr="00B82B1B">
        <w:rPr>
          <w:rFonts w:hint="cs"/>
          <w:rtl/>
        </w:rPr>
        <w:t>בהם הקטין אינו מיוצג</w:t>
      </w:r>
      <w:r w:rsidR="00D81B8C" w:rsidRPr="00B82B1B">
        <w:rPr>
          <w:rFonts w:hint="cs"/>
          <w:rtl/>
        </w:rPr>
        <w:t xml:space="preserve"> </w:t>
      </w:r>
      <w:r w:rsidR="00140694">
        <w:rPr>
          <w:rFonts w:hint="cs"/>
          <w:rtl/>
        </w:rPr>
        <w:t>(</w:t>
      </w:r>
      <w:r w:rsidR="00D81B8C" w:rsidRPr="00B82B1B">
        <w:rPr>
          <w:rFonts w:hint="cs"/>
          <w:rtl/>
        </w:rPr>
        <w:t>בדומה לחובה המעוגנת בסעיף 3ו לחוק הנוער</w:t>
      </w:r>
      <w:r w:rsidR="007F3E53" w:rsidRPr="00B82B1B">
        <w:rPr>
          <w:rFonts w:hint="cs"/>
          <w:rtl/>
        </w:rPr>
        <w:t xml:space="preserve"> (טיפול והשגחה) </w:t>
      </w:r>
      <w:r w:rsidR="00EE3F5B">
        <w:rPr>
          <w:rFonts w:hint="cs"/>
          <w:rtl/>
        </w:rPr>
        <w:t>ה</w:t>
      </w:r>
      <w:r w:rsidR="007F3E53" w:rsidRPr="00B82B1B">
        <w:rPr>
          <w:rFonts w:hint="cs"/>
          <w:rtl/>
        </w:rPr>
        <w:t>תש"ך</w:t>
      </w:r>
      <w:r w:rsidR="00EE3F5B">
        <w:rPr>
          <w:rFonts w:hint="eastAsia"/>
        </w:rPr>
        <w:t>–</w:t>
      </w:r>
      <w:r w:rsidR="007F3E53" w:rsidRPr="00B82B1B">
        <w:rPr>
          <w:rFonts w:hint="cs"/>
          <w:rtl/>
        </w:rPr>
        <w:t>1960,</w:t>
      </w:r>
      <w:r w:rsidR="00D81B8C" w:rsidRPr="00B82B1B">
        <w:rPr>
          <w:rFonts w:hint="cs"/>
          <w:rtl/>
        </w:rPr>
        <w:t xml:space="preserve"> ביחס לקטין מעל גיל 15, המתנגד לאשפוז פסיכיאטרי</w:t>
      </w:r>
      <w:r w:rsidRPr="00B82B1B">
        <w:rPr>
          <w:rFonts w:hint="cs"/>
          <w:rtl/>
        </w:rPr>
        <w:t xml:space="preserve">) ואת זכותו של </w:t>
      </w:r>
      <w:r w:rsidR="00B82B1B" w:rsidRPr="00B82B1B">
        <w:rPr>
          <w:rFonts w:hint="cs"/>
          <w:rtl/>
        </w:rPr>
        <w:t>ה</w:t>
      </w:r>
      <w:r w:rsidRPr="00B82B1B">
        <w:rPr>
          <w:rFonts w:hint="cs"/>
          <w:rtl/>
        </w:rPr>
        <w:t xml:space="preserve">אחראי על הקטין (ברוב המקרים </w:t>
      </w:r>
      <w:r w:rsidR="00EE3F5B">
        <w:rPr>
          <w:rFonts w:hint="eastAsia"/>
        </w:rPr>
        <w:t>–</w:t>
      </w:r>
      <w:r w:rsidRPr="00B82B1B">
        <w:rPr>
          <w:rFonts w:hint="cs"/>
          <w:rtl/>
        </w:rPr>
        <w:t xml:space="preserve"> ההורה הביולוגי) לקבלת ייצוג עצמאי ונפרד בכל הליכי הנוער, ללא בדיקת זכאות כלכלית וסיכוי משפטי.   </w:t>
      </w:r>
    </w:p>
    <w:p w14:paraId="4F62B7F2" w14:textId="1F6C22AA" w:rsidR="001E33C7" w:rsidRPr="00B82B1B" w:rsidRDefault="001E33C7" w:rsidP="008F23BF">
      <w:pPr>
        <w:pStyle w:val="Hesber"/>
        <w:rPr>
          <w:rtl/>
        </w:rPr>
      </w:pPr>
      <w:r w:rsidRPr="00B82B1B">
        <w:rPr>
          <w:rFonts w:hint="cs"/>
          <w:rtl/>
        </w:rPr>
        <w:lastRenderedPageBreak/>
        <w:t>הצעות חוק בנושא דומה הונחו על שולחן הכנסת התשע-עשרה ו</w:t>
      </w:r>
      <w:r w:rsidR="00EE3F5B">
        <w:rPr>
          <w:rFonts w:hint="cs"/>
          <w:rtl/>
        </w:rPr>
        <w:t xml:space="preserve">על שולחן הכנסת </w:t>
      </w:r>
      <w:r w:rsidRPr="00B82B1B">
        <w:rPr>
          <w:rFonts w:hint="cs"/>
          <w:rtl/>
        </w:rPr>
        <w:t>העשרים</w:t>
      </w:r>
      <w:r w:rsidR="005D6DCA" w:rsidRPr="00B82B1B">
        <w:rPr>
          <w:rFonts w:hint="cs"/>
          <w:rtl/>
        </w:rPr>
        <w:t xml:space="preserve"> </w:t>
      </w:r>
      <w:r w:rsidRPr="00B82B1B">
        <w:rPr>
          <w:rFonts w:hint="cs"/>
          <w:rtl/>
        </w:rPr>
        <w:t>על ידי חבר הכנסת דב חנין וקבוצת חברי הכנסת (</w:t>
      </w:r>
      <w:r w:rsidRPr="00B82B1B">
        <w:rPr>
          <w:rtl/>
        </w:rPr>
        <w:t>פ</w:t>
      </w:r>
      <w:r w:rsidR="00665205">
        <w:rPr>
          <w:rFonts w:hint="cs"/>
          <w:rtl/>
        </w:rPr>
        <w:t>/560/19</w:t>
      </w:r>
      <w:r w:rsidR="00251E42">
        <w:rPr>
          <w:rFonts w:hint="cs"/>
          <w:rtl/>
        </w:rPr>
        <w:t xml:space="preserve">; </w:t>
      </w:r>
      <w:r w:rsidRPr="00B82B1B">
        <w:rPr>
          <w:rFonts w:hint="cs"/>
          <w:rtl/>
        </w:rPr>
        <w:t>פ/</w:t>
      </w:r>
      <w:r w:rsidR="00665205">
        <w:rPr>
          <w:rFonts w:hint="cs"/>
          <w:rtl/>
        </w:rPr>
        <w:t>1459/20</w:t>
      </w:r>
      <w:r w:rsidRPr="00B82B1B">
        <w:rPr>
          <w:rFonts w:hint="cs"/>
          <w:rtl/>
        </w:rPr>
        <w:t>)</w:t>
      </w:r>
      <w:r w:rsidR="00EE3F5B">
        <w:rPr>
          <w:rFonts w:hint="cs"/>
          <w:rtl/>
        </w:rPr>
        <w:t>,</w:t>
      </w:r>
      <w:r w:rsidRPr="00B82B1B">
        <w:rPr>
          <w:rFonts w:hint="cs"/>
          <w:rtl/>
        </w:rPr>
        <w:t xml:space="preserve"> </w:t>
      </w:r>
      <w:r w:rsidR="006A0385" w:rsidRPr="00B82B1B">
        <w:rPr>
          <w:rFonts w:hint="cs"/>
          <w:rtl/>
        </w:rPr>
        <w:t>ועל שולחן הכנסת העשרים על ידי חברת הכנסת יפעת שאשא ביטון וקבוצת חברי הכנסת (</w:t>
      </w:r>
      <w:r w:rsidR="006A0385" w:rsidRPr="00B82B1B">
        <w:rPr>
          <w:rtl/>
        </w:rPr>
        <w:t>פ/4124/20</w:t>
      </w:r>
      <w:r w:rsidR="006A0385" w:rsidRPr="00B82B1B">
        <w:rPr>
          <w:rFonts w:hint="cs"/>
          <w:rtl/>
        </w:rPr>
        <w:t>).</w:t>
      </w:r>
    </w:p>
    <w:p w14:paraId="7F6961CB" w14:textId="77777777" w:rsidR="00E13C27" w:rsidRDefault="00E13C27" w:rsidP="00140694">
      <w:pPr>
        <w:pStyle w:val="Hesber"/>
        <w:rPr>
          <w:rtl/>
        </w:rPr>
      </w:pPr>
    </w:p>
    <w:p w14:paraId="645E4F68" w14:textId="0A42DBE6" w:rsidR="00EE3F5B" w:rsidRDefault="00EE3F5B" w:rsidP="00140694">
      <w:pPr>
        <w:pStyle w:val="Hesber"/>
        <w:rPr>
          <w:rtl/>
        </w:rPr>
      </w:pPr>
    </w:p>
    <w:p w14:paraId="5C73E438" w14:textId="77777777" w:rsidR="00EE3F5B" w:rsidRPr="00D73212" w:rsidRDefault="00EE3F5B" w:rsidP="00EE3F5B">
      <w:pPr>
        <w:pStyle w:val="Hesber"/>
        <w:rPr>
          <w:color w:val="auto"/>
          <w:rtl/>
          <w:lang w:eastAsia="en-US"/>
        </w:rPr>
      </w:pPr>
      <w:r w:rsidRPr="00D73212">
        <w:rPr>
          <w:color w:val="auto"/>
          <w:rtl/>
          <w:lang w:eastAsia="en-US"/>
        </w:rPr>
        <w:t>---------------------------------</w:t>
      </w:r>
    </w:p>
    <w:p w14:paraId="6507316D" w14:textId="77777777" w:rsidR="00EE3F5B" w:rsidRPr="00D73212" w:rsidRDefault="00EE3F5B" w:rsidP="00EE3F5B">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600010D1" w14:textId="77777777" w:rsidR="00EE3F5B" w:rsidRPr="00D73212" w:rsidRDefault="00EE3F5B" w:rsidP="00EE3F5B">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7D92032E" w14:textId="77777777" w:rsidR="00EE3F5B" w:rsidRPr="00317312" w:rsidRDefault="00EE3F5B" w:rsidP="00EE3F5B">
      <w:pPr>
        <w:pStyle w:val="Hesber"/>
      </w:pPr>
      <w:r>
        <w:rPr>
          <w:rFonts w:hint="cs"/>
          <w:color w:val="auto"/>
          <w:rtl/>
          <w:lang w:eastAsia="en-US"/>
        </w:rPr>
        <w:t>כ"ד בחשוון</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ח</w:t>
      </w:r>
      <w:r w:rsidRPr="00D73212">
        <w:rPr>
          <w:color w:val="auto"/>
          <w:rtl/>
          <w:lang w:eastAsia="en-US"/>
        </w:rPr>
        <w:t xml:space="preserve"> – </w:t>
      </w:r>
      <w:r>
        <w:rPr>
          <w:rFonts w:hint="cs"/>
          <w:color w:val="auto"/>
          <w:rtl/>
          <w:lang w:eastAsia="en-US"/>
        </w:rPr>
        <w:t>13.11</w:t>
      </w:r>
      <w:r w:rsidRPr="00D73212">
        <w:rPr>
          <w:color w:val="auto"/>
          <w:rtl/>
          <w:lang w:eastAsia="en-US"/>
        </w:rPr>
        <w:t>.</w:t>
      </w:r>
      <w:r>
        <w:rPr>
          <w:rFonts w:hint="cs"/>
          <w:color w:val="auto"/>
          <w:rtl/>
          <w:lang w:eastAsia="en-US"/>
        </w:rPr>
        <w:t>17</w:t>
      </w:r>
    </w:p>
    <w:p w14:paraId="0157396E" w14:textId="77777777" w:rsidR="00EE3F5B" w:rsidRPr="001E33C7" w:rsidRDefault="00EE3F5B" w:rsidP="00140694">
      <w:pPr>
        <w:pStyle w:val="Hesber"/>
        <w:rPr>
          <w:rtl/>
        </w:rPr>
      </w:pPr>
      <w:bookmarkStart w:id="7" w:name="_GoBack"/>
      <w:bookmarkEnd w:id="7"/>
    </w:p>
    <w:sectPr w:rsidR="00EE3F5B" w:rsidRPr="001E33C7" w:rsidSect="00F9220F">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14326531"/>
      <w:docPartObj>
        <w:docPartGallery w:val="Page Numbers (Bottom of Page)"/>
        <w:docPartUnique/>
      </w:docPartObj>
    </w:sdtPr>
    <w:sdtEndPr>
      <w:rPr>
        <w:cs/>
      </w:rPr>
    </w:sdtEndPr>
    <w:sdtContent>
      <w:p w14:paraId="121A31AC" w14:textId="4D3D763E" w:rsidR="006A10AC" w:rsidRDefault="006A10AC">
        <w:pPr>
          <w:pStyle w:val="a9"/>
          <w:jc w:val="center"/>
          <w:rPr>
            <w:rtl/>
            <w:cs/>
          </w:rPr>
        </w:pPr>
        <w:r>
          <w:fldChar w:fldCharType="begin"/>
        </w:r>
        <w:r>
          <w:rPr>
            <w:rtl/>
            <w:cs/>
          </w:rPr>
          <w:instrText>PAGE   \* MERGEFORMAT</w:instrText>
        </w:r>
        <w:r>
          <w:fldChar w:fldCharType="separate"/>
        </w:r>
        <w:r w:rsidR="00EE3F5B" w:rsidRPr="00EE3F5B">
          <w:rPr>
            <w:noProof/>
            <w:rtl/>
            <w:lang w:val="he-IL"/>
          </w:rPr>
          <w:t>2</w:t>
        </w:r>
        <w:r>
          <w:fldChar w:fldCharType="end"/>
        </w:r>
      </w:p>
    </w:sdtContent>
  </w:sdt>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5141037C" w14:textId="397FA75E" w:rsidR="006013AD" w:rsidRDefault="006013AD" w:rsidP="009700B6">
      <w:pPr>
        <w:pStyle w:val="a4"/>
        <w:rPr>
          <w:rtl/>
        </w:rPr>
      </w:pPr>
      <w:r>
        <w:rPr>
          <w:rStyle w:val="a6"/>
        </w:rPr>
        <w:footnoteRef/>
      </w:r>
      <w:r>
        <w:rPr>
          <w:rtl/>
        </w:rPr>
        <w:t xml:space="preserve"> </w:t>
      </w:r>
      <w:r>
        <w:rPr>
          <w:rFonts w:hint="cs"/>
          <w:rtl/>
        </w:rPr>
        <w:t>ס"ח התש"ך, עמ' 52</w:t>
      </w:r>
      <w:r w:rsidR="009700B6">
        <w:rPr>
          <w:rFonts w:hint="cs"/>
          <w:rtl/>
        </w:rPr>
        <w:t>.</w:t>
      </w:r>
    </w:p>
  </w:footnote>
  <w:footnote w:id="3">
    <w:p w14:paraId="47FB92FC" w14:textId="02051813" w:rsidR="009700B6" w:rsidRDefault="009700B6" w:rsidP="009700B6">
      <w:pPr>
        <w:pStyle w:val="a4"/>
        <w:rPr>
          <w:rtl/>
        </w:rPr>
      </w:pPr>
      <w:r>
        <w:rPr>
          <w:rStyle w:val="a6"/>
        </w:rPr>
        <w:footnoteRef/>
      </w:r>
      <w:r>
        <w:rPr>
          <w:rtl/>
        </w:rPr>
        <w:t xml:space="preserve"> </w:t>
      </w:r>
      <w:r>
        <w:rPr>
          <w:rFonts w:hint="cs"/>
          <w:rtl/>
        </w:rPr>
        <w:t>ס"ח התשל"ב, עמ' 95.</w:t>
      </w:r>
    </w:p>
  </w:footnote>
  <w:footnote w:id="4">
    <w:p w14:paraId="3AAFF58E" w14:textId="77777777" w:rsidR="00F1066A" w:rsidRDefault="00F1066A" w:rsidP="00F1066A">
      <w:pPr>
        <w:pStyle w:val="a4"/>
        <w:rPr>
          <w:rtl/>
        </w:rPr>
      </w:pPr>
      <w:r>
        <w:rPr>
          <w:rStyle w:val="a6"/>
        </w:rPr>
        <w:footnoteRef/>
      </w:r>
      <w:r>
        <w:rPr>
          <w:rtl/>
        </w:rPr>
        <w:t xml:space="preserve"> </w:t>
      </w:r>
      <w:r>
        <w:rPr>
          <w:rFonts w:hint="cs"/>
          <w:rtl/>
        </w:rPr>
        <w:t>ס"ח התשל"ב, עמ' 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150B"/>
    <w:multiLevelType w:val="hybridMultilevel"/>
    <w:tmpl w:val="D852689C"/>
    <w:lvl w:ilvl="0" w:tplc="CD1659F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06B8E"/>
    <w:rsid w:val="00015B27"/>
    <w:rsid w:val="00063A3E"/>
    <w:rsid w:val="00072CAC"/>
    <w:rsid w:val="0007681A"/>
    <w:rsid w:val="000A542E"/>
    <w:rsid w:val="00102B6B"/>
    <w:rsid w:val="001052D4"/>
    <w:rsid w:val="0010644B"/>
    <w:rsid w:val="001207F8"/>
    <w:rsid w:val="00121924"/>
    <w:rsid w:val="001279A8"/>
    <w:rsid w:val="00140694"/>
    <w:rsid w:val="0014195F"/>
    <w:rsid w:val="00152609"/>
    <w:rsid w:val="00153E1B"/>
    <w:rsid w:val="00161E40"/>
    <w:rsid w:val="001A0623"/>
    <w:rsid w:val="001C23B0"/>
    <w:rsid w:val="001D7AAF"/>
    <w:rsid w:val="001E33C7"/>
    <w:rsid w:val="00203A7F"/>
    <w:rsid w:val="00204995"/>
    <w:rsid w:val="0021633A"/>
    <w:rsid w:val="002200A1"/>
    <w:rsid w:val="002362BF"/>
    <w:rsid w:val="00241B97"/>
    <w:rsid w:val="002425D1"/>
    <w:rsid w:val="00246756"/>
    <w:rsid w:val="00251E42"/>
    <w:rsid w:val="00251E58"/>
    <w:rsid w:val="00254605"/>
    <w:rsid w:val="00266D86"/>
    <w:rsid w:val="002728B4"/>
    <w:rsid w:val="00274B86"/>
    <w:rsid w:val="0027600C"/>
    <w:rsid w:val="00292712"/>
    <w:rsid w:val="002A487D"/>
    <w:rsid w:val="002C2E29"/>
    <w:rsid w:val="002C3041"/>
    <w:rsid w:val="002C51E3"/>
    <w:rsid w:val="002D1EE3"/>
    <w:rsid w:val="002F1D80"/>
    <w:rsid w:val="003232A2"/>
    <w:rsid w:val="00325C14"/>
    <w:rsid w:val="00330BC5"/>
    <w:rsid w:val="0036422C"/>
    <w:rsid w:val="003710F6"/>
    <w:rsid w:val="00386E88"/>
    <w:rsid w:val="00395829"/>
    <w:rsid w:val="00396585"/>
    <w:rsid w:val="003D6E38"/>
    <w:rsid w:val="003D74A0"/>
    <w:rsid w:val="003E29F2"/>
    <w:rsid w:val="004033D8"/>
    <w:rsid w:val="004073F0"/>
    <w:rsid w:val="00412A7D"/>
    <w:rsid w:val="00416B4D"/>
    <w:rsid w:val="00417CFC"/>
    <w:rsid w:val="004433E9"/>
    <w:rsid w:val="004524CE"/>
    <w:rsid w:val="004A06DC"/>
    <w:rsid w:val="004B24ED"/>
    <w:rsid w:val="004B6625"/>
    <w:rsid w:val="004D15B6"/>
    <w:rsid w:val="004D2D82"/>
    <w:rsid w:val="004D3876"/>
    <w:rsid w:val="004E4552"/>
    <w:rsid w:val="004E6CDF"/>
    <w:rsid w:val="00553C9D"/>
    <w:rsid w:val="00562A66"/>
    <w:rsid w:val="005B064E"/>
    <w:rsid w:val="005D51AE"/>
    <w:rsid w:val="005D6DCA"/>
    <w:rsid w:val="006013AD"/>
    <w:rsid w:val="0062674B"/>
    <w:rsid w:val="006275C3"/>
    <w:rsid w:val="006363B2"/>
    <w:rsid w:val="00644940"/>
    <w:rsid w:val="00665205"/>
    <w:rsid w:val="006768E6"/>
    <w:rsid w:val="006818A9"/>
    <w:rsid w:val="006A0385"/>
    <w:rsid w:val="006A10AC"/>
    <w:rsid w:val="006A2D81"/>
    <w:rsid w:val="006A32C5"/>
    <w:rsid w:val="006B45FB"/>
    <w:rsid w:val="006C1D0D"/>
    <w:rsid w:val="006F2725"/>
    <w:rsid w:val="0070601E"/>
    <w:rsid w:val="00712C72"/>
    <w:rsid w:val="00735FE9"/>
    <w:rsid w:val="00763CAA"/>
    <w:rsid w:val="00765F66"/>
    <w:rsid w:val="0078664F"/>
    <w:rsid w:val="007C3FA6"/>
    <w:rsid w:val="007D585A"/>
    <w:rsid w:val="007D5A12"/>
    <w:rsid w:val="007E59F9"/>
    <w:rsid w:val="007F3E53"/>
    <w:rsid w:val="00810BCD"/>
    <w:rsid w:val="00812C98"/>
    <w:rsid w:val="00814D92"/>
    <w:rsid w:val="0082253E"/>
    <w:rsid w:val="0083181D"/>
    <w:rsid w:val="00843EB2"/>
    <w:rsid w:val="00865572"/>
    <w:rsid w:val="00874BBC"/>
    <w:rsid w:val="0088156B"/>
    <w:rsid w:val="00892135"/>
    <w:rsid w:val="00895449"/>
    <w:rsid w:val="00897879"/>
    <w:rsid w:val="008A6870"/>
    <w:rsid w:val="008C2DDC"/>
    <w:rsid w:val="008C7516"/>
    <w:rsid w:val="008E6EC7"/>
    <w:rsid w:val="008F0D63"/>
    <w:rsid w:val="008F1308"/>
    <w:rsid w:val="008F23BF"/>
    <w:rsid w:val="008F2C35"/>
    <w:rsid w:val="008F6665"/>
    <w:rsid w:val="00904591"/>
    <w:rsid w:val="00905E5F"/>
    <w:rsid w:val="0091204F"/>
    <w:rsid w:val="009203DB"/>
    <w:rsid w:val="00923CD4"/>
    <w:rsid w:val="00930EFE"/>
    <w:rsid w:val="00943386"/>
    <w:rsid w:val="009456B6"/>
    <w:rsid w:val="00957589"/>
    <w:rsid w:val="00966D06"/>
    <w:rsid w:val="009700B6"/>
    <w:rsid w:val="00982412"/>
    <w:rsid w:val="00983A8D"/>
    <w:rsid w:val="009A0DB8"/>
    <w:rsid w:val="009A7257"/>
    <w:rsid w:val="009B7758"/>
    <w:rsid w:val="009C32EF"/>
    <w:rsid w:val="009D6E0A"/>
    <w:rsid w:val="009E1E33"/>
    <w:rsid w:val="00A14672"/>
    <w:rsid w:val="00A245A4"/>
    <w:rsid w:val="00A26BD6"/>
    <w:rsid w:val="00A443CF"/>
    <w:rsid w:val="00A6611D"/>
    <w:rsid w:val="00A82CB7"/>
    <w:rsid w:val="00A942C1"/>
    <w:rsid w:val="00AA2F03"/>
    <w:rsid w:val="00AB39E3"/>
    <w:rsid w:val="00AC36F7"/>
    <w:rsid w:val="00AC63A4"/>
    <w:rsid w:val="00AD239E"/>
    <w:rsid w:val="00B07A4C"/>
    <w:rsid w:val="00B10265"/>
    <w:rsid w:val="00B16A99"/>
    <w:rsid w:val="00B21211"/>
    <w:rsid w:val="00B35784"/>
    <w:rsid w:val="00B46F26"/>
    <w:rsid w:val="00B733A7"/>
    <w:rsid w:val="00B75C91"/>
    <w:rsid w:val="00B82B1B"/>
    <w:rsid w:val="00B84ACC"/>
    <w:rsid w:val="00B975AD"/>
    <w:rsid w:val="00BA0130"/>
    <w:rsid w:val="00BC45FB"/>
    <w:rsid w:val="00BF148D"/>
    <w:rsid w:val="00C01796"/>
    <w:rsid w:val="00C23B1A"/>
    <w:rsid w:val="00C310EB"/>
    <w:rsid w:val="00C75B29"/>
    <w:rsid w:val="00C9176A"/>
    <w:rsid w:val="00CF1AA2"/>
    <w:rsid w:val="00D17774"/>
    <w:rsid w:val="00D63620"/>
    <w:rsid w:val="00D81B8C"/>
    <w:rsid w:val="00D83C33"/>
    <w:rsid w:val="00D8410D"/>
    <w:rsid w:val="00D867D7"/>
    <w:rsid w:val="00DA5582"/>
    <w:rsid w:val="00DB7060"/>
    <w:rsid w:val="00DE3153"/>
    <w:rsid w:val="00E06736"/>
    <w:rsid w:val="00E11117"/>
    <w:rsid w:val="00E13C27"/>
    <w:rsid w:val="00E23CBF"/>
    <w:rsid w:val="00E33BBD"/>
    <w:rsid w:val="00E374F2"/>
    <w:rsid w:val="00E45103"/>
    <w:rsid w:val="00E55A60"/>
    <w:rsid w:val="00E62778"/>
    <w:rsid w:val="00E63D38"/>
    <w:rsid w:val="00E665B9"/>
    <w:rsid w:val="00EA01E6"/>
    <w:rsid w:val="00EA3DE8"/>
    <w:rsid w:val="00EA758F"/>
    <w:rsid w:val="00ED4A6F"/>
    <w:rsid w:val="00ED56F2"/>
    <w:rsid w:val="00EE3F5B"/>
    <w:rsid w:val="00EF3A3A"/>
    <w:rsid w:val="00F1066A"/>
    <w:rsid w:val="00F628D6"/>
    <w:rsid w:val="00F67051"/>
    <w:rsid w:val="00F86A1E"/>
    <w:rsid w:val="00F9220F"/>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3E9"/>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4433E9"/>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4433E9"/>
    <w:rPr>
      <w:sz w:val="36"/>
      <w:szCs w:val="52"/>
    </w:rPr>
  </w:style>
  <w:style w:type="paragraph" w:customStyle="1" w:styleId="Cover3-Haknesset">
    <w:name w:val="Cover 3-Haknesset"/>
    <w:basedOn w:val="Cover1-Reshumot"/>
    <w:rsid w:val="004433E9"/>
    <w:rPr>
      <w:b/>
      <w:bCs/>
      <w:spacing w:val="60"/>
    </w:rPr>
  </w:style>
  <w:style w:type="paragraph" w:customStyle="1" w:styleId="Cover4-Date">
    <w:name w:val="Cover 4-Date"/>
    <w:basedOn w:val="a"/>
    <w:rsid w:val="004433E9"/>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4433E9"/>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4433E9"/>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4433E9"/>
    <w:pPr>
      <w:spacing w:before="120" w:after="120"/>
    </w:pPr>
    <w:rPr>
      <w:color w:val="FF0000"/>
      <w:w w:val="80"/>
    </w:rPr>
  </w:style>
  <w:style w:type="paragraph" w:styleId="a3">
    <w:name w:val="endnote text"/>
    <w:basedOn w:val="a"/>
    <w:semiHidden/>
    <w:rsid w:val="004433E9"/>
    <w:pPr>
      <w:ind w:left="227" w:hanging="227"/>
    </w:pPr>
    <w:rPr>
      <w:sz w:val="14"/>
      <w:szCs w:val="22"/>
    </w:rPr>
  </w:style>
  <w:style w:type="paragraph" w:customStyle="1" w:styleId="TableText">
    <w:name w:val="Table Text"/>
    <w:basedOn w:val="a"/>
    <w:rsid w:val="004433E9"/>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4433E9"/>
  </w:style>
  <w:style w:type="paragraph" w:customStyle="1" w:styleId="TableBlock">
    <w:name w:val="Table Block"/>
    <w:basedOn w:val="TableText"/>
    <w:rsid w:val="004433E9"/>
    <w:pPr>
      <w:ind w:right="0"/>
      <w:jc w:val="both"/>
    </w:pPr>
  </w:style>
  <w:style w:type="paragraph" w:customStyle="1" w:styleId="TableHead">
    <w:name w:val="Table Head"/>
    <w:basedOn w:val="TableText"/>
    <w:rsid w:val="004433E9"/>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4433E9"/>
  </w:style>
  <w:style w:type="paragraph" w:customStyle="1" w:styleId="Hesber">
    <w:name w:val="Hesber"/>
    <w:basedOn w:val="a"/>
    <w:rsid w:val="004433E9"/>
    <w:pPr>
      <w:snapToGrid w:val="0"/>
      <w:spacing w:before="0" w:line="360" w:lineRule="auto"/>
    </w:pPr>
    <w:rPr>
      <w:rFonts w:ascii="Arial" w:eastAsia="Arial Unicode MS" w:hAnsi="Arial" w:cs="David"/>
      <w:snapToGrid w:val="0"/>
      <w:spacing w:val="0"/>
      <w:sz w:val="20"/>
      <w:szCs w:val="26"/>
    </w:rPr>
  </w:style>
  <w:style w:type="paragraph" w:styleId="a4">
    <w:name w:val="footnote text"/>
    <w:aliases w:val="טקסט הערות שוליים תו Char Char Char,טקסט הערות שוליים תו Char Char,טקסט הערות שוליים תו תו Char Char,טקסט הערות שוליים תו תו Char Char Char Char Char,טקסט הערות שוליים תו תו Char,טקסט הערות שוליים תו תו תו"/>
    <w:basedOn w:val="a"/>
    <w:link w:val="a5"/>
    <w:autoRedefine/>
    <w:rsid w:val="004433E9"/>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4433E9"/>
    <w:rPr>
      <w:vertAlign w:val="superscript"/>
    </w:rPr>
  </w:style>
  <w:style w:type="paragraph" w:customStyle="1" w:styleId="HesberHeading">
    <w:name w:val="Hesber Heading"/>
    <w:basedOn w:val="Hesber"/>
    <w:rsid w:val="004433E9"/>
    <w:pPr>
      <w:tabs>
        <w:tab w:val="left" w:pos="624"/>
        <w:tab w:val="left" w:pos="1247"/>
      </w:tabs>
      <w:ind w:firstLine="0"/>
    </w:pPr>
    <w:rPr>
      <w:b/>
      <w:bCs/>
    </w:rPr>
  </w:style>
  <w:style w:type="paragraph" w:customStyle="1" w:styleId="HesberWriters">
    <w:name w:val="Hesber Writers"/>
    <w:basedOn w:val="Hesber"/>
    <w:rsid w:val="004433E9"/>
    <w:pPr>
      <w:spacing w:before="120" w:after="6000"/>
      <w:ind w:left="1418" w:firstLine="0"/>
      <w:jc w:val="right"/>
    </w:pPr>
    <w:rPr>
      <w:b/>
      <w:bCs/>
    </w:rPr>
  </w:style>
  <w:style w:type="paragraph" w:customStyle="1" w:styleId="Hesber1st">
    <w:name w:val="Hesber 1st"/>
    <w:basedOn w:val="Hesber"/>
    <w:rsid w:val="004433E9"/>
    <w:pPr>
      <w:tabs>
        <w:tab w:val="left" w:pos="680"/>
        <w:tab w:val="left" w:pos="1020"/>
      </w:tabs>
      <w:ind w:firstLine="0"/>
    </w:pPr>
  </w:style>
  <w:style w:type="character" w:styleId="a7">
    <w:name w:val="endnote reference"/>
    <w:basedOn w:val="a0"/>
    <w:semiHidden/>
    <w:rsid w:val="004433E9"/>
    <w:rPr>
      <w:vertAlign w:val="superscript"/>
    </w:rPr>
  </w:style>
  <w:style w:type="paragraph" w:customStyle="1" w:styleId="TableBlockOutdent">
    <w:name w:val="Table BlockOutdent"/>
    <w:basedOn w:val="TableBlock"/>
    <w:rsid w:val="004433E9"/>
    <w:pPr>
      <w:ind w:left="624" w:hanging="624"/>
    </w:pPr>
  </w:style>
  <w:style w:type="paragraph" w:styleId="a8">
    <w:name w:val="header"/>
    <w:basedOn w:val="a"/>
    <w:rsid w:val="004433E9"/>
    <w:pPr>
      <w:tabs>
        <w:tab w:val="center" w:pos="4153"/>
        <w:tab w:val="right" w:pos="8306"/>
      </w:tabs>
    </w:pPr>
  </w:style>
  <w:style w:type="paragraph" w:styleId="a9">
    <w:name w:val="footer"/>
    <w:basedOn w:val="a"/>
    <w:link w:val="aa"/>
    <w:uiPriority w:val="99"/>
    <w:rsid w:val="004433E9"/>
    <w:pPr>
      <w:tabs>
        <w:tab w:val="center" w:pos="4153"/>
        <w:tab w:val="right" w:pos="8306"/>
      </w:tabs>
    </w:pPr>
  </w:style>
  <w:style w:type="paragraph" w:customStyle="1" w:styleId="HeadDivreiHesber">
    <w:name w:val="Head DivreiHesber"/>
    <w:basedOn w:val="a"/>
    <w:rsid w:val="004433E9"/>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4433E9"/>
    <w:pPr>
      <w:snapToGrid w:val="0"/>
      <w:spacing w:before="0" w:line="360" w:lineRule="auto"/>
      <w:jc w:val="left"/>
    </w:pPr>
    <w:rPr>
      <w:rFonts w:ascii="Arial" w:eastAsia="Arial Unicode MS" w:hAnsi="Arial" w:cs="David"/>
      <w:snapToGrid w:val="0"/>
      <w:spacing w:val="0"/>
      <w:sz w:val="20"/>
      <w:szCs w:val="26"/>
    </w:rPr>
  </w:style>
  <w:style w:type="paragraph" w:styleId="ab">
    <w:name w:val="Title"/>
    <w:basedOn w:val="a"/>
    <w:qFormat/>
    <w:rsid w:val="00943386"/>
    <w:pPr>
      <w:jc w:val="center"/>
    </w:pPr>
    <w:rPr>
      <w:rFonts w:cs="David"/>
      <w:b/>
      <w:bCs/>
      <w:sz w:val="28"/>
      <w:szCs w:val="28"/>
      <w:u w:val="single"/>
    </w:rPr>
  </w:style>
  <w:style w:type="character" w:styleId="ac">
    <w:name w:val="page number"/>
    <w:basedOn w:val="a0"/>
    <w:rsid w:val="004433E9"/>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d">
    <w:name w:val="Balloon Text"/>
    <w:basedOn w:val="a"/>
    <w:link w:val="ae"/>
    <w:semiHidden/>
    <w:unhideWhenUsed/>
    <w:rsid w:val="00325C14"/>
    <w:pPr>
      <w:spacing w:before="0" w:line="240" w:lineRule="auto"/>
    </w:pPr>
    <w:rPr>
      <w:rFonts w:ascii="Tahoma" w:hAnsi="Tahoma" w:cs="Tahoma"/>
      <w:sz w:val="16"/>
      <w:szCs w:val="16"/>
    </w:rPr>
  </w:style>
  <w:style w:type="character" w:customStyle="1" w:styleId="ae">
    <w:name w:val="טקסט בלונים תו"/>
    <w:basedOn w:val="a0"/>
    <w:link w:val="ad"/>
    <w:semiHidden/>
    <w:rsid w:val="00325C14"/>
    <w:rPr>
      <w:rFonts w:ascii="Tahoma" w:hAnsi="Tahoma" w:cs="Tahoma"/>
      <w:color w:val="000000"/>
      <w:spacing w:val="1"/>
      <w:sz w:val="16"/>
      <w:szCs w:val="16"/>
      <w:lang w:eastAsia="ja-JP"/>
    </w:rPr>
  </w:style>
  <w:style w:type="character" w:customStyle="1" w:styleId="a5">
    <w:name w:val="טקסט הערת שוליים תו"/>
    <w:aliases w:val="טקסט הערות שוליים תו Char Char Char תו,טקסט הערות שוליים תו Char Char תו,טקסט הערות שוליים תו תו Char Char תו,טקסט הערות שוליים תו תו Char Char Char Char Char תו,טקסט הערות שוליים תו תו Char תו,טקסט הערות שוליים תו תו תו תו"/>
    <w:link w:val="a4"/>
    <w:rsid w:val="006013AD"/>
    <w:rPr>
      <w:rFonts w:ascii="Arial" w:eastAsia="Arial Unicode MS" w:hAnsi="Arial" w:cs="David"/>
      <w:snapToGrid w:val="0"/>
      <w:color w:val="000000"/>
      <w:sz w:val="14"/>
      <w:lang w:eastAsia="ja-JP"/>
    </w:rPr>
  </w:style>
  <w:style w:type="character" w:styleId="af">
    <w:name w:val="annotation reference"/>
    <w:basedOn w:val="a0"/>
    <w:uiPriority w:val="99"/>
    <w:semiHidden/>
    <w:unhideWhenUsed/>
    <w:rsid w:val="009C32EF"/>
    <w:rPr>
      <w:sz w:val="16"/>
      <w:szCs w:val="16"/>
    </w:rPr>
  </w:style>
  <w:style w:type="paragraph" w:styleId="af0">
    <w:name w:val="annotation text"/>
    <w:basedOn w:val="a"/>
    <w:link w:val="af1"/>
    <w:uiPriority w:val="99"/>
    <w:semiHidden/>
    <w:unhideWhenUsed/>
    <w:rsid w:val="009C32EF"/>
    <w:pPr>
      <w:spacing w:line="240" w:lineRule="auto"/>
    </w:pPr>
    <w:rPr>
      <w:sz w:val="20"/>
      <w:szCs w:val="20"/>
    </w:rPr>
  </w:style>
  <w:style w:type="character" w:customStyle="1" w:styleId="af1">
    <w:name w:val="טקסט הערה תו"/>
    <w:basedOn w:val="a0"/>
    <w:link w:val="af0"/>
    <w:uiPriority w:val="99"/>
    <w:semiHidden/>
    <w:rsid w:val="009C32EF"/>
    <w:rPr>
      <w:rFonts w:ascii="Hadasa Roso SL" w:hAnsi="Hadasa Roso SL" w:cs="Hadasa Roso SL"/>
      <w:color w:val="000000"/>
      <w:spacing w:val="1"/>
      <w:lang w:eastAsia="ja-JP"/>
    </w:rPr>
  </w:style>
  <w:style w:type="paragraph" w:styleId="af2">
    <w:name w:val="annotation subject"/>
    <w:basedOn w:val="af0"/>
    <w:next w:val="af0"/>
    <w:link w:val="af3"/>
    <w:semiHidden/>
    <w:unhideWhenUsed/>
    <w:rsid w:val="009C32EF"/>
    <w:rPr>
      <w:b/>
      <w:bCs/>
    </w:rPr>
  </w:style>
  <w:style w:type="character" w:customStyle="1" w:styleId="af3">
    <w:name w:val="נושא הערה תו"/>
    <w:basedOn w:val="af1"/>
    <w:link w:val="af2"/>
    <w:semiHidden/>
    <w:rsid w:val="009C32EF"/>
    <w:rPr>
      <w:rFonts w:ascii="Hadasa Roso SL" w:hAnsi="Hadasa Roso SL" w:cs="Hadasa Roso SL"/>
      <w:b/>
      <w:bCs/>
      <w:color w:val="000000"/>
      <w:spacing w:val="1"/>
      <w:lang w:eastAsia="ja-JP"/>
    </w:rPr>
  </w:style>
  <w:style w:type="character" w:customStyle="1" w:styleId="aa">
    <w:name w:val="כותרת תחתונה תו"/>
    <w:basedOn w:val="a0"/>
    <w:link w:val="a9"/>
    <w:uiPriority w:val="99"/>
    <w:rsid w:val="006A10AC"/>
    <w:rPr>
      <w:rFonts w:ascii="Hadasa Roso SL"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BF02197D-B349-4B09-BA79-97898C56F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4AFE3-9455-419C-8851-785A55F4451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52E5326-BB1B-42F3-8CBF-D067C548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3</Pages>
  <Words>555</Words>
  <Characters>2776</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חנה קרליץ</cp:lastModifiedBy>
  <cp:revision>44</cp:revision>
  <cp:lastPrinted>2017-09-10T06:40:00Z</cp:lastPrinted>
  <dcterms:created xsi:type="dcterms:W3CDTF">2015-04-20T09:58:00Z</dcterms:created>
  <dcterms:modified xsi:type="dcterms:W3CDTF">2017-11-08T12:02:00Z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2020214</vt:r8>
  </property>
</Properties>
</file>