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2020656</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p w14:paraId="08D1A7A6" w14:textId="520C514E" w:rsidR="00377AAC" w:rsidRDefault="00377AAC" w:rsidP="00377AAC">
      <w:pPr>
        <w:pStyle w:val="David"/>
        <w:spacing w:line="360" w:lineRule="auto"/>
        <w:ind w:left="3544"/>
        <w:rPr>
          <w:b/>
          <w:bCs/>
          <w:rtl/>
        </w:rPr>
      </w:pPr>
      <w:bookmarkStart w:id="2" w:name="LGS_Initiators_List"/>
      <w:r>
        <w:rPr>
          <w:b/>
          <w:bCs/>
          <w:rtl/>
        </w:rPr>
        <w:t>יוזמים:      חברי הכנסת</w:t>
      </w:r>
      <w:bookmarkEnd w:id="2"/>
      <w:r w:rsidRPr="00F67051">
        <w:rPr>
          <w:b/>
          <w:bCs/>
        </w:rPr>
        <w:tab/>
      </w:r>
      <w:bookmarkStart w:id="3" w:name="LGS_PM_Names"/>
      <w:r>
        <w:rPr>
          <w:rFonts w:hint="cs"/>
          <w:b/>
          <w:bCs/>
          <w:rtl/>
        </w:rPr>
        <w:t>יעל גרמן</w:t>
      </w:r>
      <w:r>
        <w:br/>
      </w:r>
      <w:r>
        <w:rPr>
          <w:rFonts w:hint="cs"/>
          <w:b/>
          <w:bCs/>
          <w:rtl/>
        </w:rPr>
        <w:t xml:space="preserve"> </w:t>
      </w:r>
      <w:r>
        <w:tab/>
      </w:r>
      <w:r>
        <w:tab/>
      </w:r>
      <w:r>
        <w:tab/>
      </w:r>
      <w:r>
        <w:tab/>
      </w:r>
      <w:r>
        <w:rPr>
          <w:rFonts w:hint="cs"/>
          <w:b/>
          <w:bCs/>
          <w:rtl/>
        </w:rPr>
        <w:t>יאיר לפיד</w:t>
      </w:r>
      <w:r>
        <w:br/>
      </w:r>
      <w:r>
        <w:rPr>
          <w:rFonts w:hint="cs"/>
          <w:b/>
          <w:bCs/>
          <w:rtl/>
        </w:rPr>
        <w:t xml:space="preserve"> </w:t>
      </w:r>
      <w:r>
        <w:tab/>
      </w:r>
      <w:r>
        <w:tab/>
      </w:r>
      <w:r>
        <w:tab/>
      </w:r>
      <w:r>
        <w:tab/>
      </w:r>
      <w:r>
        <w:rPr>
          <w:rFonts w:hint="cs"/>
          <w:b/>
          <w:bCs/>
          <w:rtl/>
        </w:rPr>
        <w:t>מאיר כהן</w:t>
      </w:r>
      <w:r>
        <w:br/>
      </w:r>
      <w:r>
        <w:rPr>
          <w:rFonts w:hint="cs"/>
          <w:b/>
          <w:bCs/>
          <w:rtl/>
        </w:rPr>
        <w:t xml:space="preserve"> </w:t>
      </w:r>
      <w:r>
        <w:tab/>
      </w:r>
      <w:r>
        <w:tab/>
      </w:r>
      <w:r>
        <w:tab/>
      </w:r>
      <w:r>
        <w:tab/>
      </w:r>
      <w:r>
        <w:rPr>
          <w:rFonts w:hint="cs"/>
          <w:b/>
          <w:bCs/>
          <w:rtl/>
        </w:rPr>
        <w:t>יעקב פרי</w:t>
      </w:r>
      <w:r>
        <w:br/>
      </w:r>
      <w:r>
        <w:rPr>
          <w:rFonts w:hint="cs"/>
          <w:b/>
          <w:bCs/>
          <w:rtl/>
        </w:rPr>
        <w:t xml:space="preserve"> </w:t>
      </w:r>
      <w:r>
        <w:tab/>
      </w:r>
      <w:r>
        <w:tab/>
      </w:r>
      <w:r>
        <w:tab/>
      </w:r>
      <w:r>
        <w:tab/>
      </w:r>
      <w:r>
        <w:rPr>
          <w:rFonts w:hint="cs"/>
          <w:b/>
          <w:bCs/>
          <w:rtl/>
        </w:rPr>
        <w:t>עפר שלח</w:t>
      </w:r>
      <w:r>
        <w:br/>
      </w:r>
      <w:r>
        <w:rPr>
          <w:rFonts w:hint="cs"/>
          <w:b/>
          <w:bCs/>
          <w:rtl/>
        </w:rPr>
        <w:t xml:space="preserve"> </w:t>
      </w:r>
      <w:r>
        <w:tab/>
      </w:r>
      <w:r>
        <w:tab/>
      </w:r>
      <w:r>
        <w:tab/>
      </w:r>
      <w:r>
        <w:tab/>
      </w:r>
      <w:r>
        <w:rPr>
          <w:rFonts w:hint="cs"/>
          <w:b/>
          <w:bCs/>
          <w:rtl/>
        </w:rPr>
        <w:t>חיים ילין</w:t>
      </w:r>
      <w:r>
        <w:br/>
      </w:r>
      <w:r>
        <w:rPr>
          <w:rFonts w:hint="cs"/>
          <w:b/>
          <w:bCs/>
          <w:rtl/>
        </w:rPr>
        <w:t xml:space="preserve"> </w:t>
      </w:r>
      <w:r>
        <w:tab/>
      </w:r>
      <w:r>
        <w:tab/>
      </w:r>
      <w:r>
        <w:tab/>
      </w:r>
      <w:r>
        <w:tab/>
      </w:r>
      <w:r>
        <w:rPr>
          <w:rFonts w:hint="cs"/>
          <w:b/>
          <w:bCs/>
          <w:rtl/>
        </w:rPr>
        <w:t>קארין אלהרר</w:t>
      </w:r>
      <w:r>
        <w:br/>
      </w:r>
      <w:r>
        <w:rPr>
          <w:rFonts w:hint="cs"/>
          <w:b/>
          <w:bCs/>
          <w:rtl/>
        </w:rPr>
        <w:t xml:space="preserve"> </w:t>
      </w:r>
      <w:r>
        <w:tab/>
      </w:r>
      <w:r>
        <w:tab/>
      </w:r>
      <w:r>
        <w:tab/>
      </w:r>
      <w:r>
        <w:tab/>
      </w:r>
      <w:r>
        <w:rPr>
          <w:rFonts w:hint="cs"/>
          <w:b/>
          <w:bCs/>
          <w:rtl/>
        </w:rPr>
        <w:t>יואל רזבוזוב</w:t>
      </w:r>
      <w:r>
        <w:br/>
      </w:r>
      <w:r>
        <w:rPr>
          <w:rFonts w:hint="cs"/>
          <w:b/>
          <w:bCs/>
          <w:rtl/>
        </w:rPr>
        <w:t xml:space="preserve"> </w:t>
      </w:r>
      <w:r>
        <w:tab/>
      </w:r>
      <w:r>
        <w:tab/>
      </w:r>
      <w:r>
        <w:tab/>
      </w:r>
      <w:r>
        <w:tab/>
      </w:r>
      <w:r>
        <w:rPr>
          <w:rFonts w:hint="cs"/>
          <w:b/>
          <w:bCs/>
          <w:rtl/>
        </w:rPr>
        <w:t>עליזה לביא</w:t>
      </w:r>
      <w:r>
        <w:br/>
      </w:r>
      <w:r>
        <w:rPr>
          <w:rFonts w:hint="cs"/>
          <w:b/>
          <w:bCs/>
          <w:rtl/>
        </w:rPr>
        <w:t xml:space="preserve"> </w:t>
      </w:r>
      <w:r>
        <w:tab/>
      </w:r>
      <w:r>
        <w:tab/>
      </w:r>
      <w:r>
        <w:tab/>
      </w:r>
      <w:r>
        <w:tab/>
      </w:r>
      <w:r>
        <w:rPr>
          <w:rFonts w:hint="cs"/>
          <w:b/>
          <w:bCs/>
          <w:rtl/>
        </w:rPr>
        <w:t>מיקי לוי</w:t>
      </w:r>
      <w:r>
        <w:br/>
      </w:r>
      <w:r>
        <w:rPr>
          <w:rFonts w:hint="cs"/>
          <w:b/>
          <w:bCs/>
          <w:rtl/>
        </w:rPr>
        <w:t xml:space="preserve"> </w:t>
      </w:r>
      <w:r>
        <w:tab/>
      </w:r>
      <w:r>
        <w:tab/>
      </w:r>
      <w:r>
        <w:tab/>
      </w:r>
      <w:r>
        <w:tab/>
      </w:r>
      <w:r>
        <w:rPr>
          <w:rFonts w:hint="cs"/>
          <w:b/>
          <w:bCs/>
          <w:rtl/>
        </w:rPr>
        <w:t>אלעזר שטרן</w:t>
      </w:r>
      <w:bookmarkEnd w:id="3"/>
    </w:p>
    <w:p w14:paraId="34DB4103" w14:textId="644C6551" w:rsidR="00904591" w:rsidRPr="00904591" w:rsidRDefault="00377AAC" w:rsidP="00377AAC">
      <w:pPr>
        <w:pStyle w:val="David"/>
        <w:spacing w:before="0" w:line="360" w:lineRule="auto"/>
        <w:ind w:left="3544"/>
        <w:rPr>
          <w:sz w:val="4"/>
          <w:szCs w:val="4"/>
          <w:rtl/>
        </w:rPr>
      </w:pPr>
      <w:bookmarkStart w:id="4" w:name="LGS_Join_List"/>
      <w:r>
        <w:rPr>
          <w:rtl/>
        </w:rPr>
        <w:t xml:space="preserve"> </w:t>
      </w:r>
      <w:bookmarkEnd w:id="4"/>
      <w:r w:rsidR="00266D86">
        <w:t>__</w:t>
      </w:r>
      <w:r w:rsidR="00E374F2">
        <w:t>__</w:t>
      </w:r>
      <w:r w:rsidR="00266D86">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5" w:name="Private_Number"/>
      <w:r>
        <w:rPr>
          <w:rFonts w:hint="cs"/>
          <w:rtl/>
        </w:rPr>
        <w:t>פ/4624/20</w:t>
      </w:r>
      <w:bookmarkEnd w:id="5"/>
    </w:p>
    <w:p w14:paraId="3C2103E6" w14:textId="16F7FDB3" w:rsidR="00377AAC" w:rsidRDefault="00A443CF" w:rsidP="006F394D">
      <w:pPr>
        <w:pStyle w:val="HeadHatzaotHok"/>
        <w:rPr>
          <w:rtl/>
        </w:rPr>
      </w:pPr>
      <w:bookmarkStart w:id="6" w:name="LGS_Subject"/>
      <w:r>
        <w:rPr>
          <w:rFonts w:hint="cs"/>
          <w:rtl/>
        </w:rPr>
        <w:t>הצעת חוק אימוץ ילדים (תיקון – כשירות המאמץ), התשע"ח–2017</w:t>
      </w:r>
      <w:bookmarkEnd w:id="6"/>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1872"/>
        <w:gridCol w:w="624"/>
        <w:gridCol w:w="4647"/>
      </w:tblGrid>
      <w:tr w:rsidR="00377AAC" w14:paraId="5109748D" w14:textId="77777777" w:rsidTr="00513AAF">
        <w:trPr>
          <w:cantSplit/>
        </w:trPr>
        <w:tc>
          <w:tcPr>
            <w:tcW w:w="1871" w:type="dxa"/>
          </w:tcPr>
          <w:p w14:paraId="599F6C4B" w14:textId="77777777" w:rsidR="00377AAC" w:rsidRDefault="00377AAC" w:rsidP="002F6AF2">
            <w:pPr>
              <w:pStyle w:val="TableSideHeading"/>
              <w:keepLines w:val="0"/>
              <w:rPr>
                <w:rtl/>
              </w:rPr>
            </w:pPr>
            <w:r>
              <w:rPr>
                <w:rFonts w:hint="cs"/>
                <w:rtl/>
              </w:rPr>
              <w:t xml:space="preserve"> החלפת סעיף 3</w:t>
            </w:r>
          </w:p>
        </w:tc>
        <w:tc>
          <w:tcPr>
            <w:tcW w:w="624" w:type="dxa"/>
          </w:tcPr>
          <w:p w14:paraId="540A4CA4" w14:textId="77777777" w:rsidR="00377AAC" w:rsidRDefault="00377AAC" w:rsidP="002F6AF2">
            <w:pPr>
              <w:pStyle w:val="TableText"/>
              <w:rPr>
                <w:rtl/>
              </w:rPr>
            </w:pPr>
            <w:r>
              <w:rPr>
                <w:rFonts w:hint="cs"/>
                <w:rtl/>
              </w:rPr>
              <w:t>1.</w:t>
            </w:r>
          </w:p>
        </w:tc>
        <w:tc>
          <w:tcPr>
            <w:tcW w:w="7143" w:type="dxa"/>
            <w:gridSpan w:val="3"/>
          </w:tcPr>
          <w:p w14:paraId="2A2B0FCA" w14:textId="77777777" w:rsidR="00377AAC" w:rsidRPr="00DF0FE4" w:rsidRDefault="00377AAC" w:rsidP="00513AAF">
            <w:pPr>
              <w:pStyle w:val="TableBlock"/>
              <w:rPr>
                <w:rtl/>
              </w:rPr>
            </w:pPr>
            <w:r>
              <w:rPr>
                <w:rFonts w:hint="cs"/>
                <w:rtl/>
              </w:rPr>
              <w:t>בחוק אימוץ ילדים, התשמ"א–1981</w:t>
            </w:r>
            <w:r>
              <w:rPr>
                <w:rStyle w:val="a6"/>
                <w:rtl/>
              </w:rPr>
              <w:footnoteReference w:id="2"/>
            </w:r>
            <w:r>
              <w:rPr>
                <w:rFonts w:hint="cs"/>
                <w:rtl/>
              </w:rPr>
              <w:t>, במקום סעיף 3 יבוא:</w:t>
            </w:r>
          </w:p>
        </w:tc>
      </w:tr>
      <w:tr w:rsidR="00377AAC" w14:paraId="5F60B2D9" w14:textId="77777777" w:rsidTr="00513AAF">
        <w:trPr>
          <w:cantSplit/>
        </w:trPr>
        <w:tc>
          <w:tcPr>
            <w:tcW w:w="1871" w:type="dxa"/>
          </w:tcPr>
          <w:p w14:paraId="72C91997" w14:textId="77777777" w:rsidR="00377AAC" w:rsidRDefault="00377AAC" w:rsidP="002F6AF2">
            <w:pPr>
              <w:pStyle w:val="TableSideHeading"/>
              <w:keepLines w:val="0"/>
            </w:pPr>
          </w:p>
        </w:tc>
        <w:tc>
          <w:tcPr>
            <w:tcW w:w="624" w:type="dxa"/>
          </w:tcPr>
          <w:p w14:paraId="27E7A3ED" w14:textId="77777777" w:rsidR="00377AAC" w:rsidRDefault="00377AAC" w:rsidP="002F6AF2">
            <w:pPr>
              <w:pStyle w:val="TableText"/>
              <w:keepLines w:val="0"/>
            </w:pPr>
          </w:p>
        </w:tc>
        <w:tc>
          <w:tcPr>
            <w:tcW w:w="1872" w:type="dxa"/>
          </w:tcPr>
          <w:p w14:paraId="7C888E7D" w14:textId="77777777" w:rsidR="00377AAC" w:rsidRDefault="00377AAC" w:rsidP="002F6AF2">
            <w:pPr>
              <w:pStyle w:val="TableInnerSideHeading"/>
            </w:pPr>
            <w:r>
              <w:rPr>
                <w:rFonts w:hint="cs"/>
                <w:rtl/>
              </w:rPr>
              <w:t>"כשירות המאמץ</w:t>
            </w:r>
          </w:p>
        </w:tc>
        <w:tc>
          <w:tcPr>
            <w:tcW w:w="624" w:type="dxa"/>
          </w:tcPr>
          <w:p w14:paraId="1DCF57FC" w14:textId="77777777" w:rsidR="00377AAC" w:rsidRDefault="00377AAC" w:rsidP="002F6AF2">
            <w:pPr>
              <w:pStyle w:val="TableText"/>
            </w:pPr>
            <w:r>
              <w:rPr>
                <w:rFonts w:hint="cs"/>
                <w:rtl/>
              </w:rPr>
              <w:t>3.</w:t>
            </w:r>
            <w:r>
              <w:rPr>
                <w:rtl/>
              </w:rPr>
              <w:tab/>
            </w:r>
          </w:p>
        </w:tc>
        <w:tc>
          <w:tcPr>
            <w:tcW w:w="4647" w:type="dxa"/>
          </w:tcPr>
          <w:p w14:paraId="366F1AB7" w14:textId="2833FF18" w:rsidR="00377AAC" w:rsidRDefault="009148EA" w:rsidP="00BC4662">
            <w:pPr>
              <w:pStyle w:val="TableBlock"/>
            </w:pPr>
            <w:r>
              <w:rPr>
                <w:rFonts w:hint="cs"/>
                <w:rtl/>
              </w:rPr>
              <w:t>איש</w:t>
            </w:r>
            <w:r w:rsidR="00BC4662">
              <w:rPr>
                <w:rFonts w:hint="cs"/>
                <w:rtl/>
              </w:rPr>
              <w:t>,</w:t>
            </w:r>
            <w:r>
              <w:rPr>
                <w:rFonts w:hint="cs"/>
                <w:rtl/>
              </w:rPr>
              <w:t xml:space="preserve"> אישה או שני בני אדם</w:t>
            </w:r>
            <w:r w:rsidR="00BC4662">
              <w:rPr>
                <w:rFonts w:hint="cs"/>
                <w:rtl/>
              </w:rPr>
              <w:t xml:space="preserve"> כשירים לאמץ ילד</w:t>
            </w:r>
            <w:r w:rsidR="0056365C">
              <w:rPr>
                <w:rFonts w:hint="cs"/>
                <w:rtl/>
              </w:rPr>
              <w:t>."</w:t>
            </w:r>
          </w:p>
        </w:tc>
      </w:tr>
    </w:tbl>
    <w:p w14:paraId="1BBA1CE7" w14:textId="77777777" w:rsidR="00377AAC" w:rsidRDefault="00377AAC" w:rsidP="00377AAC">
      <w:pPr>
        <w:pStyle w:val="HeadDivreiHesber"/>
        <w:rPr>
          <w:rtl/>
        </w:rPr>
      </w:pPr>
      <w:r w:rsidRPr="0027450A">
        <w:rPr>
          <w:rFonts w:hint="cs"/>
          <w:rtl/>
        </w:rPr>
        <w:t>דברי הסבר</w:t>
      </w:r>
    </w:p>
    <w:p w14:paraId="4DF39D3D" w14:textId="57470447" w:rsidR="00377AAC" w:rsidRPr="00E22DBB" w:rsidRDefault="00377AAC" w:rsidP="003D1120">
      <w:pPr>
        <w:pStyle w:val="Hesber"/>
        <w:rPr>
          <w:color w:val="auto"/>
          <w:rtl/>
        </w:rPr>
      </w:pPr>
      <w:r>
        <w:rPr>
          <w:rFonts w:hint="cs"/>
          <w:rtl/>
        </w:rPr>
        <w:t xml:space="preserve">בימים אלה יש הקוראים תיגר על זכותם היסודית של אחרים לחיי משפחה ולעיצוב התא </w:t>
      </w:r>
      <w:r w:rsidRPr="00E22DBB">
        <w:rPr>
          <w:rFonts w:hint="cs"/>
          <w:color w:val="auto"/>
          <w:rtl/>
        </w:rPr>
        <w:t xml:space="preserve">המשפחתי שהקימו על פי בחירתם. </w:t>
      </w:r>
    </w:p>
    <w:p w14:paraId="15E40667" w14:textId="70B0AD67" w:rsidR="00377AAC" w:rsidRPr="00E22DBB" w:rsidRDefault="00377AAC" w:rsidP="00A92255">
      <w:pPr>
        <w:pStyle w:val="Hesber"/>
        <w:rPr>
          <w:color w:val="auto"/>
          <w:rtl/>
        </w:rPr>
      </w:pPr>
      <w:r w:rsidRPr="00E22DBB">
        <w:rPr>
          <w:rFonts w:hint="cs"/>
          <w:color w:val="auto"/>
          <w:rtl/>
        </w:rPr>
        <w:t>זכות האדם למשפחה היא מיסודות הקיום האנושי ועל חשיבותה עמדה השופטת א' פרוקצ'יה ב</w:t>
      </w:r>
      <w:hyperlink r:id="rId11" w:history="1">
        <w:r w:rsidRPr="006765B6">
          <w:rPr>
            <w:color w:val="auto"/>
            <w:sz w:val="26"/>
            <w:rtl/>
          </w:rPr>
          <w:t>בג"ץ 7444/03</w:t>
        </w:r>
      </w:hyperlink>
      <w:r w:rsidRPr="006765B6">
        <w:rPr>
          <w:color w:val="auto"/>
          <w:sz w:val="26"/>
          <w:rtl/>
        </w:rPr>
        <w:t xml:space="preserve"> </w:t>
      </w:r>
      <w:r w:rsidR="00B349B8" w:rsidRPr="006765B6">
        <w:rPr>
          <w:rFonts w:ascii="Times New Roman" w:hAnsi="Times New Roman" w:hint="cs"/>
          <w:b/>
          <w:bCs/>
          <w:color w:val="auto"/>
          <w:sz w:val="26"/>
          <w:rtl/>
        </w:rPr>
        <w:t xml:space="preserve">בלאל מסעוד </w:t>
      </w:r>
      <w:r w:rsidRPr="006765B6">
        <w:rPr>
          <w:rFonts w:ascii="Times New Roman" w:hAnsi="Times New Roman" w:hint="eastAsia"/>
          <w:b/>
          <w:bCs/>
          <w:color w:val="auto"/>
          <w:sz w:val="26"/>
          <w:rtl/>
        </w:rPr>
        <w:t>דקה</w:t>
      </w:r>
      <w:r w:rsidRPr="006765B6">
        <w:rPr>
          <w:rFonts w:ascii="Times New Roman" w:hAnsi="Times New Roman"/>
          <w:b/>
          <w:bCs/>
          <w:color w:val="auto"/>
          <w:sz w:val="26"/>
          <w:rtl/>
        </w:rPr>
        <w:t xml:space="preserve"> </w:t>
      </w:r>
      <w:r w:rsidRPr="006765B6">
        <w:rPr>
          <w:rFonts w:ascii="Times New Roman" w:hAnsi="Times New Roman" w:hint="eastAsia"/>
          <w:b/>
          <w:bCs/>
          <w:color w:val="auto"/>
          <w:sz w:val="26"/>
          <w:rtl/>
        </w:rPr>
        <w:t>נ</w:t>
      </w:r>
      <w:r w:rsidRPr="006765B6">
        <w:rPr>
          <w:rFonts w:ascii="Times New Roman" w:hAnsi="Times New Roman"/>
          <w:b/>
          <w:bCs/>
          <w:color w:val="auto"/>
          <w:sz w:val="26"/>
          <w:rtl/>
        </w:rPr>
        <w:t xml:space="preserve">' </w:t>
      </w:r>
      <w:r w:rsidRPr="006765B6">
        <w:rPr>
          <w:rFonts w:ascii="Times New Roman" w:hAnsi="Times New Roman" w:hint="eastAsia"/>
          <w:b/>
          <w:bCs/>
          <w:color w:val="auto"/>
          <w:sz w:val="26"/>
          <w:rtl/>
        </w:rPr>
        <w:t>שר</w:t>
      </w:r>
      <w:r w:rsidRPr="006765B6">
        <w:rPr>
          <w:rFonts w:ascii="Times New Roman" w:hAnsi="Times New Roman"/>
          <w:b/>
          <w:bCs/>
          <w:color w:val="auto"/>
          <w:sz w:val="26"/>
          <w:rtl/>
        </w:rPr>
        <w:t xml:space="preserve"> </w:t>
      </w:r>
      <w:r w:rsidRPr="006765B6">
        <w:rPr>
          <w:rFonts w:ascii="Times New Roman" w:hAnsi="Times New Roman" w:hint="eastAsia"/>
          <w:b/>
          <w:bCs/>
          <w:color w:val="auto"/>
          <w:sz w:val="26"/>
          <w:rtl/>
        </w:rPr>
        <w:t>הפנים</w:t>
      </w:r>
      <w:r w:rsidRPr="006765B6">
        <w:rPr>
          <w:color w:val="auto"/>
          <w:sz w:val="26"/>
          <w:rtl/>
        </w:rPr>
        <w:t xml:space="preserve"> </w:t>
      </w:r>
      <w:r w:rsidR="00FC4AA3" w:rsidRPr="00FC4AA3">
        <w:rPr>
          <w:rFonts w:ascii="Times New Roman" w:hAnsi="Times New Roman" w:hint="cs"/>
          <w:color w:val="auto"/>
          <w:sz w:val="26"/>
          <w:rtl/>
        </w:rPr>
        <w:t>(</w:t>
      </w:r>
      <w:r w:rsidR="00A92255">
        <w:rPr>
          <w:rFonts w:ascii="Times New Roman" w:hAnsi="Times New Roman" w:hint="cs"/>
          <w:color w:val="auto"/>
          <w:sz w:val="26"/>
          <w:rtl/>
        </w:rPr>
        <w:t>ניתן ביום</w:t>
      </w:r>
      <w:r w:rsidR="00FC4AA3" w:rsidRPr="00FC4AA3">
        <w:rPr>
          <w:rFonts w:ascii="Times New Roman" w:hAnsi="Times New Roman" w:hint="cs"/>
          <w:color w:val="auto"/>
          <w:sz w:val="26"/>
          <w:rtl/>
        </w:rPr>
        <w:t xml:space="preserve"> </w:t>
      </w:r>
      <w:r w:rsidRPr="006765B6">
        <w:rPr>
          <w:color w:val="auto"/>
          <w:sz w:val="26"/>
          <w:rtl/>
        </w:rPr>
        <w:t xml:space="preserve">22.2.2010), </w:t>
      </w:r>
      <w:r w:rsidR="003D1120" w:rsidRPr="006765B6">
        <w:rPr>
          <w:rFonts w:hint="eastAsia"/>
          <w:color w:val="auto"/>
          <w:sz w:val="26"/>
          <w:rtl/>
        </w:rPr>
        <w:t>ב</w:t>
      </w:r>
      <w:r w:rsidR="005634AA" w:rsidRPr="00FC4AA3">
        <w:rPr>
          <w:rFonts w:hint="cs"/>
          <w:color w:val="auto"/>
          <w:sz w:val="26"/>
          <w:rtl/>
        </w:rPr>
        <w:t>קביעתה</w:t>
      </w:r>
      <w:r w:rsidR="003D1120" w:rsidRPr="00FC4AA3">
        <w:rPr>
          <w:rFonts w:hint="cs"/>
          <w:color w:val="auto"/>
          <w:rtl/>
        </w:rPr>
        <w:t xml:space="preserve"> </w:t>
      </w:r>
      <w:r w:rsidRPr="00FC4AA3">
        <w:rPr>
          <w:rFonts w:hint="eastAsia"/>
          <w:color w:val="auto"/>
          <w:rtl/>
        </w:rPr>
        <w:t>כי</w:t>
      </w:r>
      <w:r w:rsidRPr="00FC4AA3">
        <w:rPr>
          <w:color w:val="auto"/>
          <w:rtl/>
        </w:rPr>
        <w:t xml:space="preserve"> "מימושה </w:t>
      </w:r>
      <w:r w:rsidRPr="00FC4AA3">
        <w:rPr>
          <w:rFonts w:hint="eastAsia"/>
          <w:color w:val="auto"/>
          <w:rtl/>
        </w:rPr>
        <w:t>הוא</w:t>
      </w:r>
      <w:r w:rsidRPr="00FC4AA3">
        <w:rPr>
          <w:color w:val="auto"/>
          <w:rtl/>
        </w:rPr>
        <w:t xml:space="preserve"> </w:t>
      </w:r>
      <w:r w:rsidRPr="00FC4AA3">
        <w:rPr>
          <w:rFonts w:hint="eastAsia"/>
          <w:color w:val="auto"/>
          <w:rtl/>
        </w:rPr>
        <w:t>תנאי</w:t>
      </w:r>
      <w:r w:rsidRPr="00FC4AA3">
        <w:rPr>
          <w:color w:val="auto"/>
          <w:rtl/>
        </w:rPr>
        <w:t xml:space="preserve"> </w:t>
      </w:r>
      <w:r w:rsidRPr="00FC4AA3">
        <w:rPr>
          <w:rFonts w:hint="eastAsia"/>
          <w:color w:val="auto"/>
          <w:rtl/>
        </w:rPr>
        <w:t>למיצוי</w:t>
      </w:r>
      <w:r w:rsidRPr="00E22DBB">
        <w:rPr>
          <w:rFonts w:hint="cs"/>
          <w:color w:val="auto"/>
          <w:rtl/>
        </w:rPr>
        <w:t xml:space="preserve"> החיים וטעם החיים; היא תנאי להגשמה העצמית של האדם, וליכולתו לקשור את חייו עם בן זוגו וילדיו בשותפות גורל אמיתית. היא משקפת את תמצית הווייתו של האדם, ואת התגלמות מאוויי חייו. הזכות למשפחה ניצבת במידרג עליון של זכויות האדם". </w:t>
      </w:r>
    </w:p>
    <w:p w14:paraId="67D65DB4" w14:textId="70EED54D" w:rsidR="00377AAC" w:rsidRPr="006765B6" w:rsidRDefault="00377AAC" w:rsidP="006765B6">
      <w:pPr>
        <w:pStyle w:val="Hesber"/>
        <w:rPr>
          <w:color w:val="auto"/>
          <w:sz w:val="26"/>
          <w:rtl/>
        </w:rPr>
      </w:pPr>
      <w:r w:rsidRPr="00E22DBB">
        <w:rPr>
          <w:rFonts w:hint="cs"/>
          <w:color w:val="auto"/>
          <w:rtl/>
        </w:rPr>
        <w:t>הזכות לחיי משפחה כוללת בתוכה זכות חשובה נוספת</w:t>
      </w:r>
      <w:r w:rsidR="00FC4AA3">
        <w:rPr>
          <w:rFonts w:hint="cs"/>
          <w:color w:val="auto"/>
          <w:rtl/>
        </w:rPr>
        <w:t>,</w:t>
      </w:r>
      <w:r w:rsidRPr="00E22DBB">
        <w:rPr>
          <w:rFonts w:hint="cs"/>
          <w:color w:val="auto"/>
          <w:rtl/>
        </w:rPr>
        <w:t xml:space="preserve"> הזכות להורות. על מעמדה של הזכות להורות עמדה </w:t>
      </w:r>
      <w:r w:rsidR="003D1120" w:rsidRPr="00E22DBB">
        <w:rPr>
          <w:rFonts w:hint="cs"/>
          <w:color w:val="auto"/>
          <w:rtl/>
        </w:rPr>
        <w:t>פרופ</w:t>
      </w:r>
      <w:r w:rsidR="003D1120">
        <w:rPr>
          <w:rFonts w:hint="cs"/>
          <w:color w:val="auto"/>
          <w:rtl/>
        </w:rPr>
        <w:t>סור</w:t>
      </w:r>
      <w:r w:rsidR="003D1120" w:rsidRPr="00E22DBB">
        <w:rPr>
          <w:rFonts w:hint="cs"/>
          <w:color w:val="auto"/>
          <w:rtl/>
        </w:rPr>
        <w:t xml:space="preserve"> ד</w:t>
      </w:r>
      <w:r w:rsidR="003D1120">
        <w:rPr>
          <w:rFonts w:hint="cs"/>
          <w:color w:val="auto"/>
          <w:rtl/>
        </w:rPr>
        <w:t>פנה</w:t>
      </w:r>
      <w:r w:rsidR="003D1120" w:rsidRPr="00E22DBB">
        <w:rPr>
          <w:rFonts w:hint="cs"/>
          <w:color w:val="auto"/>
          <w:rtl/>
        </w:rPr>
        <w:t xml:space="preserve"> </w:t>
      </w:r>
      <w:r w:rsidRPr="00E22DBB">
        <w:rPr>
          <w:rFonts w:hint="cs"/>
          <w:color w:val="auto"/>
          <w:rtl/>
        </w:rPr>
        <w:t>ברק</w:t>
      </w:r>
      <w:r w:rsidR="006765B6">
        <w:rPr>
          <w:rFonts w:hint="cs"/>
          <w:color w:val="auto"/>
          <w:rtl/>
        </w:rPr>
        <w:t xml:space="preserve"> </w:t>
      </w:r>
      <w:r w:rsidRPr="00E22DBB">
        <w:rPr>
          <w:rFonts w:hint="cs"/>
          <w:color w:val="auto"/>
          <w:rtl/>
        </w:rPr>
        <w:t>ארז בציינה כי "מימושה של אופציית ההורות אינו רק דרך חיים אפשרית, אלא מושרש בקיום האנושי [...] הבחירה בהורות אינה רק בחירה לגבי דרך חיים; יש לה משקל מעבר לכך בקיום האנושי. היא מבטאת צורך קיומי בסיסי" (דפנה ברק-</w:t>
      </w:r>
      <w:hyperlink r:id="rId12" w:history="1">
        <w:r w:rsidRPr="00E22DBB">
          <w:rPr>
            <w:color w:val="auto"/>
            <w:rtl/>
          </w:rPr>
          <w:t xml:space="preserve">ארז "על סימטריה וניטרליות: בעקבות </w:t>
        </w:r>
      </w:hyperlink>
      <w:r w:rsidRPr="00E22DBB">
        <w:rPr>
          <w:rFonts w:hint="cs"/>
          <w:color w:val="auto"/>
          <w:rtl/>
        </w:rPr>
        <w:t xml:space="preserve"> </w:t>
      </w:r>
      <w:r w:rsidRPr="006765B6">
        <w:rPr>
          <w:rFonts w:hint="eastAsia"/>
          <w:color w:val="auto"/>
          <w:sz w:val="26"/>
          <w:rtl/>
        </w:rPr>
        <w:lastRenderedPageBreak/>
        <w:t>פרשת</w:t>
      </w:r>
      <w:r w:rsidRPr="006765B6">
        <w:rPr>
          <w:color w:val="auto"/>
          <w:sz w:val="26"/>
          <w:rtl/>
        </w:rPr>
        <w:t xml:space="preserve"> נחמני" </w:t>
      </w:r>
      <w:r w:rsidRPr="006765B6">
        <w:rPr>
          <w:rFonts w:ascii="Times New Roman" w:hAnsi="Times New Roman" w:hint="eastAsia"/>
          <w:b/>
          <w:bCs/>
          <w:color w:val="auto"/>
          <w:sz w:val="26"/>
          <w:rtl/>
        </w:rPr>
        <w:t>עיוני</w:t>
      </w:r>
      <w:r w:rsidRPr="006765B6">
        <w:rPr>
          <w:rFonts w:ascii="Times New Roman" w:hAnsi="Times New Roman"/>
          <w:b/>
          <w:bCs/>
          <w:color w:val="auto"/>
          <w:sz w:val="26"/>
          <w:rtl/>
        </w:rPr>
        <w:t xml:space="preserve"> </w:t>
      </w:r>
      <w:r w:rsidRPr="006765B6">
        <w:rPr>
          <w:rFonts w:ascii="Times New Roman" w:hAnsi="Times New Roman" w:hint="eastAsia"/>
          <w:b/>
          <w:bCs/>
          <w:color w:val="auto"/>
          <w:sz w:val="26"/>
          <w:rtl/>
        </w:rPr>
        <w:t>משפט</w:t>
      </w:r>
      <w:r w:rsidRPr="006765B6">
        <w:rPr>
          <w:color w:val="auto"/>
          <w:sz w:val="26"/>
          <w:rtl/>
        </w:rPr>
        <w:t xml:space="preserve"> כ 197, 200-199 (1996)). </w:t>
      </w:r>
    </w:p>
    <w:p w14:paraId="25D5BCC0" w14:textId="1579D260" w:rsidR="00377AAC" w:rsidRPr="00E22DBB" w:rsidRDefault="00377AAC" w:rsidP="006765B6">
      <w:pPr>
        <w:pStyle w:val="Hesber"/>
        <w:rPr>
          <w:color w:val="auto"/>
          <w:rtl/>
        </w:rPr>
      </w:pPr>
      <w:r w:rsidRPr="00E22DBB">
        <w:rPr>
          <w:rFonts w:hint="cs"/>
          <w:color w:val="auto"/>
          <w:rtl/>
        </w:rPr>
        <w:t>זכויות חוקתיות אלה נשללות היום</w:t>
      </w:r>
      <w:r w:rsidR="003D1120">
        <w:rPr>
          <w:rFonts w:hint="cs"/>
          <w:color w:val="auto"/>
          <w:rtl/>
        </w:rPr>
        <w:t>,</w:t>
      </w:r>
      <w:r w:rsidRPr="00E22DBB">
        <w:rPr>
          <w:rFonts w:hint="cs"/>
          <w:color w:val="auto"/>
          <w:rtl/>
        </w:rPr>
        <w:t xml:space="preserve"> בחסות החוק</w:t>
      </w:r>
      <w:r w:rsidR="003D1120">
        <w:rPr>
          <w:rFonts w:hint="cs"/>
          <w:color w:val="auto"/>
          <w:rtl/>
        </w:rPr>
        <w:t>,</w:t>
      </w:r>
      <w:r w:rsidRPr="00E22DBB">
        <w:rPr>
          <w:rFonts w:hint="cs"/>
          <w:color w:val="auto"/>
          <w:rtl/>
        </w:rPr>
        <w:t xml:space="preserve"> מזוגות שאינם נשואים ו</w:t>
      </w:r>
      <w:r w:rsidR="003D1120">
        <w:rPr>
          <w:rFonts w:hint="cs"/>
          <w:color w:val="auto"/>
          <w:rtl/>
        </w:rPr>
        <w:t>מ</w:t>
      </w:r>
      <w:r w:rsidRPr="00E22DBB">
        <w:rPr>
          <w:rFonts w:hint="cs"/>
          <w:color w:val="auto"/>
          <w:rtl/>
        </w:rPr>
        <w:t>יחידי</w:t>
      </w:r>
      <w:r w:rsidR="00FC4AA3">
        <w:rPr>
          <w:rFonts w:hint="cs"/>
          <w:color w:val="auto"/>
          <w:rtl/>
        </w:rPr>
        <w:t>ם</w:t>
      </w:r>
      <w:r w:rsidRPr="00E22DBB">
        <w:rPr>
          <w:rFonts w:hint="cs"/>
          <w:color w:val="auto"/>
          <w:rtl/>
        </w:rPr>
        <w:t xml:space="preserve"> שכשירותם להיות הורים מאמצים גבוהה, אך הם אינם </w:t>
      </w:r>
      <w:r w:rsidR="00FC4AA3">
        <w:rPr>
          <w:rFonts w:hint="cs"/>
          <w:color w:val="auto"/>
          <w:rtl/>
        </w:rPr>
        <w:t>עומדים</w:t>
      </w:r>
      <w:r w:rsidR="003D1120" w:rsidRPr="00E22DBB">
        <w:rPr>
          <w:rFonts w:hint="cs"/>
          <w:color w:val="auto"/>
          <w:rtl/>
        </w:rPr>
        <w:t xml:space="preserve"> </w:t>
      </w:r>
      <w:r w:rsidR="003D1120">
        <w:rPr>
          <w:rFonts w:hint="cs"/>
          <w:color w:val="auto"/>
          <w:rtl/>
        </w:rPr>
        <w:t>ב</w:t>
      </w:r>
      <w:r w:rsidRPr="00E22DBB">
        <w:rPr>
          <w:rFonts w:hint="cs"/>
          <w:color w:val="auto"/>
          <w:rtl/>
        </w:rPr>
        <w:t>הגדרת סעיף 3 לחוק אימוץ ילדים, התשמ"א</w:t>
      </w:r>
      <w:r w:rsidR="003D1120">
        <w:rPr>
          <w:rFonts w:hint="eastAsia"/>
          <w:color w:val="auto"/>
          <w:rtl/>
        </w:rPr>
        <w:t>–</w:t>
      </w:r>
      <w:r w:rsidRPr="00E22DBB">
        <w:rPr>
          <w:rFonts w:hint="cs"/>
          <w:color w:val="auto"/>
          <w:rtl/>
        </w:rPr>
        <w:t xml:space="preserve">1981, הקובע כי מאמצים כשירים הם רק "איש ואישתו". במקרה של יחידים המבקשים לאמץ, החוק </w:t>
      </w:r>
      <w:r w:rsidR="00FC4AA3">
        <w:rPr>
          <w:rFonts w:hint="cs"/>
          <w:color w:val="auto"/>
          <w:rtl/>
        </w:rPr>
        <w:t>מעניק</w:t>
      </w:r>
      <w:r w:rsidR="006765B6">
        <w:rPr>
          <w:rFonts w:hint="cs"/>
          <w:color w:val="auto"/>
          <w:rtl/>
        </w:rPr>
        <w:t xml:space="preserve"> את</w:t>
      </w:r>
      <w:r w:rsidRPr="00E22DBB">
        <w:rPr>
          <w:rFonts w:hint="cs"/>
          <w:color w:val="auto"/>
          <w:rtl/>
        </w:rPr>
        <w:t xml:space="preserve"> שיקול דעת לבית המשפט</w:t>
      </w:r>
      <w:r w:rsidR="00FC4AA3">
        <w:rPr>
          <w:rFonts w:hint="cs"/>
          <w:color w:val="auto"/>
          <w:rtl/>
        </w:rPr>
        <w:t>,</w:t>
      </w:r>
      <w:r w:rsidRPr="00E22DBB">
        <w:rPr>
          <w:rFonts w:hint="cs"/>
          <w:color w:val="auto"/>
          <w:rtl/>
        </w:rPr>
        <w:t xml:space="preserve"> באופן מחמיר </w:t>
      </w:r>
      <w:r w:rsidR="00FC4AA3">
        <w:rPr>
          <w:rFonts w:hint="cs"/>
          <w:color w:val="auto"/>
          <w:rtl/>
        </w:rPr>
        <w:t xml:space="preserve">יותר </w:t>
      </w:r>
      <w:r w:rsidRPr="00E22DBB">
        <w:rPr>
          <w:rFonts w:hint="cs"/>
          <w:color w:val="auto"/>
          <w:rtl/>
        </w:rPr>
        <w:t xml:space="preserve">מאשר </w:t>
      </w:r>
      <w:r w:rsidR="003D1120">
        <w:rPr>
          <w:rFonts w:hint="cs"/>
          <w:color w:val="auto"/>
          <w:rtl/>
        </w:rPr>
        <w:t xml:space="preserve">זה </w:t>
      </w:r>
      <w:r w:rsidR="00FC4AA3">
        <w:rPr>
          <w:rFonts w:hint="cs"/>
          <w:color w:val="auto"/>
          <w:rtl/>
        </w:rPr>
        <w:t>ש</w:t>
      </w:r>
      <w:r w:rsidRPr="00E22DBB">
        <w:rPr>
          <w:rFonts w:hint="cs"/>
          <w:color w:val="auto"/>
          <w:rtl/>
        </w:rPr>
        <w:t>נקבע לגבי "איש ואישה".</w:t>
      </w:r>
    </w:p>
    <w:p w14:paraId="13B6DCFB" w14:textId="480F7F00" w:rsidR="00377AAC" w:rsidRPr="00AC324B" w:rsidRDefault="003D1120" w:rsidP="00B349B8">
      <w:pPr>
        <w:pStyle w:val="Hesber"/>
        <w:rPr>
          <w:rtl/>
        </w:rPr>
      </w:pPr>
      <w:r>
        <w:rPr>
          <w:rFonts w:hint="cs"/>
          <w:rtl/>
        </w:rPr>
        <w:t>תוצאה זו אינה</w:t>
      </w:r>
      <w:r w:rsidR="00377AAC">
        <w:rPr>
          <w:rFonts w:hint="cs"/>
          <w:rtl/>
        </w:rPr>
        <w:t xml:space="preserve"> </w:t>
      </w:r>
      <w:r>
        <w:rPr>
          <w:rFonts w:hint="cs"/>
          <w:rtl/>
        </w:rPr>
        <w:t>שוויונית ואין</w:t>
      </w:r>
      <w:r w:rsidR="00377AAC">
        <w:rPr>
          <w:rFonts w:hint="cs"/>
          <w:rtl/>
        </w:rPr>
        <w:t xml:space="preserve"> צ</w:t>
      </w:r>
      <w:r>
        <w:rPr>
          <w:rFonts w:hint="cs"/>
          <w:rtl/>
        </w:rPr>
        <w:t>ו</w:t>
      </w:r>
      <w:r w:rsidR="00377AAC">
        <w:rPr>
          <w:rFonts w:hint="cs"/>
          <w:rtl/>
        </w:rPr>
        <w:t>דק</w:t>
      </w:r>
      <w:r>
        <w:rPr>
          <w:rFonts w:hint="cs"/>
          <w:rtl/>
        </w:rPr>
        <w:t>ת</w:t>
      </w:r>
      <w:r w:rsidR="00377AAC">
        <w:rPr>
          <w:rFonts w:hint="cs"/>
          <w:rtl/>
        </w:rPr>
        <w:t xml:space="preserve">. </w:t>
      </w:r>
      <w:r w:rsidR="00377AAC" w:rsidRPr="00AC324B">
        <w:rPr>
          <w:rFonts w:hint="cs"/>
          <w:rtl/>
        </w:rPr>
        <w:t xml:space="preserve">לפיכך, מוצע לבטל את </w:t>
      </w:r>
      <w:r>
        <w:rPr>
          <w:rFonts w:hint="cs"/>
          <w:rtl/>
        </w:rPr>
        <w:t>ההפליה</w:t>
      </w:r>
      <w:r w:rsidR="00DA3D06">
        <w:rPr>
          <w:rFonts w:hint="cs"/>
          <w:rtl/>
        </w:rPr>
        <w:t xml:space="preserve"> בין המבקשים לאמץ</w:t>
      </w:r>
      <w:r w:rsidR="00377AAC" w:rsidRPr="00AC324B">
        <w:rPr>
          <w:rFonts w:hint="cs"/>
          <w:rtl/>
        </w:rPr>
        <w:t xml:space="preserve"> </w:t>
      </w:r>
      <w:r w:rsidR="00DA3D06">
        <w:rPr>
          <w:rFonts w:hint="cs"/>
          <w:rtl/>
        </w:rPr>
        <w:t xml:space="preserve">ולקבוע כי </w:t>
      </w:r>
      <w:r>
        <w:rPr>
          <w:rFonts w:hint="cs"/>
          <w:rtl/>
        </w:rPr>
        <w:t>איש או אישה או שני בני אדם, יהיו כשירים</w:t>
      </w:r>
      <w:r w:rsidR="00DA3D06">
        <w:rPr>
          <w:rFonts w:hint="cs"/>
          <w:rtl/>
        </w:rPr>
        <w:t xml:space="preserve"> </w:t>
      </w:r>
      <w:r>
        <w:rPr>
          <w:rFonts w:hint="cs"/>
          <w:rtl/>
        </w:rPr>
        <w:t>לאמץ.</w:t>
      </w:r>
      <w:r w:rsidR="00DA3D06">
        <w:rPr>
          <w:rFonts w:hint="cs"/>
          <w:rtl/>
        </w:rPr>
        <w:t xml:space="preserve"> </w:t>
      </w:r>
      <w:r>
        <w:rPr>
          <w:rFonts w:hint="cs"/>
          <w:rtl/>
        </w:rPr>
        <w:t xml:space="preserve">זאת </w:t>
      </w:r>
      <w:r w:rsidR="00377AAC" w:rsidRPr="00AC324B">
        <w:rPr>
          <w:rFonts w:hint="cs"/>
          <w:rtl/>
        </w:rPr>
        <w:t>מתוך הבנה שטובת הילד אינה בהכרח</w:t>
      </w:r>
      <w:r>
        <w:rPr>
          <w:rFonts w:hint="cs"/>
          <w:rtl/>
        </w:rPr>
        <w:t xml:space="preserve"> שזה יאומץ ויגדל בידי</w:t>
      </w:r>
      <w:r w:rsidR="00377AAC" w:rsidRPr="00AC324B">
        <w:rPr>
          <w:rFonts w:hint="cs"/>
          <w:rtl/>
        </w:rPr>
        <w:t xml:space="preserve"> זוג הטרוסקסואלי נשוי בלבד, אלא </w:t>
      </w:r>
      <w:r>
        <w:rPr>
          <w:rFonts w:hint="cs"/>
          <w:rtl/>
        </w:rPr>
        <w:t xml:space="preserve">יש לשים דגש על </w:t>
      </w:r>
      <w:r w:rsidR="00377AAC" w:rsidRPr="00AC324B">
        <w:rPr>
          <w:rFonts w:hint="cs"/>
          <w:rtl/>
        </w:rPr>
        <w:t>יכול</w:t>
      </w:r>
      <w:r>
        <w:rPr>
          <w:rFonts w:hint="cs"/>
          <w:rtl/>
        </w:rPr>
        <w:t>ו</w:t>
      </w:r>
      <w:r w:rsidR="00377AAC" w:rsidRPr="00AC324B">
        <w:rPr>
          <w:rFonts w:hint="cs"/>
          <w:rtl/>
        </w:rPr>
        <w:t>ת הורות מיטביות.</w:t>
      </w:r>
    </w:p>
    <w:p w14:paraId="69484ABE" w14:textId="44F940E7" w:rsidR="00377AAC" w:rsidRPr="00AC324B" w:rsidRDefault="00377AAC" w:rsidP="00377AAC">
      <w:pPr>
        <w:pStyle w:val="Hesber"/>
        <w:rPr>
          <w:rtl/>
        </w:rPr>
      </w:pPr>
      <w:r w:rsidRPr="00AC324B">
        <w:rPr>
          <w:rFonts w:hint="cs"/>
          <w:rtl/>
        </w:rPr>
        <w:t xml:space="preserve">יצוין כי ישראל חריגה בין מדינות המערב, כגון שבדיה, הולנד, אנגליה ומדינות נוספות, </w:t>
      </w:r>
      <w:r w:rsidR="00A92255">
        <w:rPr>
          <w:rFonts w:hint="cs"/>
          <w:rtl/>
        </w:rPr>
        <w:t>ש</w:t>
      </w:r>
      <w:r w:rsidRPr="00AC324B">
        <w:rPr>
          <w:rFonts w:hint="cs"/>
          <w:rtl/>
        </w:rPr>
        <w:t>בהן לא ניתנת עדיפות להורים נשואים בתהליך אימוץ, ויחידים יכולים לאמץ כל עוד הם נמצאים כשירים על ידי הרשויות הרלוונטיות.</w:t>
      </w:r>
    </w:p>
    <w:p w14:paraId="156858C2" w14:textId="61F809CF" w:rsidR="00377AAC" w:rsidRPr="00AC324B" w:rsidRDefault="00377AAC" w:rsidP="00A92255">
      <w:pPr>
        <w:pStyle w:val="Hesber"/>
        <w:rPr>
          <w:rtl/>
        </w:rPr>
      </w:pPr>
      <w:r w:rsidRPr="00AC324B">
        <w:rPr>
          <w:rFonts w:hint="cs"/>
          <w:rtl/>
        </w:rPr>
        <w:t>הצע</w:t>
      </w:r>
      <w:r w:rsidR="0056365C">
        <w:rPr>
          <w:rFonts w:hint="cs"/>
          <w:rtl/>
        </w:rPr>
        <w:t>ו</w:t>
      </w:r>
      <w:r w:rsidRPr="00AC324B">
        <w:rPr>
          <w:rFonts w:hint="cs"/>
          <w:rtl/>
        </w:rPr>
        <w:t>ת חוק</w:t>
      </w:r>
      <w:r w:rsidR="006C3F02">
        <w:rPr>
          <w:rFonts w:hint="cs"/>
          <w:rtl/>
        </w:rPr>
        <w:t xml:space="preserve"> בנושא</w:t>
      </w:r>
      <w:r w:rsidRPr="00AC324B">
        <w:rPr>
          <w:rFonts w:hint="cs"/>
          <w:rtl/>
        </w:rPr>
        <w:t xml:space="preserve"> </w:t>
      </w:r>
      <w:r>
        <w:rPr>
          <w:rFonts w:hint="cs"/>
          <w:rtl/>
        </w:rPr>
        <w:t>דומה</w:t>
      </w:r>
      <w:r w:rsidR="0056365C">
        <w:rPr>
          <w:rFonts w:hint="cs"/>
          <w:rtl/>
        </w:rPr>
        <w:t xml:space="preserve"> הונחו</w:t>
      </w:r>
      <w:r w:rsidRPr="00AC324B">
        <w:rPr>
          <w:rFonts w:hint="cs"/>
          <w:rtl/>
        </w:rPr>
        <w:t xml:space="preserve"> על שולחן הכנסת</w:t>
      </w:r>
      <w:r w:rsidR="005634AA">
        <w:rPr>
          <w:rFonts w:hint="cs"/>
          <w:rtl/>
        </w:rPr>
        <w:t xml:space="preserve"> </w:t>
      </w:r>
      <w:r w:rsidR="00A27E0B">
        <w:rPr>
          <w:rFonts w:hint="cs"/>
          <w:rtl/>
        </w:rPr>
        <w:t>התשע</w:t>
      </w:r>
      <w:r w:rsidR="006765B6">
        <w:rPr>
          <w:rFonts w:hint="cs"/>
          <w:rtl/>
        </w:rPr>
        <w:t>-</w:t>
      </w:r>
      <w:r w:rsidR="00A27E0B">
        <w:rPr>
          <w:rFonts w:hint="cs"/>
          <w:rtl/>
        </w:rPr>
        <w:t xml:space="preserve">עשרה </w:t>
      </w:r>
      <w:r w:rsidR="006C3F02">
        <w:rPr>
          <w:rFonts w:hint="cs"/>
          <w:rtl/>
        </w:rPr>
        <w:t>על ידי חברת הכנסת עדי קול וקבוצת חברי הכנסת (</w:t>
      </w:r>
      <w:r w:rsidR="006C3F02">
        <w:rPr>
          <w:rFonts w:hint="cs"/>
          <w:sz w:val="26"/>
          <w:rtl/>
        </w:rPr>
        <w:t>פ/1945/19), על ידי חבר</w:t>
      </w:r>
      <w:r w:rsidR="006C3F02">
        <w:rPr>
          <w:rFonts w:hint="cs"/>
          <w:rtl/>
        </w:rPr>
        <w:t xml:space="preserve"> הכנסת ניצן הורוביץ (</w:t>
      </w:r>
      <w:r w:rsidR="006C3F02">
        <w:rPr>
          <w:rFonts w:hint="cs"/>
          <w:sz w:val="26"/>
          <w:rtl/>
        </w:rPr>
        <w:t>פ/2047/19),</w:t>
      </w:r>
      <w:r w:rsidR="00A27E0B">
        <w:rPr>
          <w:rFonts w:hint="cs"/>
          <w:rtl/>
        </w:rPr>
        <w:t xml:space="preserve"> ו</w:t>
      </w:r>
      <w:r w:rsidR="006C3F02">
        <w:rPr>
          <w:rFonts w:hint="cs"/>
          <w:rtl/>
        </w:rPr>
        <w:t>על ידי חברת הכנסת מרב מיכאלי (</w:t>
      </w:r>
      <w:bookmarkStart w:id="7" w:name="LawNum"/>
      <w:r w:rsidR="006C3F02">
        <w:rPr>
          <w:rFonts w:hint="cs"/>
          <w:sz w:val="26"/>
          <w:rtl/>
        </w:rPr>
        <w:t>פ/2353/19</w:t>
      </w:r>
      <w:bookmarkEnd w:id="7"/>
      <w:r w:rsidR="00A92255">
        <w:rPr>
          <w:rFonts w:hint="cs"/>
          <w:sz w:val="26"/>
          <w:rtl/>
        </w:rPr>
        <w:t>), ו</w:t>
      </w:r>
      <w:r w:rsidR="00A27E0B">
        <w:rPr>
          <w:rFonts w:hint="cs"/>
          <w:rtl/>
        </w:rPr>
        <w:t xml:space="preserve">על שולחן הכנסת </w:t>
      </w:r>
      <w:r w:rsidR="005634AA">
        <w:rPr>
          <w:rFonts w:hint="cs"/>
          <w:rtl/>
        </w:rPr>
        <w:t>העשרים</w:t>
      </w:r>
      <w:r w:rsidRPr="00AC324B">
        <w:rPr>
          <w:rFonts w:hint="cs"/>
          <w:rtl/>
        </w:rPr>
        <w:t xml:space="preserve"> על ידי חברת הכנסת מרב מיכאלי (פ/</w:t>
      </w:r>
      <w:r>
        <w:rPr>
          <w:rFonts w:hint="cs"/>
          <w:rtl/>
        </w:rPr>
        <w:t>421/20</w:t>
      </w:r>
      <w:r w:rsidR="006C3F02">
        <w:rPr>
          <w:rFonts w:hint="cs"/>
          <w:rtl/>
        </w:rPr>
        <w:t>; הוסרה מסדר היום ביום</w:t>
      </w:r>
      <w:r w:rsidR="006C3F02" w:rsidRPr="006C3F02">
        <w:rPr>
          <w:rFonts w:hint="cs"/>
          <w:rtl/>
        </w:rPr>
        <w:t xml:space="preserve"> </w:t>
      </w:r>
      <w:r w:rsidR="006C3F02" w:rsidRPr="003169C1">
        <w:rPr>
          <w:rFonts w:hint="cs"/>
          <w:rtl/>
        </w:rPr>
        <w:t>כ"ה בתמוז התשע"ז (19 ביולי 2015)</w:t>
      </w:r>
      <w:r>
        <w:rPr>
          <w:rFonts w:hint="cs"/>
          <w:rtl/>
        </w:rPr>
        <w:t>)</w:t>
      </w:r>
      <w:r w:rsidR="006765B6">
        <w:rPr>
          <w:rFonts w:hint="cs"/>
          <w:rtl/>
        </w:rPr>
        <w:t xml:space="preserve"> ו</w:t>
      </w:r>
      <w:r w:rsidRPr="00AC324B">
        <w:rPr>
          <w:rFonts w:hint="cs"/>
          <w:rtl/>
        </w:rPr>
        <w:t xml:space="preserve">על ידי חברת הכנסת </w:t>
      </w:r>
      <w:r>
        <w:rPr>
          <w:rFonts w:hint="cs"/>
          <w:rtl/>
        </w:rPr>
        <w:t xml:space="preserve">מיכל רוזין וקבוצת חברי </w:t>
      </w:r>
      <w:r w:rsidR="0056365C">
        <w:rPr>
          <w:rFonts w:hint="cs"/>
          <w:rtl/>
        </w:rPr>
        <w:t>ה</w:t>
      </w:r>
      <w:r>
        <w:rPr>
          <w:rFonts w:hint="cs"/>
          <w:rtl/>
        </w:rPr>
        <w:t xml:space="preserve">כנסת </w:t>
      </w:r>
      <w:r w:rsidRPr="00AC324B">
        <w:rPr>
          <w:rFonts w:hint="cs"/>
          <w:rtl/>
        </w:rPr>
        <w:t>(פ/</w:t>
      </w:r>
      <w:r>
        <w:rPr>
          <w:rFonts w:hint="cs"/>
          <w:rtl/>
        </w:rPr>
        <w:t>450</w:t>
      </w:r>
      <w:r w:rsidRPr="00AC324B">
        <w:rPr>
          <w:rFonts w:hint="cs"/>
          <w:rtl/>
        </w:rPr>
        <w:t>/</w:t>
      </w:r>
      <w:r>
        <w:rPr>
          <w:rFonts w:hint="cs"/>
          <w:rtl/>
        </w:rPr>
        <w:t>20</w:t>
      </w:r>
      <w:r w:rsidR="005634AA">
        <w:rPr>
          <w:rFonts w:hint="cs"/>
          <w:rtl/>
        </w:rPr>
        <w:t xml:space="preserve">; </w:t>
      </w:r>
      <w:r w:rsidR="005634AA" w:rsidRPr="003169C1">
        <w:rPr>
          <w:rFonts w:hint="cs"/>
          <w:rtl/>
        </w:rPr>
        <w:t>הוסרה מסדר היום ביום כ"ה בתמוז התשע"ז (19 ביולי 2015)</w:t>
      </w:r>
      <w:r w:rsidR="006765B6">
        <w:rPr>
          <w:rFonts w:hint="cs"/>
          <w:rtl/>
        </w:rPr>
        <w:t xml:space="preserve">). </w:t>
      </w:r>
    </w:p>
    <w:p w14:paraId="5F21B602" w14:textId="77777777" w:rsidR="00377AAC" w:rsidRDefault="00377AAC" w:rsidP="00377AAC">
      <w:pPr>
        <w:pStyle w:val="Hesber"/>
        <w:rPr>
          <w:rtl/>
        </w:rPr>
      </w:pPr>
    </w:p>
    <w:p w14:paraId="039D25C4" w14:textId="77777777" w:rsidR="0056365C" w:rsidRDefault="0056365C" w:rsidP="00377AAC">
      <w:pPr>
        <w:pStyle w:val="Hesber"/>
        <w:rPr>
          <w:rtl/>
        </w:rPr>
      </w:pPr>
      <w:bookmarkStart w:id="8" w:name="_GoBack"/>
      <w:bookmarkEnd w:id="8"/>
    </w:p>
    <w:p w14:paraId="6A01CF0B" w14:textId="77777777" w:rsidR="0056365C" w:rsidRDefault="0056365C" w:rsidP="00377AAC">
      <w:pPr>
        <w:pStyle w:val="Hesber"/>
        <w:rPr>
          <w:rtl/>
        </w:rPr>
      </w:pPr>
    </w:p>
    <w:p w14:paraId="0A95F1E3" w14:textId="77777777" w:rsidR="0056365C" w:rsidRPr="00D73212" w:rsidRDefault="0056365C" w:rsidP="0056365C">
      <w:pPr>
        <w:pStyle w:val="Hesber"/>
        <w:rPr>
          <w:color w:val="auto"/>
          <w:rtl/>
          <w:lang w:eastAsia="en-US"/>
        </w:rPr>
      </w:pPr>
      <w:r w:rsidRPr="00D73212">
        <w:rPr>
          <w:color w:val="auto"/>
          <w:rtl/>
          <w:lang w:eastAsia="en-US"/>
        </w:rPr>
        <w:t>---------------------------------</w:t>
      </w:r>
    </w:p>
    <w:p w14:paraId="356D5906" w14:textId="77777777" w:rsidR="0056365C" w:rsidRPr="00D73212" w:rsidRDefault="0056365C" w:rsidP="0056365C">
      <w:pPr>
        <w:pStyle w:val="Hesber"/>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3EFD0090" w14:textId="77777777" w:rsidR="0056365C" w:rsidRPr="00D73212" w:rsidRDefault="0056365C" w:rsidP="0056365C">
      <w:pPr>
        <w:pStyle w:val="Hesber"/>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0B0B75CC" w14:textId="77777777" w:rsidR="0056365C" w:rsidRPr="00317312" w:rsidRDefault="0056365C" w:rsidP="0056365C">
      <w:pPr>
        <w:pStyle w:val="Hesber"/>
      </w:pPr>
      <w:r>
        <w:rPr>
          <w:rFonts w:hint="cs"/>
          <w:color w:val="auto"/>
          <w:rtl/>
          <w:lang w:eastAsia="en-US"/>
        </w:rPr>
        <w:t>ג' בחשוון</w:t>
      </w:r>
      <w:r w:rsidRPr="00D73212">
        <w:rPr>
          <w:color w:val="auto"/>
          <w:rtl/>
          <w:lang w:eastAsia="en-US"/>
        </w:rPr>
        <w:t xml:space="preserve"> </w:t>
      </w:r>
      <w:r w:rsidRPr="00D73212">
        <w:rPr>
          <w:rFonts w:hint="cs"/>
          <w:color w:val="auto"/>
          <w:rtl/>
          <w:lang w:eastAsia="en-US"/>
        </w:rPr>
        <w:t>התשע</w:t>
      </w:r>
      <w:r w:rsidRPr="00D73212">
        <w:rPr>
          <w:color w:val="auto"/>
          <w:rtl/>
          <w:lang w:eastAsia="en-US"/>
        </w:rPr>
        <w:t>"</w:t>
      </w:r>
      <w:r>
        <w:rPr>
          <w:rFonts w:hint="cs"/>
          <w:color w:val="auto"/>
          <w:rtl/>
          <w:lang w:eastAsia="en-US"/>
        </w:rPr>
        <w:t>ז</w:t>
      </w:r>
      <w:r w:rsidRPr="00D73212">
        <w:rPr>
          <w:color w:val="auto"/>
          <w:rtl/>
          <w:lang w:eastAsia="en-US"/>
        </w:rPr>
        <w:t xml:space="preserve"> – </w:t>
      </w:r>
      <w:r>
        <w:rPr>
          <w:rFonts w:hint="cs"/>
          <w:color w:val="auto"/>
          <w:rtl/>
          <w:lang w:eastAsia="en-US"/>
        </w:rPr>
        <w:t>23.10</w:t>
      </w:r>
      <w:r w:rsidRPr="00D73212">
        <w:rPr>
          <w:color w:val="auto"/>
          <w:rtl/>
          <w:lang w:eastAsia="en-US"/>
        </w:rPr>
        <w:t>.</w:t>
      </w:r>
      <w:r>
        <w:rPr>
          <w:rFonts w:hint="cs"/>
          <w:color w:val="auto"/>
          <w:rtl/>
          <w:lang w:eastAsia="en-US"/>
        </w:rPr>
        <w:t>17</w:t>
      </w:r>
    </w:p>
    <w:p w14:paraId="7F6961CB" w14:textId="77777777" w:rsidR="00E13C27" w:rsidRDefault="00E13C27" w:rsidP="00E13C27">
      <w:pPr>
        <w:pStyle w:val="Hesber"/>
        <w:rPr>
          <w:rtl/>
        </w:rPr>
      </w:pPr>
    </w:p>
    <w:sectPr w:rsidR="00E13C27" w:rsidSect="001207F8">
      <w:footerReference w:type="even" r:id="rId13"/>
      <w:footerReference w:type="default" r:id="rId14"/>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847A4" w14:textId="77777777" w:rsidR="00C57E91" w:rsidRDefault="00C57E91">
      <w:r>
        <w:separator/>
      </w:r>
    </w:p>
  </w:endnote>
  <w:endnote w:type="continuationSeparator" w:id="0">
    <w:p w14:paraId="4B5D146D" w14:textId="77777777" w:rsidR="00C57E91" w:rsidRDefault="00C57E91">
      <w:r>
        <w:continuationSeparator/>
      </w:r>
    </w:p>
  </w:endnote>
  <w:endnote w:type="continuationNotice" w:id="1">
    <w:p w14:paraId="1A4DD891" w14:textId="77777777" w:rsidR="00C57E91" w:rsidRDefault="00C57E9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56365C">
      <w:rPr>
        <w:rStyle w:val="ab"/>
        <w:noProof/>
        <w:rtl/>
      </w:rPr>
      <w:t>2</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060E3" w14:textId="77777777" w:rsidR="00C57E91" w:rsidRDefault="00C57E91">
      <w:r>
        <w:separator/>
      </w:r>
    </w:p>
  </w:footnote>
  <w:footnote w:type="continuationSeparator" w:id="0">
    <w:p w14:paraId="1CE2E76C" w14:textId="77777777" w:rsidR="00C57E91" w:rsidRDefault="00C57E91">
      <w:r>
        <w:continuationSeparator/>
      </w:r>
    </w:p>
  </w:footnote>
  <w:footnote w:type="continuationNotice" w:id="1">
    <w:p w14:paraId="496BD638" w14:textId="77777777" w:rsidR="00C57E91" w:rsidRDefault="00C57E91"/>
  </w:footnote>
  <w:footnote w:id="2">
    <w:p w14:paraId="4473FD0B" w14:textId="77777777" w:rsidR="00377AAC" w:rsidRDefault="00377AAC" w:rsidP="00377AAC">
      <w:pPr>
        <w:pStyle w:val="a4"/>
        <w:rPr>
          <w:rtl/>
        </w:rPr>
      </w:pPr>
      <w:r>
        <w:rPr>
          <w:rStyle w:val="a6"/>
        </w:rPr>
        <w:footnoteRef/>
      </w:r>
      <w:r>
        <w:rPr>
          <w:rtl/>
        </w:rPr>
        <w:t xml:space="preserve"> </w:t>
      </w:r>
      <w:hyperlink r:id="rId1" w:history="1">
        <w:r w:rsidRPr="001A7CFB">
          <w:rPr>
            <w:rFonts w:hint="cs"/>
            <w:rtl/>
          </w:rPr>
          <w:t>ס"</w:t>
        </w:r>
        <w:r w:rsidRPr="001A7CFB">
          <w:rPr>
            <w:rtl/>
          </w:rPr>
          <w:t>ח</w:t>
        </w:r>
        <w:r w:rsidRPr="001A7CFB">
          <w:rPr>
            <w:rFonts w:hint="cs"/>
            <w:rtl/>
          </w:rPr>
          <w:t xml:space="preserve"> </w:t>
        </w:r>
        <w:r>
          <w:rPr>
            <w:rFonts w:hint="cs"/>
            <w:rtl/>
          </w:rPr>
          <w:t>ה</w:t>
        </w:r>
        <w:r w:rsidRPr="001A7CFB">
          <w:rPr>
            <w:rFonts w:hint="cs"/>
            <w:rtl/>
          </w:rPr>
          <w:t>תשמ"א</w:t>
        </w:r>
        <w:r>
          <w:rPr>
            <w:rFonts w:hint="cs"/>
            <w:rtl/>
          </w:rPr>
          <w:t>,</w:t>
        </w:r>
      </w:hyperlink>
      <w:r>
        <w:rPr>
          <w:rFonts w:hint="cs"/>
          <w:sz w:val="20"/>
          <w:rtl/>
        </w:rPr>
        <w:t xml:space="preserve"> עמ' 293.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206E5"/>
    <w:rsid w:val="00063A3E"/>
    <w:rsid w:val="00072CAC"/>
    <w:rsid w:val="0007681A"/>
    <w:rsid w:val="000A542E"/>
    <w:rsid w:val="00102B6B"/>
    <w:rsid w:val="001052D4"/>
    <w:rsid w:val="0010644B"/>
    <w:rsid w:val="001207F8"/>
    <w:rsid w:val="00121924"/>
    <w:rsid w:val="001236EA"/>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2F6AF2"/>
    <w:rsid w:val="003232A2"/>
    <w:rsid w:val="00325C14"/>
    <w:rsid w:val="0036422C"/>
    <w:rsid w:val="003710F6"/>
    <w:rsid w:val="00377AAC"/>
    <w:rsid w:val="00386E88"/>
    <w:rsid w:val="00391B84"/>
    <w:rsid w:val="00396585"/>
    <w:rsid w:val="003D1120"/>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13AAF"/>
    <w:rsid w:val="00553C9D"/>
    <w:rsid w:val="00562A66"/>
    <w:rsid w:val="005634AA"/>
    <w:rsid w:val="0056365C"/>
    <w:rsid w:val="005B064E"/>
    <w:rsid w:val="005D51AE"/>
    <w:rsid w:val="0062674B"/>
    <w:rsid w:val="006363B2"/>
    <w:rsid w:val="00644940"/>
    <w:rsid w:val="006765B6"/>
    <w:rsid w:val="006818A9"/>
    <w:rsid w:val="006A2D81"/>
    <w:rsid w:val="006C1D0D"/>
    <w:rsid w:val="006C3F02"/>
    <w:rsid w:val="006F394D"/>
    <w:rsid w:val="0070601E"/>
    <w:rsid w:val="00712C72"/>
    <w:rsid w:val="00735FE9"/>
    <w:rsid w:val="00763CAA"/>
    <w:rsid w:val="00765F66"/>
    <w:rsid w:val="0078664F"/>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148EA"/>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27E0B"/>
    <w:rsid w:val="00A443CF"/>
    <w:rsid w:val="00A6611D"/>
    <w:rsid w:val="00A70E42"/>
    <w:rsid w:val="00A82CB7"/>
    <w:rsid w:val="00A92255"/>
    <w:rsid w:val="00A942C1"/>
    <w:rsid w:val="00AA2F03"/>
    <w:rsid w:val="00AC36F7"/>
    <w:rsid w:val="00AC63A4"/>
    <w:rsid w:val="00AD239E"/>
    <w:rsid w:val="00B10265"/>
    <w:rsid w:val="00B16A99"/>
    <w:rsid w:val="00B21211"/>
    <w:rsid w:val="00B349B8"/>
    <w:rsid w:val="00B35784"/>
    <w:rsid w:val="00B733A7"/>
    <w:rsid w:val="00B75C91"/>
    <w:rsid w:val="00B975AD"/>
    <w:rsid w:val="00BC45FB"/>
    <w:rsid w:val="00BC4662"/>
    <w:rsid w:val="00BF148D"/>
    <w:rsid w:val="00C23B1A"/>
    <w:rsid w:val="00C310EB"/>
    <w:rsid w:val="00C57E91"/>
    <w:rsid w:val="00C9176A"/>
    <w:rsid w:val="00CF1AA2"/>
    <w:rsid w:val="00D17774"/>
    <w:rsid w:val="00D36025"/>
    <w:rsid w:val="00D63620"/>
    <w:rsid w:val="00D8410D"/>
    <w:rsid w:val="00D867D7"/>
    <w:rsid w:val="00DA3D06"/>
    <w:rsid w:val="00DB7060"/>
    <w:rsid w:val="00DE3153"/>
    <w:rsid w:val="00E06736"/>
    <w:rsid w:val="00E13C27"/>
    <w:rsid w:val="00E33BBD"/>
    <w:rsid w:val="00E374F2"/>
    <w:rsid w:val="00E45103"/>
    <w:rsid w:val="00E55A60"/>
    <w:rsid w:val="00E62778"/>
    <w:rsid w:val="00E63D38"/>
    <w:rsid w:val="00E665B9"/>
    <w:rsid w:val="00EA01E6"/>
    <w:rsid w:val="00EA3DE8"/>
    <w:rsid w:val="00EA758F"/>
    <w:rsid w:val="00ED4A6F"/>
    <w:rsid w:val="00EF3A3A"/>
    <w:rsid w:val="00F628D6"/>
    <w:rsid w:val="00F67051"/>
    <w:rsid w:val="00F86A1E"/>
    <w:rsid w:val="00FA5E88"/>
    <w:rsid w:val="00FC4A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B981AC60-BE47-473D-801E-F3C2BD84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AAF"/>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513AAF"/>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513AAF"/>
    <w:rPr>
      <w:sz w:val="36"/>
      <w:szCs w:val="52"/>
    </w:rPr>
  </w:style>
  <w:style w:type="paragraph" w:customStyle="1" w:styleId="Cover3-Haknesset">
    <w:name w:val="Cover 3-Haknesset"/>
    <w:basedOn w:val="Cover1-Reshumot"/>
    <w:rsid w:val="00513AAF"/>
    <w:rPr>
      <w:b/>
      <w:bCs/>
      <w:spacing w:val="60"/>
    </w:rPr>
  </w:style>
  <w:style w:type="paragraph" w:customStyle="1" w:styleId="Cover4-Date">
    <w:name w:val="Cover 4-Date"/>
    <w:basedOn w:val="a"/>
    <w:rsid w:val="00513AAF"/>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513AAF"/>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513AAF"/>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513AAF"/>
    <w:pPr>
      <w:spacing w:before="120" w:after="120"/>
    </w:pPr>
    <w:rPr>
      <w:color w:val="FF0000"/>
      <w:w w:val="80"/>
    </w:rPr>
  </w:style>
  <w:style w:type="paragraph" w:styleId="a3">
    <w:name w:val="endnote text"/>
    <w:basedOn w:val="a"/>
    <w:semiHidden/>
    <w:rsid w:val="00513AAF"/>
    <w:pPr>
      <w:ind w:left="227" w:hanging="227"/>
    </w:pPr>
    <w:rPr>
      <w:sz w:val="14"/>
      <w:szCs w:val="22"/>
    </w:rPr>
  </w:style>
  <w:style w:type="paragraph" w:customStyle="1" w:styleId="TableText">
    <w:name w:val="Table Text"/>
    <w:basedOn w:val="a"/>
    <w:rsid w:val="00513AAF"/>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513AAF"/>
  </w:style>
  <w:style w:type="paragraph" w:customStyle="1" w:styleId="TableBlock">
    <w:name w:val="Table Block"/>
    <w:basedOn w:val="TableText"/>
    <w:rsid w:val="00513AAF"/>
    <w:pPr>
      <w:ind w:right="0"/>
      <w:jc w:val="both"/>
    </w:pPr>
  </w:style>
  <w:style w:type="paragraph" w:customStyle="1" w:styleId="TableHead">
    <w:name w:val="Table Head"/>
    <w:basedOn w:val="TableText"/>
    <w:rsid w:val="00513AAF"/>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513AAF"/>
  </w:style>
  <w:style w:type="paragraph" w:customStyle="1" w:styleId="Hesber">
    <w:name w:val="Hesber"/>
    <w:basedOn w:val="a"/>
    <w:rsid w:val="00513AAF"/>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rsid w:val="00513AAF"/>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aliases w:val="Footnote Reference"/>
    <w:basedOn w:val="a0"/>
    <w:semiHidden/>
    <w:rsid w:val="00513AAF"/>
    <w:rPr>
      <w:vertAlign w:val="superscript"/>
    </w:rPr>
  </w:style>
  <w:style w:type="paragraph" w:customStyle="1" w:styleId="HesberHeading">
    <w:name w:val="Hesber Heading"/>
    <w:basedOn w:val="Hesber"/>
    <w:rsid w:val="00513AAF"/>
    <w:pPr>
      <w:tabs>
        <w:tab w:val="left" w:pos="624"/>
        <w:tab w:val="left" w:pos="1247"/>
      </w:tabs>
      <w:ind w:firstLine="0"/>
    </w:pPr>
    <w:rPr>
      <w:b/>
      <w:bCs/>
    </w:rPr>
  </w:style>
  <w:style w:type="paragraph" w:customStyle="1" w:styleId="HesberWriters">
    <w:name w:val="Hesber Writers"/>
    <w:basedOn w:val="Hesber"/>
    <w:rsid w:val="00513AAF"/>
    <w:pPr>
      <w:spacing w:before="120" w:after="6000"/>
      <w:ind w:left="1418" w:firstLine="0"/>
      <w:jc w:val="right"/>
    </w:pPr>
    <w:rPr>
      <w:b/>
      <w:bCs/>
    </w:rPr>
  </w:style>
  <w:style w:type="paragraph" w:customStyle="1" w:styleId="Hesber1st">
    <w:name w:val="Hesber 1st"/>
    <w:basedOn w:val="Hesber"/>
    <w:rsid w:val="00513AAF"/>
    <w:pPr>
      <w:tabs>
        <w:tab w:val="left" w:pos="680"/>
        <w:tab w:val="left" w:pos="1020"/>
      </w:tabs>
      <w:ind w:firstLine="0"/>
    </w:pPr>
  </w:style>
  <w:style w:type="character" w:styleId="a7">
    <w:name w:val="endnote reference"/>
    <w:basedOn w:val="a0"/>
    <w:semiHidden/>
    <w:rsid w:val="00513AAF"/>
    <w:rPr>
      <w:vertAlign w:val="superscript"/>
    </w:rPr>
  </w:style>
  <w:style w:type="paragraph" w:customStyle="1" w:styleId="TableBlockOutdent">
    <w:name w:val="Table BlockOutdent"/>
    <w:basedOn w:val="TableBlock"/>
    <w:rsid w:val="00513AAF"/>
    <w:pPr>
      <w:ind w:left="624" w:hanging="624"/>
    </w:pPr>
  </w:style>
  <w:style w:type="paragraph" w:styleId="a8">
    <w:name w:val="header"/>
    <w:basedOn w:val="a"/>
    <w:rsid w:val="00513AAF"/>
    <w:pPr>
      <w:tabs>
        <w:tab w:val="center" w:pos="4153"/>
        <w:tab w:val="right" w:pos="8306"/>
      </w:tabs>
    </w:pPr>
  </w:style>
  <w:style w:type="paragraph" w:styleId="a9">
    <w:name w:val="footer"/>
    <w:basedOn w:val="a"/>
    <w:rsid w:val="00513AAF"/>
    <w:pPr>
      <w:tabs>
        <w:tab w:val="center" w:pos="4153"/>
        <w:tab w:val="right" w:pos="8306"/>
      </w:tabs>
    </w:pPr>
  </w:style>
  <w:style w:type="paragraph" w:customStyle="1" w:styleId="HeadDivreiHesber">
    <w:name w:val="Head DivreiHesber"/>
    <w:basedOn w:val="a"/>
    <w:rsid w:val="00513AAF"/>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513AAF"/>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513AAF"/>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rsid w:val="00377AAC"/>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vo.co.il/safrut/book/667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vo.co.il/case/580116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nevo.co.il/Law_word/law14/LAW-1028.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88F4AFE3-9455-419C-8851-785A55F44517}">
  <ds:schemaRefs>
    <ds:schemaRef ds:uri="http://www.w3.org/XML/1998/namespace"/>
    <ds:schemaRef ds:uri="http://purl.org/dc/terms/"/>
    <ds:schemaRef ds:uri="http://schemas.microsoft.com/office/2006/metadata/properties"/>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AD96B39F-012B-4956-B9E3-0870B64BC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12D55F-478B-46EA-9C1E-D6AC66A4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480</Words>
  <Characters>2404</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subject/>
  <dc:creator>מיקה צור</dc:creator>
  <cp:keywords/>
  <dc:description/>
  <cp:lastModifiedBy>לילך יעיש</cp:lastModifiedBy>
  <cp:revision>12</cp:revision>
  <cp:lastPrinted>2017-10-17T06:47:00Z</cp:lastPrinted>
  <dcterms:created xsi:type="dcterms:W3CDTF">2015-04-20T09:58:00Z</dcterms:created>
  <dcterms:modified xsi:type="dcterms:W3CDTF">2017-10-17T06:47:00Z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2020656</vt:r8>
  </property>
</Properties>
</file>